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000000" w:sz="4"/>
              <w:left w:val="single" w:color="000000" w:sz="4"/>
              <w:bottom w:val="single" w:color="000000" w:sz="4"/>
              <w:right w:val="none" w:color="FFFFFF" w:sz="0"/>
            </w:tcBorders>
            <w:tcMar>
              <w:top w:type="dxa" w:w="60"/>
              <w:left w:type="dxa" w:w="100"/>
              <w:bottom w:type="dxa" w:w="60"/>
              <w:right w:type="dxa" w:w="100"/>
            </w:tcMar>
            <w:vAlign w:val="center"/>
          </w:tcPr>
          <w:p>
            <w:pPr>
              <w:jc w:val="center"/>
            </w:pPr>
            <w:r>
              <w:drawing>
                <wp:inline distT="0" distB="0" distL="0" distR="0">
                  <wp:extent cx="10001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0125" cy="457200"/>
                          </a:xfrm>
                          <a:prstGeom prst="rect">
                            <a:avLst/>
                          </a:prstGeom>
                        </pic:spPr>
                      </pic:pic>
                    </a:graphicData>
                  </a:graphic>
                </wp:inline>
              </w:drawing>
            </w:r>
          </w:p>
        </w:tc>
        <w:tc>
          <w:tcPr>
            <w:tcW w:type="dxa" w:w="7638"/>
            <w:tcBorders>
              <w:top w:val="single" w:color="000000" w:sz="4"/>
              <w:left w:val="none" w:color="FFFFFF" w:sz="0"/>
              <w:bottom w:val="single" w:color="000000" w:sz="4"/>
              <w:right w:val="single" w:color="000000" w:sz="4"/>
            </w:tcBorders>
            <w:tcMar>
              <w:top w:type="dxa" w:w="60"/>
              <w:left w:type="dxa" w:w="100"/>
              <w:bottom w:type="dxa" w:w="60"/>
              <w:right w:type="dxa" w:w="100"/>
            </w:tcMar>
            <w:vAlign w:val="center"/>
          </w:tcPr>
          <w:p>
            <w:r>
              <w:rPr>
                <w:rFonts w:ascii="Arial" w:cs="Arial" w:eastAsia="Arial" w:hAnsi="Arial"/>
                <w:b/>
                <w:bCs/>
                <w:sz w:val="16"/>
                <w:szCs w:val="16"/>
              </w:rPr>
              <w:t xml:space="preserve">INSTITUTO FEDERAL DE EDUCAÇÃO, CIÊNCIA E TECNOLOGIA DE SÃO PAULO - CATANDUVA</w:t>
            </w:r>
          </w:p>
          <w:p>
            <w:r>
              <w:rPr>
                <w:rFonts w:ascii="Arial" w:cs="Arial" w:eastAsia="Arial" w:hAnsi="Arial"/>
                <w:b/>
                <w:bCs/>
                <w:sz w:val="16"/>
                <w:szCs w:val="16"/>
              </w:rPr>
              <w:t xml:space="preserve">CURSO SUPERIOR TECNOLOGIA EM ANÁLISE E DESENVOLVIMENTO DE SISTEMAS</w:t>
            </w:r>
          </w:p>
          <w:p>
            <w:r>
              <w:rPr>
                <w:rFonts w:ascii="Arial" w:cs="Arial" w:eastAsia="Arial" w:hAnsi="Arial"/>
                <w:b/>
                <w:bCs/>
                <w:sz w:val="18"/>
                <w:szCs w:val="18"/>
              </w:rPr>
              <w:t xml:space="preserve">Atividade Dirigida </w:t>
            </w:r>
            <w:r>
              <w:rPr>
                <w:rFonts w:ascii="Arial" w:cs="Arial" w:eastAsia="Arial" w:hAnsi="Arial"/>
                <w:sz w:val="18"/>
                <w:szCs w:val="18"/>
              </w:rPr>
              <w:t xml:space="preserve">de: </w:t>
            </w:r>
            <w:r>
              <w:rPr>
                <w:rFonts w:ascii="Arial" w:cs="Arial" w:eastAsia="Arial" w:hAnsi="Arial"/>
                <w:b/>
                <w:bCs/>
                <w:sz w:val="18"/>
                <w:szCs w:val="18"/>
              </w:rPr>
              <w:t xml:space="preserve">CTDGTIN–Gestão da Tecnologia e Informação  - 2º semestre 2026</w:t>
            </w:r>
          </w:p>
          <w:p>
            <w:r>
              <w:rPr>
                <w:rFonts w:ascii="Arial" w:cs="Arial" w:eastAsia="Arial" w:hAnsi="Arial"/>
                <w:sz w:val="18"/>
                <w:szCs w:val="18"/>
              </w:rPr>
              <w:t xml:space="preserve">Professores: </w:t>
            </w:r>
            <w:r>
              <w:rPr>
                <w:rFonts w:ascii="Arial" w:cs="Arial" w:eastAsia="Arial" w:hAnsi="Arial"/>
                <w:b/>
                <w:bCs/>
                <w:sz w:val="18"/>
                <w:szCs w:val="18"/>
              </w:rPr>
              <w:t xml:space="preserve">Fábio Luiz Viana e Igor Calebe Zadi</w:t>
            </w:r>
          </w:p>
        </w:tc>
      </w:tr>
    </w:tbl>
    <w:p>
      <w:pPr>
        <w:spacing w:after="120"/>
      </w:pPr>
    </w:p>
    <w:p>
      <w:pPr>
        <w:spacing w:after="200"/>
        <w:jc w:val="center"/>
      </w:pPr>
      <w:r>
        <w:rPr>
          <w:rFonts w:ascii="Arial" w:cs="Arial" w:eastAsia="Arial" w:hAnsi="Arial"/>
          <w:b/>
          <w:bCs/>
          <w:sz w:val="22"/>
          <w:szCs w:val="22"/>
        </w:rPr>
        <w:t xml:space="preserve">Estudos de Caso – Processos de Software ISO 12207 – Parte I</w:t>
      </w:r>
    </w:p>
    <w:p>
      <w:pPr>
        <w:spacing w:after="120"/>
        <w:ind w:firstLine="0"/>
        <w:jc w:val="both"/>
      </w:pPr>
      <w:r>
        <w:rPr>
          <w:rFonts w:ascii="Arial" w:cs="Arial" w:eastAsia="Arial" w:hAnsi="Arial"/>
          <w:b/>
          <w:bCs/>
          <w:sz w:val="22"/>
          <w:szCs w:val="22"/>
        </w:rPr>
        <w:t xml:space="preserve">Equipe </w:t>
      </w:r>
      <w:r>
        <w:rPr>
          <w:rFonts w:ascii="Arial" w:cs="Arial" w:eastAsia="Arial" w:hAnsi="Arial"/>
          <w:b w:val="false"/>
          <w:bCs w:val="false"/>
          <w:sz w:val="22"/>
          <w:szCs w:val="22"/>
        </w:rPr>
        <w:t xml:space="preserve">(Nomes dos integrantes):</w:t>
      </w:r>
    </w:p>
    <w:p>
      <w:pPr>
        <w:spacing w:after="120"/>
        <w:ind w:firstLine="0"/>
        <w:jc w:val="both"/>
      </w:pPr>
      <w:r>
        <w:rPr>
          <w:rFonts w:ascii="Arial" w:cs="Arial" w:eastAsia="Arial" w:hAnsi="Arial"/>
          <w:b w:val="false"/>
          <w:bCs w:val="false"/>
          <w:sz w:val="22"/>
          <w:szCs w:val="22"/>
        </w:rPr>
        <w:t xml:space="preserve">Ana Letícia (Líder)</w:t>
      </w:r>
    </w:p>
    <w:p>
      <w:pPr>
        <w:spacing w:after="120"/>
        <w:ind w:firstLine="0"/>
        <w:jc w:val="both"/>
      </w:pPr>
      <w:r>
        <w:rPr>
          <w:rFonts w:ascii="Arial" w:cs="Arial" w:eastAsia="Arial" w:hAnsi="Arial"/>
          <w:b w:val="false"/>
          <w:bCs w:val="false"/>
          <w:sz w:val="22"/>
          <w:szCs w:val="22"/>
        </w:rPr>
        <w:t xml:space="preserve">Danyell</w:t>
      </w:r>
    </w:p>
    <w:p>
      <w:pPr>
        <w:spacing w:after="120"/>
        <w:ind w:firstLine="0"/>
        <w:jc w:val="both"/>
      </w:pPr>
      <w:r>
        <w:rPr>
          <w:rFonts w:ascii="Arial" w:cs="Arial" w:eastAsia="Arial" w:hAnsi="Arial"/>
          <w:b w:val="false"/>
          <w:bCs w:val="false"/>
          <w:sz w:val="22"/>
          <w:szCs w:val="22"/>
        </w:rPr>
        <w:t xml:space="preserve">Eduardo Lemes</w:t>
      </w:r>
    </w:p>
    <w:p>
      <w:pPr>
        <w:spacing w:after="120"/>
        <w:ind w:firstLine="0"/>
        <w:jc w:val="both"/>
      </w:pPr>
      <w:r>
        <w:rPr>
          <w:rFonts w:ascii="Arial" w:cs="Arial" w:eastAsia="Arial" w:hAnsi="Arial"/>
          <w:b w:val="false"/>
          <w:bCs w:val="false"/>
          <w:sz w:val="22"/>
          <w:szCs w:val="22"/>
        </w:rPr>
        <w:t xml:space="preserve">Guilherme Batista</w:t>
      </w:r>
    </w:p>
    <w:p>
      <w:pPr>
        <w:spacing w:after="120"/>
      </w:pPr>
    </w:p>
    <w:p>
      <w:pPr>
        <w:spacing w:after="160" w:before="320"/>
      </w:pPr>
      <w:r>
        <w:rPr>
          <w:rFonts w:ascii="Arial" w:cs="Arial" w:eastAsia="Arial" w:hAnsi="Arial"/>
          <w:b/>
          <w:bCs/>
          <w:sz w:val="24"/>
          <w:szCs w:val="24"/>
        </w:rPr>
        <w:t xml:space="preserve">CASO 2 — Netflix: verificação, validação e resolução de problemas</w:t>
      </w:r>
    </w:p>
    <w:p>
      <w:pPr>
        <w:spacing w:after="120"/>
        <w:ind w:firstLine="0"/>
        <w:jc w:val="both"/>
      </w:pPr>
      <w:r>
        <w:rPr>
          <w:rFonts w:ascii="Arial" w:cs="Arial" w:eastAsia="Arial" w:hAnsi="Arial"/>
          <w:b w:val="false"/>
          <w:bCs w:val="false"/>
          <w:sz w:val="22"/>
          <w:szCs w:val="22"/>
        </w:rPr>
        <w:t xml:space="preserve">A Netflix ilustra um caso em que disponibilidade não é um requisito de qualidade entre outros, mas o próprio produto: para uma plataforma de streaming, cada minuto de indisponibilidade é percebido de forma direta e imediata por milhões de assinantes simultâneos. Essa realidade se tornou evidente em 2008, quando uma falha grave em um banco de dados interno interrompeu por dias o envio de DVDs pelo correio — o modelo de negócio original da empresa —, expondo a fragilidade de manter uma infraestrutura própria, verticalizada, para sustentar um crescimento cada vez mais acelerado de usuários e dados.</w:t>
      </w:r>
    </w:p>
    <w:p>
      <w:pPr>
        <w:spacing w:after="120"/>
        <w:ind w:firstLine="0"/>
        <w:jc w:val="both"/>
      </w:pPr>
      <w:r>
        <w:rPr>
          <w:rFonts w:ascii="Arial" w:cs="Arial" w:eastAsia="Arial" w:hAnsi="Arial"/>
          <w:b w:val="false"/>
          <w:bCs w:val="false"/>
          <w:sz w:val="22"/>
          <w:szCs w:val="22"/>
        </w:rPr>
        <w:t xml:space="preserve">Diante desse incidente, a Netflix tomou duas decisões técnicas que se tornariam estruturais para toda a sua trajetória seguinte: migrar progressivamente toda a infraestrutura para a nuvem pública da AWS, redesenhando a aplicação de uma arquitetura monolítica para uma arquitetura de microsserviços; e criar a Engenharia do Caos (Chaos Engineering), prática que consiste em derrubar componentes de propósito, em ambiente real de produção, para comprovar continuamente que o serviço permanece disponível mesmo diante de falhas inesperadas. Essas duas respostas tecnológicas transformaram um incidente operacional pontual em uma mudança permanente na forma como a empresa planeja, verifica, valida e opera seus sistemas — e é exatamente essa cadeia de decisões que a ISO/IEC 12207 permite analisar de forma estruturada, por meio de seus processos de ciclo de vida de software.</w:t>
      </w:r>
    </w:p>
    <w:p>
      <w:pPr>
        <w:spacing w:after="120"/>
      </w:pPr>
    </w:p>
    <w:p>
      <w:pPr>
        <w:spacing w:after="120"/>
        <w:ind w:firstLine="0"/>
        <w:jc w:val="both"/>
      </w:pPr>
      <w:r>
        <w:rPr>
          <w:rFonts w:ascii="Arial" w:cs="Arial" w:eastAsia="Arial" w:hAnsi="Arial"/>
          <w:b/>
          <w:bCs/>
          <w:sz w:val="22"/>
          <w:szCs w:val="22"/>
        </w:rPr>
        <w:t xml:space="preserve">Perguntas direcionadas. </w:t>
      </w:r>
      <w:r>
        <w:rPr>
          <w:rFonts w:ascii="Arial" w:cs="Arial" w:eastAsia="Arial" w:hAnsi="Arial"/>
          <w:b w:val="false"/>
          <w:bCs w:val="false"/>
          <w:sz w:val="22"/>
          <w:szCs w:val="22"/>
        </w:rPr>
        <w:t xml:space="preserve">Para a Netflix, disponibilidade é o próprio produto. Com base na ISO/IEC 12207, a equipe responde às perguntas a seguir:</w:t>
      </w:r>
    </w:p>
    <w:p>
      <w:pPr>
        <w:pStyle w:val="ListParagraph"/>
        <w:numPr>
          <w:ilvl w:val="0"/>
          <w:numId w:val="2"/>
        </w:numPr>
        <w:spacing w:after="120"/>
        <w:jc w:val="both"/>
      </w:pPr>
      <w:r>
        <w:rPr>
          <w:rFonts w:ascii="Arial" w:cs="Arial" w:eastAsia="Arial" w:hAnsi="Arial"/>
          <w:sz w:val="22"/>
          <w:szCs w:val="22"/>
        </w:rPr>
        <w:t xml:space="preserve">Explique como o Processo de Resolução de Problemas transformou uma falha operacional em uma decisão de planejamento estratégico.</w:t>
      </w:r>
    </w:p>
    <w:p>
      <w:pPr>
        <w:pStyle w:val="ListParagraph"/>
        <w:numPr>
          <w:ilvl w:val="0"/>
          <w:numId w:val="2"/>
        </w:numPr>
        <w:spacing w:after="120"/>
        <w:jc w:val="both"/>
      </w:pPr>
      <w:r>
        <w:rPr>
          <w:rFonts w:ascii="Arial" w:cs="Arial" w:eastAsia="Arial" w:hAnsi="Arial"/>
          <w:sz w:val="22"/>
          <w:szCs w:val="22"/>
        </w:rPr>
        <w:t xml:space="preserve">A Chaos Engineering se enquadra melhor no Processo de Verificação (“estamos construindo o produto corretamente?”) ou no Processo de Validação (“estamos construindo o produto certo?”)? Argumente.</w:t>
      </w:r>
    </w:p>
    <w:p>
      <w:pPr>
        <w:pStyle w:val="ListParagraph"/>
        <w:numPr>
          <w:ilvl w:val="0"/>
          <w:numId w:val="2"/>
        </w:numPr>
        <w:spacing w:after="120"/>
        <w:jc w:val="both"/>
      </w:pPr>
      <w:r>
        <w:rPr>
          <w:rFonts w:ascii="Arial" w:cs="Arial" w:eastAsia="Arial" w:hAnsi="Arial"/>
          <w:sz w:val="22"/>
          <w:szCs w:val="22"/>
        </w:rPr>
        <w:t xml:space="preserve">Qual o papel do Processo de Operação e do Processo de Melhoria na manutenção dessa vantagem competitiva?</w:t>
      </w:r>
    </w:p>
    <w:p>
      <w:pPr>
        <w:spacing w:after="120"/>
        <w:ind w:firstLine="0"/>
        <w:jc w:val="both"/>
      </w:pPr>
      <w:r>
        <w:rPr>
          <w:rFonts w:ascii="Arial" w:cs="Arial" w:eastAsia="Arial" w:hAnsi="Arial"/>
          <w:b/>
          <w:bCs/>
          <w:sz w:val="22"/>
          <w:szCs w:val="22"/>
        </w:rPr>
        <w:t xml:space="preserve">Resposta do grupo:</w:t>
      </w:r>
    </w:p>
    <w:p>
      <w:pPr>
        <w:spacing w:after="120"/>
        <w:ind w:firstLine="0"/>
        <w:jc w:val="both"/>
      </w:pPr>
      <w:r>
        <w:rPr>
          <w:rFonts w:ascii="Arial" w:cs="Arial" w:eastAsia="Arial" w:hAnsi="Arial"/>
          <w:b/>
          <w:bCs/>
          <w:sz w:val="22"/>
          <w:szCs w:val="22"/>
        </w:rPr>
        <w:t xml:space="preserve">1) Processo de Resolução de Problemas — de falha operacional a decisão estratégica. </w:t>
      </w:r>
    </w:p>
    <w:p>
      <w:pPr>
        <w:spacing w:after="120"/>
        <w:ind w:firstLine="567"/>
        <w:jc w:val="both"/>
      </w:pPr>
      <w:r>
        <w:rPr>
          <w:rFonts w:ascii="Arial" w:cs="Arial" w:eastAsia="Arial" w:hAnsi="Arial"/>
          <w:b w:val="false"/>
          <w:bCs w:val="false"/>
          <w:sz w:val="22"/>
          <w:szCs w:val="22"/>
        </w:rPr>
        <w:t xml:space="preserve">O Processo de Resolução de Problemas tem como propósito assegurar que todos os problemas detectados durante o desenvolvimento, a operação, a manutenção ou qualquer outro processo sejam identificados, analisados e resolvidos por meio de um ciclo fechado de ações corretivas. Em 2008, a falha no banco de dados interno foi um problema identificado durante o Processo de Operação, que, ao ser encaminhado ao Processo de Resolução de Problemas, revelou uma causa raiz estrutural: a fragilidade de manter infraestrutura própria (data centers verticalizados) para sustentar o crescimento da empresa.</w:t>
      </w:r>
    </w:p>
    <w:p>
      <w:pPr>
        <w:spacing w:after="120"/>
        <w:ind w:firstLine="567"/>
        <w:jc w:val="both"/>
      </w:pPr>
      <w:r>
        <w:rPr>
          <w:rFonts w:ascii="Arial" w:cs="Arial" w:eastAsia="Arial" w:hAnsi="Arial"/>
          <w:b w:val="false"/>
          <w:bCs w:val="false"/>
          <w:sz w:val="22"/>
          <w:szCs w:val="22"/>
        </w:rPr>
        <w:t xml:space="preserve">A ação corretiva de curto prazo (restabelecer o envio de DVDs) foi apenas o primeiro passo; a ação corretiva de fundo — decidir migrar toda a infraestrutura para a nuvem pública da AWS e redesenhar a arquitetura em microsserviços — deixou de ser uma correção pontual e virou uma decisão de Gerência (organizacional) e de planejamento técnico de longo prazo. Esse é o mecanismo central da norma: a saída do Processo de Resolução de Problemas alimenta os processos de Gerência e de Melhoria, transformando um incidente operacional isolado em uma mudança estrutural de estratégia de TI.</w:t>
      </w:r>
    </w:p>
    <w:p>
      <w:pPr>
        <w:spacing w:after="120"/>
        <w:ind w:firstLine="0"/>
        <w:jc w:val="both"/>
      </w:pPr>
      <w:r>
        <w:rPr>
          <w:rFonts w:ascii="Arial" w:cs="Arial" w:eastAsia="Arial" w:hAnsi="Arial"/>
          <w:b/>
          <w:bCs/>
          <w:sz w:val="22"/>
          <w:szCs w:val="22"/>
        </w:rPr>
        <w:t xml:space="preserve">2) Chaos Engineering: Verificação ou Validação? </w:t>
      </w:r>
    </w:p>
    <w:p>
      <w:pPr>
        <w:spacing w:after="120"/>
        <w:ind w:firstLine="567"/>
        <w:jc w:val="both"/>
      </w:pPr>
      <w:r>
        <w:rPr>
          <w:rFonts w:ascii="Arial" w:cs="Arial" w:eastAsia="Arial" w:hAnsi="Arial"/>
          <w:b w:val="false"/>
          <w:bCs w:val="false"/>
          <w:sz w:val="22"/>
          <w:szCs w:val="22"/>
        </w:rPr>
        <w:t xml:space="preserve">O Processo de Verificação busca responder “estamos construindo o produto corretamente?” — ou seja, confirmar que os produtos de trabalho atendem aos requisitos e especificações definidos, tipicamente em ambiente controlado de teste. Já o Processo de Validação busca responder “estamos construindo o produto certo?” — confirmar que o sistema, em seu ambiente real de uso, efetivamente atende à necessidade para a qual foi concebido.</w:t>
      </w:r>
    </w:p>
    <w:p>
      <w:pPr>
        <w:spacing w:after="120"/>
        <w:ind w:firstLine="567"/>
        <w:jc w:val="both"/>
      </w:pPr>
      <w:r>
        <w:rPr>
          <w:rFonts w:ascii="Arial" w:cs="Arial" w:eastAsia="Arial" w:hAnsi="Arial"/>
          <w:b w:val="false"/>
          <w:bCs w:val="false"/>
          <w:sz w:val="22"/>
          <w:szCs w:val="22"/>
        </w:rPr>
        <w:t xml:space="preserve">A Chaos Engineering se enquadra melhor no Processo de Validação. Isso porque o Chaos Monkey não testa o código contra uma especificação em ambiente de teste isolado — ele provoca falhas reais, deliberadamente, no ambiente de produção, com tráfego real de usuários, para confirmar que o sistema efetivamente entrega a característica que os usuários exigem na prática: disponibilidade contínua mesmo diante de falhas de infraestrutura. Há elementos de Verificação embutidos (a ferramenta automatiza a checagem de comportamento esperado), mas o objetivo final — confirmar que o produto real, em uso real, cumpre a necessidade de negócio de estar sempre disponível — caracteriza uma atividade de Validação contínua e em escala de produção, algo que a versão 2021 da norma reconhece como legítimo ao enfatizar resultados (outcomes) em vez de exigir uma sequência fixa de testes formais pré-produção.</w:t>
      </w:r>
    </w:p>
    <w:p>
      <w:pPr>
        <w:spacing w:after="120"/>
        <w:ind w:firstLine="0"/>
        <w:jc w:val="both"/>
      </w:pPr>
      <w:r>
        <w:rPr>
          <w:rFonts w:ascii="Arial" w:cs="Arial" w:eastAsia="Arial" w:hAnsi="Arial"/>
          <w:b/>
          <w:bCs/>
          <w:sz w:val="22"/>
          <w:szCs w:val="22"/>
        </w:rPr>
        <w:t xml:space="preserve">3) Papel dos Processos de Operação e de Melhoria. </w:t>
      </w:r>
    </w:p>
    <w:p>
      <w:pPr>
        <w:spacing w:after="120"/>
        <w:ind w:firstLine="567"/>
        <w:jc w:val="both"/>
      </w:pPr>
      <w:r>
        <w:rPr>
          <w:rFonts w:ascii="Arial" w:cs="Arial" w:eastAsia="Arial" w:hAnsi="Arial"/>
          <w:b w:val="false"/>
          <w:bCs w:val="false"/>
          <w:sz w:val="22"/>
          <w:szCs w:val="22"/>
        </w:rPr>
        <w:t xml:space="preserve">O Processo de Operação tem como propósito garantir o funcionamento correto do produto de software em seu ambiente de produção e prestar suporte operacional aos usuários. Para a Netflix, isso significa a entrega contínua e ininterrupta do serviço de streaming a centenas de milhões de assinantes simultâneos, com monitoramento constante de disponibilidade e resposta rápida a incidentes — a própria essência da vantagem competitiva da empresa.</w:t>
      </w:r>
    </w:p>
    <w:p>
      <w:pPr>
        <w:spacing w:after="120"/>
        <w:ind w:firstLine="567"/>
        <w:jc w:val="both"/>
      </w:pPr>
      <w:r>
        <w:rPr>
          <w:rFonts w:ascii="Arial" w:cs="Arial" w:eastAsia="Arial" w:hAnsi="Arial"/>
          <w:b w:val="false"/>
          <w:bCs w:val="false"/>
          <w:sz w:val="22"/>
          <w:szCs w:val="22"/>
        </w:rPr>
        <w:t xml:space="preserve">O Processo de Melhoria, por sua vez, tem como propósito estabelecer, avaliar, medir, controlar e melhorar continuamente os processos de ciclo de vida da organização. Na Netflix, esse processo se manifesta na cultura de postmortems (inclusive após falhas provocadas de propósito pela Chaos Engineering), que alimentam de volta o desenho da arquitetura, das ferramentas de observabilidade e da própria prática de Engenharia do Caos. Juntos, Operação e Melhoria formam um ciclo de retroalimentação contínuo: a Operação gera dados reais de funcionamento (e de falha), e a Melhoria usa esses dados para tornar o sistema progressivamente mais resiliente — sustentando a disponibilidade como vantagem competitiva ao longo do tempo, em vez de tratá-la como um atributo alcançado uma única vez.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92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b7d3d3cccbf19bc1ede0ad1d9b503d52887125.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Estudos de Caso — Processos de Software ISO 12207 – Parte I</dc:title>
  <dc:creator>Claude</dc:creator>
  <cp:lastModifiedBy>Un-named</cp:lastModifiedBy>
  <cp:revision>1</cp:revision>
  <dcterms:created xsi:type="dcterms:W3CDTF">2026-09-25T15:44:59.181Z</dcterms:created>
  <dcterms:modified xsi:type="dcterms:W3CDTF">2026-09-25T15:44:59.190Z</dcterms:modified>
</cp:coreProperties>
</file>

<file path=docProps/custom.xml><?xml version="1.0" encoding="utf-8"?>
<Properties xmlns="http://schemas.openxmlformats.org/officeDocument/2006/custom-properties" xmlns:vt="http://schemas.openxmlformats.org/officeDocument/2006/docPropsVTypes"/>
</file>