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  <Override ContentType="application/vnd.openxmlformats-officedocument.wordprocessingml.header+xml" PartName="/word/header1.xml"/>
  <Override ContentType="application/vnd.openxmlformats-officedocument.wordprocessingml.footer+xml" PartName="/word/footer1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before="1600"/>
      </w:pPr>
    </w:p>
    <w:p>
      <w:pPr>
        <w:spacing w:after="200"/>
        <w:jc w:val="center"/>
      </w:pPr>
      <w:r>
        <w:rPr>
          <w:rFonts w:ascii="Calibri" w:cs="Calibri" w:eastAsia="Calibri" w:hAnsi="Calibri"/>
          <w:b/>
          <w:bCs/>
          <w:color w:val="1F3864"/>
          <w:sz w:val="40"/>
          <w:szCs w:val="40"/>
        </w:rPr>
        <w:t xml:space="preserve">PESQUISA</w:t>
      </w:r>
    </w:p>
    <w:p>
      <w:pPr>
        <w:spacing w:after="800"/>
        <w:jc w:val="center"/>
      </w:pPr>
      <w:r>
        <w:rPr>
          <w:rFonts w:ascii="Calibri" w:cs="Calibri" w:eastAsia="Calibri" w:hAnsi="Calibri"/>
          <w:b/>
          <w:bCs/>
          <w:color w:val="C00000"/>
          <w:sz w:val="26"/>
          <w:szCs w:val="26"/>
        </w:rPr>
        <w:t xml:space="preserve">ISO/IEC 12207 — ESTRUTURA DA NORMA E SUA RELAÇÃO COM A NETFLIX</w:t>
      </w:r>
    </w:p>
    <w:p>
      <w:pPr>
        <w:spacing w:after="1600"/>
        <w:jc w:val="center"/>
      </w:pPr>
      <w:r>
        <w:rPr>
          <w:rFonts w:ascii="Calibri" w:cs="Calibri" w:eastAsia="Calibri" w:hAnsi="Calibri"/>
          <w:i/>
          <w:iCs/>
          <w:color w:val="595959"/>
          <w:sz w:val="24"/>
          <w:szCs w:val="24"/>
        </w:rPr>
        <w:t xml:space="preserve">Como uma norma de processos de ciclo de vida de software dialoga com uma cultura de entrega contínua</w:t>
      </w:r>
    </w:p>
    <w:p>
      <w:pPr>
        <w:spacing w:before="2400"/>
      </w:pPr>
    </w:p>
    <w:p>
      <w:pPr>
        <w:spacing w:after="80"/>
        <w:jc w:val="center"/>
      </w:pPr>
      <w:r>
        <w:rPr>
          <w:rFonts w:ascii="Calibri" w:cs="Calibri" w:eastAsia="Calibri" w:hAnsi="Calibri"/>
          <w:sz w:val="22"/>
          <w:szCs w:val="22"/>
        </w:rPr>
        <w:t xml:space="preserve">Material de apoio à Atividade Dirigida — Estudos de Caso ISO/IEC 12207, CTDGTIN, IFSP Catanduva</w:t>
      </w:r>
    </w:p>
    <w:p>
      <w:pPr>
        <w:spacing w:after="80"/>
        <w:jc w:val="center"/>
      </w:pPr>
      <w:r>
        <w:rPr>
          <w:rFonts w:ascii="Calibri" w:cs="Calibri" w:eastAsia="Calibri" w:hAnsi="Calibri"/>
          <w:sz w:val="22"/>
          <w:szCs w:val="22"/>
        </w:rPr>
        <w:t xml:space="preserve">Equipe: Ana Letícia, Danyell, Eduardo Lemes e Guilherme Batista</w:t>
      </w:r>
    </w:p>
    <w:p>
      <w:pPr>
        <w:spacing w:before="3200"/>
        <w:jc w:val="center"/>
      </w:pPr>
      <w:r>
        <w:rPr>
          <w:rFonts w:ascii="Calibri" w:cs="Calibri" w:eastAsia="Calibri" w:hAnsi="Calibri"/>
          <w:sz w:val="22"/>
          <w:szCs w:val="22"/>
        </w:rPr>
        <w:t xml:space="preserve">Catanduva — 2026</w:t>
      </w:r>
    </w:p>
    <w:p>
      <w:pPr>
        <w:sectPr>
          <w:pgSz w:w="11906" w:h="16838" w:orient="portrait"/>
          <w:pgMar w:top="1440" w:right="1440" w:bottom="1440" w:left="1440" w:header="708" w:footer="708" w:gutter="0"/>
          <w:pgNumType/>
          <w:docGrid w:linePitch="360"/>
        </w:sectPr>
      </w:pPr>
    </w:p>
    <w:p>
      <w:pPr>
        <w:pStyle w:val="Heading1"/>
        <w:spacing w:after="200" w:before="400"/>
        <w:outlineLvl w:val="0"/>
      </w:pPr>
      <w:r>
        <w:t xml:space="preserve">Sumário</w:t>
      </w:r>
    </w:p>
    <w:sdt>
      <w:sdtPr>
        <w:alias w:val="Sumário"/>
      </w:sdtPr>
      <w:sdtContent>
        <w:p>
          <w:r>
            <w:fldChar w:fldCharType="begin" w:dirty="true"/>
            <w:instrText xml:space="preserve">TOC \h \o "1-2"</w:instrText>
            <w:fldChar w:fldCharType="separate"/>
          </w:r>
        </w:p>
        <w:p>
          <w:r>
            <w:fldChar w:fldCharType="end"/>
          </w:r>
        </w:p>
      </w:sdtContent>
    </w:sdt>
    <w:p>
      <w:r>
        <w:br w:type="page"/>
      </w:r>
    </w:p>
    <w:p>
      <w:pPr>
        <w:pStyle w:val="Heading1"/>
        <w:spacing w:after="200" w:before="400"/>
        <w:outlineLvl w:val="0"/>
      </w:pPr>
      <w:r>
        <w:t xml:space="preserve">1. Introdução</w:t>
      </w:r>
    </w:p>
    <w:p>
      <w:pPr>
        <w:spacing w:after="160" w:line="276"/>
        <w:jc w:val="both"/>
      </w:pPr>
      <w:r>
        <w:rPr>
          <w:rFonts w:ascii="Calibri" w:cs="Calibri" w:eastAsia="Calibri" w:hAnsi="Calibri"/>
          <w:sz w:val="22"/>
          <w:szCs w:val="22"/>
        </w:rPr>
        <w:t xml:space="preserve">Este documento apresenta uma pesquisa sobre a norma ISO/IEC 12207 — Processos de Ciclo de Vida de Software —, cobrindo sua origem, evolução histórica e estrutura atual, com o objetivo de dar base técnica à atividade dirigida que relaciona os processos da norma a quatro estudos de caso de tecnologia (Spotify, Netflix, Amazon e Uber). Como o estudo anterior da equipe teve a Netflix como empresa-foco, este material aprofunda especificamente a relação entre a norma e a trajetória tecnológica da Netflix: como a aplicação rígida da ISO/IEC 12207 afetaria uma empresa de entrega contínua como a Netflix, e como a companhia, na prática, atinge os mesmos propósitos da norma por meio de mecanismos próprios, sem operar sob um modelo tradicional de fases e documentação formal.</w:t>
      </w:r>
    </w:p>
    <w:p>
      <w:pPr>
        <w:pStyle w:val="Heading1"/>
        <w:spacing w:after="200" w:before="400"/>
        <w:outlineLvl w:val="0"/>
      </w:pPr>
      <w:r>
        <w:t xml:space="preserve">2. Origem e Evolução Histórica da Norma</w:t>
      </w:r>
    </w:p>
    <w:p>
      <w:pPr>
        <w:spacing w:after="160" w:line="276"/>
        <w:jc w:val="both"/>
      </w:pPr>
      <w:r>
        <w:rPr>
          <w:rFonts w:ascii="Calibri" w:cs="Calibri" w:eastAsia="Calibri" w:hAnsi="Calibri"/>
          <w:sz w:val="22"/>
          <w:szCs w:val="22"/>
        </w:rPr>
        <w:t xml:space="preserve">A ISO/IEC 12207 nasceu do trabalho conjunto entre a ISO (International Organization for Standardization, fundada em 1947) e a IEC (International Electrotechnical Commission, fundada em 1906), por meio do comitê técnico JTC1, criado em 1987 para padronizar temas de Tecnologia da Informação. O desenvolvimento da norma começou em 1989 e sua primeira versão foi publicada em 1995, com o objetivo de estabelecer uma estrutura comum de processos de ciclo de vida de software — cobrindo desde a aquisição e o fornecimento até o desenvolvimento, a operação, a manutenção e o descarte de sistemas de software — que pudesse ser referenciada por qualquer organização da indústria, independentemente do método ou da tecnologia empregada.</w:t>
      </w:r>
    </w:p>
    <w:p>
      <w:pPr>
        <w:spacing w:after="160" w:line="276"/>
        <w:jc w:val="both"/>
      </w:pPr>
      <w:r>
        <w:rPr>
          <w:rFonts w:ascii="Calibri" w:cs="Calibri" w:eastAsia="Calibri" w:hAnsi="Calibri"/>
          <w:sz w:val="22"/>
          <w:szCs w:val="22"/>
        </w:rPr>
        <w:t xml:space="preserve">Ao longo de três décadas, a norma passou por revisões que a tornaram progressivamente mais compacta e mais compatível com formas modernas de desenvolvimento. O quadro a seguir resume os principais marcos dessa evolução, incluindo o esclarecimento sobre a nomenclatura "ISO/IEC 12207:2021" usada no material da disciplina:</w:t>
      </w:r>
    </w:p>
    <w:p>
      <w:pPr>
        <w:spacing w:after="200"/>
      </w:pPr>
    </w:p>
    <w:tbl>
      <w:tblPr>
        <w:tblW w:type="dxa" w:w="95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500"/>
        <w:gridCol w:w="8000"/>
      </w:tblGrid>
      <w:tr>
        <w:tc>
          <w:tcPr>
            <w:tcW w:type="dxa" w:w="1500"/>
            <w:shd w:fill="1F3864" w:color="auto" w:val="clear"/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21"/>
                <w:szCs w:val="21"/>
              </w:rPr>
              <w:t xml:space="preserve">Ano</w:t>
            </w:r>
          </w:p>
        </w:tc>
        <w:tc>
          <w:tcPr>
            <w:tcW w:type="dxa" w:w="8000"/>
            <w:shd w:fill="1F3864" w:color="auto" w:val="clear"/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21"/>
                <w:szCs w:val="21"/>
              </w:rPr>
              <w:t xml:space="preserve">Marco</w:t>
            </w:r>
          </w:p>
        </w:tc>
      </w:tr>
      <w:tr>
        <w:tc>
          <w:tcPr>
            <w:tcW w:type="dxa" w:w="1500"/>
            <w:shd w:fill="F2F2F2" w:color="auto" w:val="clear"/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Calibri" w:cs="Calibri" w:eastAsia="Calibri" w:hAnsi="Calibri"/>
                <w:b/>
                <w:bCs/>
                <w:color w:val="000000"/>
                <w:sz w:val="21"/>
                <w:szCs w:val="21"/>
              </w:rPr>
              <w:t xml:space="preserve">1987</w:t>
            </w:r>
          </w:p>
        </w:tc>
        <w:tc>
          <w:tcPr>
            <w:tcW w:type="dxa" w:w="8000"/>
            <w:shd w:fill="F2F2F2" w:color="auto" w:val="clear"/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000000"/>
                <w:sz w:val="21"/>
                <w:szCs w:val="21"/>
              </w:rPr>
              <w:t xml:space="preserve">ISO e IEC criam o comitê técnico conjunto JTC1 (Joint Technical Committee 1) para padronização de Tecnologia da Informação.</w:t>
            </w:r>
          </w:p>
        </w:tc>
      </w:tr>
      <w:tr>
        <w:tc>
          <w:tcPr>
            <w:tcW w:type="dxa" w:w="1500"/>
            <w:shd w:fill="FFFFFF" w:color="auto" w:val="clear"/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Calibri" w:cs="Calibri" w:eastAsia="Calibri" w:hAnsi="Calibri"/>
                <w:b/>
                <w:bCs/>
                <w:color w:val="000000"/>
                <w:sz w:val="21"/>
                <w:szCs w:val="21"/>
              </w:rPr>
              <w:t xml:space="preserve">1989</w:t>
            </w:r>
          </w:p>
        </w:tc>
        <w:tc>
          <w:tcPr>
            <w:tcW w:type="dxa" w:w="8000"/>
            <w:shd w:fill="FFFFFF" w:color="auto" w:val="clear"/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000000"/>
                <w:sz w:val="21"/>
                <w:szCs w:val="21"/>
              </w:rPr>
              <w:t xml:space="preserve">O JTC1 inicia o desenvolvimento da norma que se tornaria a ISO/IEC 12207, com participação de diversos países.</w:t>
            </w:r>
          </w:p>
        </w:tc>
      </w:tr>
      <w:tr>
        <w:tc>
          <w:tcPr>
            <w:tcW w:type="dxa" w:w="1500"/>
            <w:shd w:fill="F2F2F2" w:color="auto" w:val="clear"/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Calibri" w:cs="Calibri" w:eastAsia="Calibri" w:hAnsi="Calibri"/>
                <w:b/>
                <w:bCs/>
                <w:color w:val="000000"/>
                <w:sz w:val="21"/>
                <w:szCs w:val="21"/>
              </w:rPr>
              <w:t xml:space="preserve">1995</w:t>
            </w:r>
          </w:p>
        </w:tc>
        <w:tc>
          <w:tcPr>
            <w:tcW w:type="dxa" w:w="8000"/>
            <w:shd w:fill="F2F2F2" w:color="auto" w:val="clear"/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000000"/>
                <w:sz w:val="21"/>
                <w:szCs w:val="21"/>
              </w:rPr>
              <w:t xml:space="preserve">Publicação da primeira versão da ISO/IEC 12207, estruturada em três classes de processos: Fundamentais, de Apoio e Organizacionais.</w:t>
            </w:r>
          </w:p>
        </w:tc>
      </w:tr>
      <w:tr>
        <w:tc>
          <w:tcPr>
            <w:tcW w:type="dxa" w:w="1500"/>
            <w:shd w:fill="FFFFFF" w:color="auto" w:val="clear"/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Calibri" w:cs="Calibri" w:eastAsia="Calibri" w:hAnsi="Calibri"/>
                <w:b/>
                <w:bCs/>
                <w:color w:val="000000"/>
                <w:sz w:val="21"/>
                <w:szCs w:val="21"/>
              </w:rPr>
              <w:t xml:space="preserve">2002–2004</w:t>
            </w:r>
          </w:p>
        </w:tc>
        <w:tc>
          <w:tcPr>
            <w:tcW w:type="dxa" w:w="8000"/>
            <w:shd w:fill="FFFFFF" w:color="auto" w:val="clear"/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000000"/>
                <w:sz w:val="21"/>
                <w:szCs w:val="21"/>
              </w:rPr>
              <w:t xml:space="preserve">Emendas 1 e 2 aproximam a norma de outras normas de qualidade e avaliação de processo, como a ISO/IEC 15504.</w:t>
            </w:r>
          </w:p>
        </w:tc>
      </w:tr>
      <w:tr>
        <w:tc>
          <w:tcPr>
            <w:tcW w:type="dxa" w:w="1500"/>
            <w:shd w:fill="F2F2F2" w:color="auto" w:val="clear"/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Calibri" w:cs="Calibri" w:eastAsia="Calibri" w:hAnsi="Calibri"/>
                <w:b/>
                <w:bCs/>
                <w:color w:val="000000"/>
                <w:sz w:val="21"/>
                <w:szCs w:val="21"/>
              </w:rPr>
              <w:t xml:space="preserve">2008</w:t>
            </w:r>
          </w:p>
        </w:tc>
        <w:tc>
          <w:tcPr>
            <w:tcW w:type="dxa" w:w="8000"/>
            <w:shd w:fill="F2F2F2" w:color="auto" w:val="clear"/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000000"/>
                <w:sz w:val="21"/>
                <w:szCs w:val="21"/>
              </w:rPr>
              <w:t xml:space="preserve">Revisão ISO/IEC 12207:2008 (IEEE Std 12207-2008), simplificando e atualizando a redação dos processos, ainda no modelo de três classes.</w:t>
            </w:r>
          </w:p>
        </w:tc>
      </w:tr>
      <w:tr>
        <w:tc>
          <w:tcPr>
            <w:tcW w:type="dxa" w:w="1500"/>
            <w:shd w:fill="FFFFFF" w:color="auto" w:val="clear"/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Calibri" w:cs="Calibri" w:eastAsia="Calibri" w:hAnsi="Calibri"/>
                <w:b/>
                <w:bCs/>
                <w:color w:val="000000"/>
                <w:sz w:val="21"/>
                <w:szCs w:val="21"/>
              </w:rPr>
              <w:t xml:space="preserve">2017</w:t>
            </w:r>
          </w:p>
        </w:tc>
        <w:tc>
          <w:tcPr>
            <w:tcW w:type="dxa" w:w="8000"/>
            <w:shd w:fill="FFFFFF" w:color="auto" w:val="clear"/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000000"/>
                <w:sz w:val="21"/>
                <w:szCs w:val="21"/>
              </w:rPr>
              <w:t xml:space="preserve">Publicação da ISO/IEC/IEEE 12207:2017, em parceria direta com a IEEE Computer Society, reestruturando a norma em quatro grupos de processos e reduzindo o total de 43 para 30 processos, harmonizada com a ISO/IEC/IEEE 15288 (Engenharia de Sistemas).</w:t>
            </w:r>
          </w:p>
        </w:tc>
      </w:tr>
      <w:tr>
        <w:tc>
          <w:tcPr>
            <w:tcW w:type="dxa" w:w="1500"/>
            <w:shd w:fill="F2F2F2" w:color="auto" w:val="clear"/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Calibri" w:cs="Calibri" w:eastAsia="Calibri" w:hAnsi="Calibri"/>
                <w:b/>
                <w:bCs/>
                <w:color w:val="000000"/>
                <w:sz w:val="21"/>
                <w:szCs w:val="21"/>
              </w:rPr>
              <w:t xml:space="preserve">2021</w:t>
            </w:r>
          </w:p>
        </w:tc>
        <w:tc>
          <w:tcPr>
            <w:tcW w:type="dxa" w:w="8000"/>
            <w:shd w:fill="F2F2F2" w:color="auto" w:val="clear"/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000000"/>
                <w:sz w:val="21"/>
                <w:szCs w:val="21"/>
              </w:rPr>
              <w:t xml:space="preserve">A ABNT publica, em agosto de 2021, a tradução brasileira ABNT NBR ISO/IEC/IEEE 12207:2021 — adoção nacional do conteúdo técnico da versão internacional de 2017. É esta a versão referenciada no material da disciplina como "ISO/IEC 12207:2021".</w:t>
            </w:r>
          </w:p>
        </w:tc>
      </w:tr>
      <w:tr>
        <w:tc>
          <w:tcPr>
            <w:tcW w:type="dxa" w:w="1500"/>
            <w:shd w:fill="FFFFFF" w:color="auto" w:val="clear"/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Calibri" w:cs="Calibri" w:eastAsia="Calibri" w:hAnsi="Calibri"/>
                <w:b/>
                <w:bCs/>
                <w:color w:val="000000"/>
                <w:sz w:val="21"/>
                <w:szCs w:val="21"/>
              </w:rPr>
              <w:t xml:space="preserve">2026</w:t>
            </w:r>
          </w:p>
        </w:tc>
        <w:tc>
          <w:tcPr>
            <w:tcW w:type="dxa" w:w="8000"/>
            <w:shd w:fill="FFFFFF" w:color="auto" w:val="clear"/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000000"/>
                <w:sz w:val="21"/>
                <w:szCs w:val="21"/>
              </w:rPr>
              <w:t xml:space="preserve">Publicação da segunda edição, ISO/IEC/IEEE 12207:2026, que cancela e substitui a versão de 2017 internacionalmente — ainda não incorporada, até a data desta pesquisa, à tradução brasileira em uso na disciplina.</w:t>
            </w:r>
          </w:p>
        </w:tc>
      </w:tr>
    </w:tbl>
    <w:p>
      <w:pPr>
        <w:spacing w:after="240"/>
      </w:pPr>
    </w:p>
    <w:p>
      <w:pPr>
        <w:spacing w:after="160" w:line="276"/>
        <w:jc w:val="both"/>
      </w:pPr>
      <w:r>
        <w:rPr>
          <w:rFonts w:ascii="Calibri" w:cs="Calibri" w:eastAsia="Calibri" w:hAnsi="Calibri"/>
          <w:sz w:val="22"/>
          <w:szCs w:val="22"/>
        </w:rPr>
        <w:t xml:space="preserve">Um esclarecimento importante: a "versão 2021" citada no enunciado da atividade corresponde à ABNT NBR ISO/IEC/IEEE 12207:2021, publicada pela Associação Brasileira de Normas Técnicas em agosto de 2021 como adoção nacional idêntica, em conteúdo técnico, à norma internacional ISO/IEC/IEEE 12207:2017. Ou seja, o ano de 2021 refere-se à data de publicação da tradução brasileira, não a uma nova revisão técnica internacional — a estrutura de processos, os quatro grupos e a ênfase em resultados mencionada no enunciado já haviam sido definidos pela versão internacional de 2017, fruto da parceria entre ISO/IEC e a IEEE Computer Society.</w:t>
      </w:r>
    </w:p>
    <w:p>
      <w:pPr>
        <w:pStyle w:val="Heading1"/>
        <w:spacing w:after="200" w:before="400"/>
        <w:outlineLvl w:val="0"/>
      </w:pPr>
      <w:r>
        <w:t xml:space="preserve">3. Objetivos e Princípios da Norma</w:t>
      </w:r>
    </w:p>
    <w:p>
      <w:pPr>
        <w:spacing w:after="160" w:line="276"/>
        <w:jc w:val="both"/>
      </w:pPr>
      <w:r>
        <w:rPr>
          <w:rFonts w:ascii="Calibri" w:cs="Calibri" w:eastAsia="Calibri" w:hAnsi="Calibri"/>
          <w:sz w:val="22"/>
          <w:szCs w:val="22"/>
        </w:rPr>
        <w:t xml:space="preserve">A ISO/IEC 12207 estabelece uma arquitetura de alto nível para o ciclo de vida de software, construída a partir de um conjunto de processos inter-relacionados. Cada processo é descrito tanto em termos de propósito e resultados esperados quanto em termos de atividades e tarefas — mas a norma deliberadamente não prescreve métodos, ferramentas, técnicas, métricas ou tecnologias específicas para alcançar esses resultados. Essa característica é o que permite à norma ser aplicada tanto em ambientes tradicionais (cascata, contratos governamentais, sistemas críticos) quanto em ambientes ágeis e de entrega contínua, desde que os propósitos de cada processo sejam efetivamente atendidos.</w:t>
      </w:r>
    </w:p>
    <w:p>
      <w:pPr>
        <w:spacing w:after="160" w:line="276"/>
        <w:jc w:val="both"/>
      </w:pPr>
      <w:r>
        <w:rPr>
          <w:rFonts w:ascii="Calibri" w:cs="Calibri" w:eastAsia="Calibri" w:hAnsi="Calibri"/>
          <w:sz w:val="22"/>
          <w:szCs w:val="22"/>
        </w:rPr>
        <w:t xml:space="preserve">Os processos da norma são, segundo a própria documentação, fortemente coesos internamente (as atividades de um mesmo processo são bastante relacionadas entre si) mas fracamente acoplados entre processos diferentes (a quantidade de interfaces obrigatórias entre processos é mínima). Essa característica de baixo acoplamento é o que permite a uma organização adotar, adaptar ("tailoring") ou até substituir a forma de execução de um processo por um mecanismo próprio, contanto que o resultado esperado daquele processo continue sendo alcançado — um ponto central para entender como empresas de tecnologia como a Netflix se relacionam com a norma na prática.</w:t>
      </w:r>
    </w:p>
    <w:p>
      <w:pPr>
        <w:pStyle w:val="Heading1"/>
        <w:spacing w:after="200" w:before="400"/>
        <w:outlineLvl w:val="0"/>
      </w:pPr>
      <w:r>
        <w:t xml:space="preserve">4. Estrutura de Processos</w:t>
      </w:r>
    </w:p>
    <w:p>
      <w:pPr>
        <w:pStyle w:val="Heading2"/>
        <w:spacing w:after="140" w:before="260"/>
        <w:outlineLvl w:val="1"/>
      </w:pPr>
      <w:r>
        <w:t xml:space="preserve">4.1 O modelo clássico (versões 1995 e 2008): três classes</w:t>
      </w:r>
    </w:p>
    <w:p>
      <w:pPr>
        <w:spacing w:after="160" w:line="276"/>
        <w:jc w:val="both"/>
      </w:pPr>
      <w:r>
        <w:rPr>
          <w:rFonts w:ascii="Calibri" w:cs="Calibri" w:eastAsia="Calibri" w:hAnsi="Calibri"/>
          <w:sz w:val="22"/>
          <w:szCs w:val="22"/>
        </w:rPr>
        <w:t xml:space="preserve">Nas versões de 1995 e 2008, os processos da norma eram organizados em três classes:</w:t>
      </w:r>
    </w:p>
    <w:p>
      <w:pPr>
        <w:pStyle w:val="ListParagraph"/>
        <w:numPr>
          <w:ilvl w:val="0"/>
          <w:numId w:val="1"/>
        </w:numPr>
        <w:spacing w:after="100" w:line="276"/>
        <w:jc w:val="both"/>
      </w:pPr>
      <w:r>
        <w:t xml:space="preserve">Processos Fundamentais: cobrem o relacionamento entre adquirente e fornecedor e a execução do desenvolvimento, operação e manutenção do produto de software — Aquisição, Fornecimento, Desenvolvimento, Operação e Manutenção;</w:t>
      </w:r>
    </w:p>
    <w:p>
      <w:pPr>
        <w:pStyle w:val="ListParagraph"/>
        <w:numPr>
          <w:ilvl w:val="0"/>
          <w:numId w:val="1"/>
        </w:numPr>
        <w:spacing w:after="100" w:line="276"/>
        <w:jc w:val="both"/>
      </w:pPr>
      <w:r>
        <w:t xml:space="preserve">Processos de Apoio: auxiliam e garantem a qualidade dos demais processos ao longo do ciclo de vida — Documentação, Gerência de Configuração, Garantia da Qualidade, Verificação, Validação, Revisão Conjunta, Auditoria e Resolução de Problemas;</w:t>
      </w:r>
    </w:p>
    <w:p>
      <w:pPr>
        <w:pStyle w:val="ListParagraph"/>
        <w:numPr>
          <w:ilvl w:val="0"/>
          <w:numId w:val="1"/>
        </w:numPr>
        <w:spacing w:after="100" w:line="276"/>
        <w:jc w:val="both"/>
      </w:pPr>
      <w:r>
        <w:t xml:space="preserve">Processos Organizacionais: dão suporte à gestão geral da organização, independentemente de projetos específicos — Gerência, Infraestrutura, Melhoria (de Processo) e Treinamento.</w:t>
      </w:r>
    </w:p>
    <w:p>
      <w:pPr>
        <w:spacing w:after="160" w:line="276"/>
        <w:jc w:val="both"/>
      </w:pPr>
      <w:r>
        <w:rPr>
          <w:rFonts w:ascii="Calibri" w:cs="Calibri" w:eastAsia="Calibri" w:hAnsi="Calibri"/>
          <w:sz w:val="22"/>
          <w:szCs w:val="22"/>
        </w:rPr>
        <w:t xml:space="preserve">É essa nomenclatura clássica — com termos como "Processo de Resolução de Problemas", "Processo de Verificação", "Processo de Validação" e "Processo de Melhoria" — que aparece diretamente nas perguntas do estudo de caso da Netflix, e por isso ela é detalhada aqui mesmo sendo tecnicamente anterior à reestruturação de 2017.</w:t>
      </w:r>
    </w:p>
    <w:p>
      <w:pPr>
        <w:pStyle w:val="Heading2"/>
        <w:spacing w:after="140" w:before="260"/>
        <w:outlineLvl w:val="1"/>
      </w:pPr>
      <w:r>
        <w:t xml:space="preserve">4.2 O modelo atual (versão 2017 / ABNT 2021): quatro grupos</w:t>
      </w:r>
    </w:p>
    <w:p>
      <w:pPr>
        <w:spacing w:after="160" w:line="276"/>
        <w:jc w:val="both"/>
      </w:pPr>
      <w:r>
        <w:rPr>
          <w:rFonts w:ascii="Calibri" w:cs="Calibri" w:eastAsia="Calibri" w:hAnsi="Calibri"/>
          <w:sz w:val="22"/>
          <w:szCs w:val="22"/>
        </w:rPr>
        <w:t xml:space="preserve">A revisão de 2017 — elaborada em conjunto com a IEEE e harmonizada com a norma irmã de engenharia de sistemas ISO/IEC/IEEE 15288 — reorganizou os processos em quatro grupos, reduzindo o total de 43 para 30 processos, e passou a enfatizar resultados (outcomes) mensuráveis em vez de atividades prescritas, o que facilita explicitamente a aplicação da norma em conjunto com métodos ágeis e práticas de DevOps:</w:t>
      </w:r>
    </w:p>
    <w:p>
      <w:pPr>
        <w:spacing w:after="200"/>
      </w:pPr>
    </w:p>
    <w:tbl>
      <w:tblPr>
        <w:tblW w:type="dxa" w:w="95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600"/>
        <w:gridCol w:w="2200"/>
        <w:gridCol w:w="4700"/>
      </w:tblGrid>
      <w:tr>
        <w:tc>
          <w:tcPr>
            <w:tcW w:type="dxa" w:w="2600"/>
            <w:shd w:fill="1F3864" w:color="auto" w:val="clear"/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21"/>
                <w:szCs w:val="21"/>
              </w:rPr>
              <w:t xml:space="preserve">Grupo de processos</w:t>
            </w:r>
          </w:p>
        </w:tc>
        <w:tc>
          <w:tcPr>
            <w:tcW w:type="dxa" w:w="2200"/>
            <w:shd w:fill="1F3864" w:color="auto" w:val="clear"/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21"/>
                <w:szCs w:val="21"/>
              </w:rPr>
              <w:t xml:space="preserve">Nº de processos</w:t>
            </w:r>
          </w:p>
        </w:tc>
        <w:tc>
          <w:tcPr>
            <w:tcW w:type="dxa" w:w="4700"/>
            <w:shd w:fill="1F3864" w:color="auto" w:val="clear"/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21"/>
                <w:szCs w:val="21"/>
              </w:rPr>
              <w:t xml:space="preserve">Processos incluídos (exemplos)</w:t>
            </w:r>
          </w:p>
        </w:tc>
      </w:tr>
      <w:tr>
        <w:tc>
          <w:tcPr>
            <w:tcW w:type="dxa" w:w="2600"/>
            <w:shd w:fill="F2F2F2" w:color="auto" w:val="clear"/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Calibri" w:cs="Calibri" w:eastAsia="Calibri" w:hAnsi="Calibri"/>
                <w:b/>
                <w:bCs/>
                <w:color w:val="000000"/>
                <w:sz w:val="21"/>
                <w:szCs w:val="21"/>
              </w:rPr>
              <w:t xml:space="preserve">Processos de Acordo (Agreement)</w:t>
            </w:r>
          </w:p>
        </w:tc>
        <w:tc>
          <w:tcPr>
            <w:tcW w:type="dxa" w:w="2200"/>
            <w:shd w:fill="F2F2F2" w:color="auto" w:val="clear"/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Calibri" w:cs="Calibri" w:eastAsia="Calibri" w:hAnsi="Calibri"/>
                <w:b w:val="false"/>
                <w:bCs w:val="false"/>
                <w:color w:val="000000"/>
                <w:sz w:val="21"/>
                <w:szCs w:val="21"/>
              </w:rPr>
              <w:t xml:space="preserve">2</w:t>
            </w:r>
          </w:p>
        </w:tc>
        <w:tc>
          <w:tcPr>
            <w:tcW w:type="dxa" w:w="4700"/>
            <w:shd w:fill="F2F2F2" w:color="auto" w:val="clear"/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000000"/>
                <w:sz w:val="21"/>
                <w:szCs w:val="21"/>
              </w:rPr>
              <w:t xml:space="preserve">Aquisição; Fornecimento.</w:t>
            </w:r>
          </w:p>
        </w:tc>
      </w:tr>
      <w:tr>
        <w:tc>
          <w:tcPr>
            <w:tcW w:type="dxa" w:w="2600"/>
            <w:shd w:fill="FFFFFF" w:color="auto" w:val="clear"/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Calibri" w:cs="Calibri" w:eastAsia="Calibri" w:hAnsi="Calibri"/>
                <w:b/>
                <w:bCs/>
                <w:color w:val="000000"/>
                <w:sz w:val="21"/>
                <w:szCs w:val="21"/>
              </w:rPr>
              <w:t xml:space="preserve">Processos Organizacionais Habilitadores de Projeto</w:t>
            </w:r>
          </w:p>
        </w:tc>
        <w:tc>
          <w:tcPr>
            <w:tcW w:type="dxa" w:w="2200"/>
            <w:shd w:fill="FFFFFF" w:color="auto" w:val="clear"/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Calibri" w:cs="Calibri" w:eastAsia="Calibri" w:hAnsi="Calibri"/>
                <w:b w:val="false"/>
                <w:bCs w:val="false"/>
                <w:color w:val="000000"/>
                <w:sz w:val="21"/>
                <w:szCs w:val="21"/>
              </w:rPr>
              <w:t xml:space="preserve">6</w:t>
            </w:r>
          </w:p>
        </w:tc>
        <w:tc>
          <w:tcPr>
            <w:tcW w:type="dxa" w:w="4700"/>
            <w:shd w:fill="FFFFFF" w:color="auto" w:val="clear"/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000000"/>
                <w:sz w:val="21"/>
                <w:szCs w:val="21"/>
              </w:rPr>
              <w:t xml:space="preserve">Gerência do Modelo de Ciclo de Vida; Gerência de Infraestrutura; Gerência de Portfólio; Gerência de Recursos Humanos; Gerência da Qualidade (organizacional); Gerência do Conhecimento.</w:t>
            </w:r>
          </w:p>
        </w:tc>
      </w:tr>
      <w:tr>
        <w:tc>
          <w:tcPr>
            <w:tcW w:type="dxa" w:w="2600"/>
            <w:shd w:fill="F2F2F2" w:color="auto" w:val="clear"/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Calibri" w:cs="Calibri" w:eastAsia="Calibri" w:hAnsi="Calibri"/>
                <w:b/>
                <w:bCs/>
                <w:color w:val="000000"/>
                <w:sz w:val="21"/>
                <w:szCs w:val="21"/>
              </w:rPr>
              <w:t xml:space="preserve">Processos de Gerência Técnica</w:t>
            </w:r>
          </w:p>
        </w:tc>
        <w:tc>
          <w:tcPr>
            <w:tcW w:type="dxa" w:w="2200"/>
            <w:shd w:fill="F2F2F2" w:color="auto" w:val="clear"/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Calibri" w:cs="Calibri" w:eastAsia="Calibri" w:hAnsi="Calibri"/>
                <w:b w:val="false"/>
                <w:bCs w:val="false"/>
                <w:color w:val="000000"/>
                <w:sz w:val="21"/>
                <w:szCs w:val="21"/>
              </w:rPr>
              <w:t xml:space="preserve">8</w:t>
            </w:r>
          </w:p>
        </w:tc>
        <w:tc>
          <w:tcPr>
            <w:tcW w:type="dxa" w:w="4700"/>
            <w:shd w:fill="F2F2F2" w:color="auto" w:val="clear"/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000000"/>
                <w:sz w:val="21"/>
                <w:szCs w:val="21"/>
              </w:rPr>
              <w:t xml:space="preserve">Planejamento de Projeto; Avaliação e Controle de Projeto; Gerência de Decisão; Gerência de Risco; Gerência de Configuração; Gerência de Informação; Medição; Garantia da Qualidade.</w:t>
            </w:r>
          </w:p>
        </w:tc>
      </w:tr>
      <w:tr>
        <w:tc>
          <w:tcPr>
            <w:tcW w:type="dxa" w:w="2600"/>
            <w:shd w:fill="FFFFFF" w:color="auto" w:val="clear"/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Calibri" w:cs="Calibri" w:eastAsia="Calibri" w:hAnsi="Calibri"/>
                <w:b/>
                <w:bCs/>
                <w:color w:val="000000"/>
                <w:sz w:val="21"/>
                <w:szCs w:val="21"/>
              </w:rPr>
              <w:t xml:space="preserve">Processos Técnicos</w:t>
            </w:r>
          </w:p>
        </w:tc>
        <w:tc>
          <w:tcPr>
            <w:tcW w:type="dxa" w:w="2200"/>
            <w:shd w:fill="FFFFFF" w:color="auto" w:val="clear"/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Calibri" w:cs="Calibri" w:eastAsia="Calibri" w:hAnsi="Calibri"/>
                <w:b w:val="false"/>
                <w:bCs w:val="false"/>
                <w:color w:val="000000"/>
                <w:sz w:val="21"/>
                <w:szCs w:val="21"/>
              </w:rPr>
              <w:t xml:space="preserve">14</w:t>
            </w:r>
          </w:p>
        </w:tc>
        <w:tc>
          <w:tcPr>
            <w:tcW w:type="dxa" w:w="4700"/>
            <w:shd w:fill="FFFFFF" w:color="auto" w:val="clear"/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000000"/>
                <w:sz w:val="21"/>
                <w:szCs w:val="21"/>
              </w:rPr>
              <w:t xml:space="preserve">Análise de Negócio/Missão; Definição de Requisitos dos Stakeholders; Requisitos de Sistema/Software; Definição de Arquitetura; Projeto (Design); Análise de Sistema; Implementação; Integração; Verificação; Transição; Validação; Operação; Manutenção; Descarte.</w:t>
            </w:r>
          </w:p>
        </w:tc>
      </w:tr>
    </w:tbl>
    <w:p>
      <w:pPr>
        <w:spacing w:after="240"/>
      </w:pPr>
    </w:p>
    <w:p>
      <w:pPr>
        <w:spacing w:after="160" w:line="276"/>
        <w:jc w:val="both"/>
      </w:pPr>
      <w:r>
        <w:rPr>
          <w:rFonts w:ascii="Calibri" w:cs="Calibri" w:eastAsia="Calibri" w:hAnsi="Calibri"/>
          <w:sz w:val="22"/>
          <w:szCs w:val="22"/>
        </w:rPr>
        <w:t xml:space="preserve">Nessa reestruturação, os propósitos de processos antes chamados de "Verificação" e "Validação" permanecem explícitos como Processos Técnicos; o propósito da antiga "Resolução de Problemas" passa a ser majoritariamente absorvido pelas atividades de gerenciamento de problemas dentro da Gerência de Configuração e da Garantia da Qualidade (Gerência Técnica); e o propósito da antiga "Melhoria de Processo" passa a ser exercido principalmente pela Gerência do Modelo de Ciclo de Vida, dentro dos Processos Organizacionais Habilitadores de Projeto. Ou seja: os nomes mudaram e os processos foram reagrupados, mas as finalidades da versão clássica continuam presentes na versão atual.</w:t>
      </w:r>
    </w:p>
    <w:p>
      <w:pPr>
        <w:pStyle w:val="Heading1"/>
        <w:spacing w:after="200" w:before="400"/>
        <w:outlineLvl w:val="0"/>
      </w:pPr>
      <w:r>
        <w:t xml:space="preserve">5. Adaptação da Norma para Métodos Ágeis</w:t>
      </w:r>
    </w:p>
    <w:p>
      <w:pPr>
        <w:spacing w:after="160" w:line="276"/>
        <w:jc w:val="both"/>
      </w:pPr>
      <w:r>
        <w:rPr>
          <w:rFonts w:ascii="Calibri" w:cs="Calibri" w:eastAsia="Calibri" w:hAnsi="Calibri"/>
          <w:sz w:val="22"/>
          <w:szCs w:val="22"/>
        </w:rPr>
        <w:t xml:space="preserve">Um dos pontos mais citados sobre a versão 2017/2021 da norma é justamente sua compatibilidade declarada com métodos ágeis, Scrum, Kanban e DevOps. Isso é possível porque a norma define processos em termos de propósito e resultado esperado, não de artefatos ou sequência fixa de fases — uma equipe pode, por exemplo, atender ao propósito do Processo de Verificação por meio de testes automatizados executados a cada integração de código (prática tipicamente ágil/DevOps), em vez de por meio de uma revisão formal e pontual de documentação, como seria comum em um projeto conduzido em cascata. A própria ISO/IEC/IEEE publicou, em 2020, o guia complementar ISO/IEC/IEEE 24748-3, com diretrizes específicas para adaptar (tailoring) a aplicação da norma 12207 a diferentes contextos, incluindo ambientes iterativos e incrementais.</w:t>
      </w:r>
    </w:p>
    <w:p>
      <w:pPr>
        <w:pStyle w:val="Heading1"/>
        <w:spacing w:after="200" w:before="400"/>
        <w:outlineLvl w:val="0"/>
      </w:pPr>
      <w:r>
        <w:t xml:space="preserve">6. Relação da Norma com a Netflix</w:t>
      </w:r>
    </w:p>
    <w:p>
      <w:pPr>
        <w:pStyle w:val="Heading2"/>
        <w:spacing w:after="140" w:before="260"/>
        <w:outlineLvl w:val="1"/>
      </w:pPr>
      <w:r>
        <w:t xml:space="preserve">6.1 Como a aplicação rígida da norma afetaria a Netflix</w:t>
      </w:r>
    </w:p>
    <w:p>
      <w:pPr>
        <w:spacing w:after="160" w:line="276"/>
        <w:jc w:val="both"/>
      </w:pPr>
      <w:r>
        <w:rPr>
          <w:rFonts w:ascii="Calibri" w:cs="Calibri" w:eastAsia="Calibri" w:hAnsi="Calibri"/>
          <w:sz w:val="22"/>
          <w:szCs w:val="22"/>
        </w:rPr>
        <w:t xml:space="preserve">A ISO/IEC 12207 tem origem histórica em contextos de contratação formal entre adquirente e fornecedor — projetos de defesa, governo e sistemas críticos, em que a rastreabilidade documental, a auditoria formal e a revisão conjunta entre as partes são frequentemente exigências contratuais. Se aplicada de forma literal e burocrática — com documentação extensa aprovada em marcos formais, revisões conjuntas programadas e auditorias periódicas antes de cada alteração —, essa abordagem entraria em conflito direto com o modelo operacional da Netflix, que realiza milhares de implantações (deploys) de código por dia, em uma arquitetura de centenas de microsserviços mantidos por equipes pequenas e autônomas. Uma aplicação rígida da norma tenderia a: (i) tornar o ciclo de entrega de software lento e dependente de aprovações sequenciais; (ii) gerar sobrecarga de documentação difícil de manter atualizada na velocidade das mudanças; e (iii) exigir uma auditoria e controle de configuração centralizados incompatíveis com a autonomia descentralizada das equipes de engenharia.</w:t>
      </w:r>
    </w:p>
    <w:p>
      <w:pPr>
        <w:pStyle w:val="Heading2"/>
        <w:spacing w:after="140" w:before="260"/>
        <w:outlineLvl w:val="1"/>
      </w:pPr>
      <w:r>
        <w:t xml:space="preserve">6.2 Como a Netflix, na prática, atende aos mesmos propósitos</w:t>
      </w:r>
    </w:p>
    <w:p>
      <w:pPr>
        <w:spacing w:after="160" w:line="276"/>
        <w:jc w:val="both"/>
      </w:pPr>
      <w:r>
        <w:rPr>
          <w:rFonts w:ascii="Calibri" w:cs="Calibri" w:eastAsia="Calibri" w:hAnsi="Calibri"/>
          <w:sz w:val="22"/>
          <w:szCs w:val="22"/>
        </w:rPr>
        <w:t xml:space="preserve">A Netflix não persegue certificação formal na ISO/IEC 12207, mas cumpre, por meios próprios e automatizados, os propósitos centrais de vários dos seus processos — um exemplo prático do que a versão 2017/2021 da norma chama de conformidade orientada a resultados (outcome-based), e não a atividades prescritas:</w:t>
      </w:r>
    </w:p>
    <w:p>
      <w:pPr>
        <w:pStyle w:val="ListParagraph"/>
        <w:numPr>
          <w:ilvl w:val="0"/>
          <w:numId w:val="1"/>
        </w:numPr>
        <w:spacing w:after="100" w:line="276"/>
        <w:jc w:val="both"/>
      </w:pPr>
      <w:r>
        <w:t xml:space="preserve">Verificação e Validação contínuas: em vez de revisões formais pontuais, a Netflix usa testes automatizados a cada integração de código e, de forma singular, a Engenharia do Caos (Chaos Monkey) — que valida continuamente, em ambiente real de produção, se o sistema realmente atende ao requisito de disponibilidade;</w:t>
      </w:r>
    </w:p>
    <w:p>
      <w:pPr>
        <w:pStyle w:val="ListParagraph"/>
        <w:numPr>
          <w:ilvl w:val="0"/>
          <w:numId w:val="1"/>
        </w:numPr>
        <w:spacing w:after="100" w:line="276"/>
        <w:jc w:val="both"/>
      </w:pPr>
      <w:r>
        <w:t xml:space="preserve">Gerência de Configuração e Resolução de Problemas: pipelines de integração e entrega contínua (CI/CD) e ferramentas de observabilidade cumprem, de forma automatizada e constante, o propósito de rastrear mudanças e identificar/corrigir problemas, substituindo processos manuais de controle de versão e de gestão de incidentes;</w:t>
      </w:r>
    </w:p>
    <w:p>
      <w:pPr>
        <w:pStyle w:val="ListParagraph"/>
        <w:numPr>
          <w:ilvl w:val="0"/>
          <w:numId w:val="1"/>
        </w:numPr>
        <w:spacing w:after="100" w:line="276"/>
        <w:jc w:val="both"/>
      </w:pPr>
      <w:r>
        <w:t xml:space="preserve">Melhoria de Processo: a cultura de postmortems sem culpa (blameless postmortems) após falhas — incluindo as provocadas deliberadamente pela Engenharia do Caos — cumpre o propósito de avaliar, medir e melhorar continuamente os processos de ciclo de vida, sem depender de um ciclo formal de auditoria e melhoria programada;</w:t>
      </w:r>
    </w:p>
    <w:p>
      <w:pPr>
        <w:pStyle w:val="ListParagraph"/>
        <w:numPr>
          <w:ilvl w:val="0"/>
          <w:numId w:val="1"/>
        </w:numPr>
        <w:spacing w:after="100" w:line="276"/>
        <w:jc w:val="both"/>
      </w:pPr>
      <w:r>
        <w:t xml:space="preserve">Gerência (organizacional): a cultura de "liberdade e responsabilidade" documentada no Culture Deck de Patty McCord substitui hierarquias de aprovação por autonomia orientada a contexto — o propósito de gerenciamento e responsabilização permanece, mas exercido de forma descentralizada, equipe por equipe.</w:t>
      </w:r>
    </w:p>
    <w:p>
      <w:pPr>
        <w:spacing w:after="160" w:line="276"/>
        <w:jc w:val="both"/>
      </w:pPr>
      <w:r>
        <w:rPr>
          <w:rFonts w:ascii="Calibri" w:cs="Calibri" w:eastAsia="Calibri" w:hAnsi="Calibri"/>
          <w:sz w:val="22"/>
          <w:szCs w:val="22"/>
        </w:rPr>
        <w:t xml:space="preserve">Assim, mais do que "burlar" a norma, a Netflix ilustra um caso extremo, porém coerente, de tailoring: ela atinge os resultados que a ISO/IEC 12207 busca garantir — software confiável, rastreável, continuamente verificado e melhorado — só que por meio de automação, cultura organizacional e engenharia de resiliência, em vez de documentação formal e fases sequenciais. Esse é exatamente o tipo de aplicação que a própria versão 2017/2021 da norma passou a reconhecer e admitir explicitamente ao migrar de um modelo baseado em atividades prescritas para um modelo baseado em resultados (outcomes).</w:t>
      </w:r>
    </w:p>
    <w:p>
      <w:pPr>
        <w:pBdr>
          <w:left w:val="single" w:color="C00000" w:sz="18" w:space="8"/>
        </w:pBdr>
        <w:spacing w:after="200" w:before="120"/>
        <w:ind w:left="400" w:right="400"/>
      </w:pPr>
      <w:r>
        <w:rPr>
          <w:rFonts w:ascii="Calibri" w:cs="Calibri" w:eastAsia="Calibri" w:hAnsi="Calibri"/>
          <w:i/>
          <w:iCs/>
          <w:color w:val="404040"/>
          <w:sz w:val="21"/>
          <w:szCs w:val="21"/>
        </w:rPr>
        <w:t xml:space="preserve">Se não estivermos testando constantemente nossa habilidade de lidar bem com falhas, provavelmente não teremos sucesso quando precisarmos disso de verdade.</w:t>
      </w:r>
      <w:r>
        <w:rPr>
          <w:rFonts w:ascii="Calibri" w:cs="Calibri" w:eastAsia="Calibri" w:hAnsi="Calibri"/>
          <w:i/>
          <w:iCs/>
          <w:color w:val="595959"/>
          <w:sz w:val="18"/>
          <w:szCs w:val="18"/>
        </w:rPr>
        <w:t xml:space="preserve">  — Netflix Technology Blog, sobre o Chaos Monkey</w:t>
      </w:r>
    </w:p>
    <w:p>
      <w:pPr>
        <w:pStyle w:val="Heading1"/>
        <w:spacing w:after="200" w:before="400"/>
        <w:outlineLvl w:val="0"/>
      </w:pPr>
      <w:r>
        <w:t xml:space="preserve">7. Considerações Finais</w:t>
      </w:r>
    </w:p>
    <w:p>
      <w:pPr>
        <w:spacing w:after="160" w:line="276"/>
        <w:jc w:val="both"/>
      </w:pPr>
      <w:r>
        <w:rPr>
          <w:rFonts w:ascii="Calibri" w:cs="Calibri" w:eastAsia="Calibri" w:hAnsi="Calibri"/>
          <w:sz w:val="22"/>
          <w:szCs w:val="22"/>
        </w:rPr>
        <w:t xml:space="preserve">A pesquisa mostra que a ISO/IEC 12207 e a cultura de engenharia da Netflix não são opostos inconciliáveis, ainda que representem, à primeira vista, dois extremos: um nasceu de contratos formais e auditáveis; o outro, de entrega contínua e autonomia de equipes. O que os aproxima é que a norma, desde a sua revisão de 2017/2021, foi desenhada para ser neutra quanto ao método — o que importa é o propósito de cada processo ser alcançado, e não a forma específica como isso é feito. A Netflix, portanto, não ignora os processos da ISO/IEC 12207; ela os reinterpreta por meio de automação, observabilidade e cultura organizacional, sustentando a disponibilidade como vantagem competitiva sem depender da burocracia documental típica de aplicações mais tradicionais da norma.</w:t>
      </w:r>
    </w:p>
    <w:p>
      <w:pPr>
        <w:pStyle w:val="Heading1"/>
        <w:spacing w:after="200" w:before="400"/>
        <w:outlineLvl w:val="0"/>
      </w:pPr>
      <w:r>
        <w:t xml:space="preserve">8. Referências</w:t>
      </w:r>
    </w:p>
    <w:p>
      <w:pPr>
        <w:spacing w:after="160" w:line="276"/>
        <w:jc w:val="both"/>
      </w:pPr>
      <w:r>
        <w:rPr>
          <w:rFonts w:ascii="Calibri" w:cs="Calibri" w:eastAsia="Calibri" w:hAnsi="Calibri"/>
          <w:sz w:val="22"/>
          <w:szCs w:val="22"/>
        </w:rPr>
        <w:t xml:space="preserve">ISO. ISO/IEC/IEEE 12207:2017 — Systems and software engineering — Software life cycle processes. Disponível em: iso.org.</w:t>
      </w:r>
    </w:p>
    <w:p>
      <w:pPr>
        <w:spacing w:after="160" w:line="276"/>
        <w:jc w:val="both"/>
      </w:pPr>
      <w:r>
        <w:rPr>
          <w:rFonts w:ascii="Calibri" w:cs="Calibri" w:eastAsia="Calibri" w:hAnsi="Calibri"/>
          <w:sz w:val="22"/>
          <w:szCs w:val="22"/>
        </w:rPr>
        <w:t xml:space="preserve">WIKIPEDIA. ISO/IEC 12207. Disponível em: en.wikipedia.org.</w:t>
      </w:r>
    </w:p>
    <w:p>
      <w:pPr>
        <w:spacing w:after="160" w:line="276"/>
        <w:jc w:val="both"/>
      </w:pPr>
      <w:r>
        <w:rPr>
          <w:rFonts w:ascii="Calibri" w:cs="Calibri" w:eastAsia="Calibri" w:hAnsi="Calibri"/>
          <w:sz w:val="22"/>
          <w:szCs w:val="22"/>
        </w:rPr>
        <w:t xml:space="preserve">MICREIROS. Norma NBR ISO/IEC 12207. Disponível em: micreiros.com.br.</w:t>
      </w:r>
    </w:p>
    <w:p>
      <w:pPr>
        <w:spacing w:after="160" w:line="276"/>
        <w:jc w:val="both"/>
      </w:pPr>
      <w:r>
        <w:rPr>
          <w:rFonts w:ascii="Calibri" w:cs="Calibri" w:eastAsia="Calibri" w:hAnsi="Calibri"/>
          <w:sz w:val="22"/>
          <w:szCs w:val="22"/>
        </w:rPr>
        <w:t xml:space="preserve">PACIFIC CERTIFICATIONS. ISO/IEC/IEEE 12207:2017 — Systems and Software Engineering. Disponível em: pacificcert.com.</w:t>
      </w:r>
    </w:p>
    <w:p>
      <w:pPr>
        <w:spacing w:after="160" w:line="276"/>
        <w:jc w:val="both"/>
      </w:pPr>
      <w:r>
        <w:rPr>
          <w:rFonts w:ascii="Calibri" w:cs="Calibri" w:eastAsia="Calibri" w:hAnsi="Calibri"/>
          <w:sz w:val="22"/>
          <w:szCs w:val="22"/>
        </w:rPr>
        <w:t xml:space="preserve">TARGET NORMAS. ABNT NBR ISO/IEC/IEEE 12207 — Engenharia de Sistemas e Software: Processos de Ciclo de Vida de Software (publicada 08/2021). Disponível em: normas.com.br.</w:t>
      </w:r>
    </w:p>
    <w:p>
      <w:pPr>
        <w:spacing w:after="160" w:line="276"/>
        <w:jc w:val="both"/>
      </w:pPr>
      <w:r>
        <w:rPr>
          <w:rFonts w:ascii="Calibri" w:cs="Calibri" w:eastAsia="Calibri" w:hAnsi="Calibri"/>
          <w:sz w:val="22"/>
          <w:szCs w:val="22"/>
        </w:rPr>
        <w:t xml:space="preserve">UNE / AENOR. ISO/IEC/IEEE 12207:2017 — anulada por ISO/IEC/IEEE 12207:2026. Disponível em: en.une.org.</w:t>
      </w:r>
    </w:p>
    <w:p>
      <w:pPr>
        <w:spacing w:after="160" w:line="276"/>
        <w:jc w:val="both"/>
      </w:pPr>
      <w:r>
        <w:rPr>
          <w:rFonts w:ascii="Calibri" w:cs="Calibri" w:eastAsia="Calibri" w:hAnsi="Calibri"/>
          <w:sz w:val="22"/>
          <w:szCs w:val="22"/>
        </w:rPr>
        <w:t xml:space="preserve">UNIVERSIDADE FEDERAL DE PERNAMBUCO (CIn/UFPE). ISO/IEC 12207 — Processos do Ciclo de Vida de Software (slides Diego Martins). Disponível em: cin.ufpe.br.</w:t>
      </w:r>
    </w:p>
    <w:p>
      <w:pPr>
        <w:spacing w:after="160" w:line="276"/>
        <w:jc w:val="both"/>
      </w:pPr>
      <w:r>
        <w:rPr>
          <w:rFonts w:ascii="Calibri" w:cs="Calibri" w:eastAsia="Calibri" w:hAnsi="Calibri"/>
          <w:sz w:val="22"/>
          <w:szCs w:val="22"/>
        </w:rPr>
        <w:t xml:space="preserve">LINKEDIN — DANI CAVALCANTI. NBR/ISO 12207 - Processos de ciclo de vida do software. Disponível em: linkedin.com.</w:t>
      </w:r>
    </w:p>
    <w:p>
      <w:pPr>
        <w:spacing w:after="160" w:line="276"/>
        <w:jc w:val="both"/>
      </w:pPr>
      <w:r>
        <w:rPr>
          <w:rFonts w:ascii="Calibri" w:cs="Calibri" w:eastAsia="Calibri" w:hAnsi="Calibri"/>
          <w:sz w:val="22"/>
          <w:szCs w:val="22"/>
        </w:rPr>
        <w:t xml:space="preserve">LEANDROMTR. Norma ISO/IEC 12207. Disponível em: leandromtr.com.</w:t>
      </w:r>
    </w:p>
    <w:p>
      <w:pPr>
        <w:spacing w:after="160" w:line="276"/>
        <w:jc w:val="both"/>
      </w:pPr>
      <w:r>
        <w:rPr>
          <w:rFonts w:ascii="Calibri" w:cs="Calibri" w:eastAsia="Calibri" w:hAnsi="Calibri"/>
          <w:sz w:val="22"/>
          <w:szCs w:val="22"/>
        </w:rPr>
        <w:t xml:space="preserve">ISO/IEC/IEEE 24748-3:2020 — Systems and software engineering — Life cycle management — Part 3: Guidelines for the application of ISO/IEC/IEEE 12207. Disponível em: webstore.ansi.org.</w:t>
      </w:r>
    </w:p>
    <w:p>
      <w:pPr>
        <w:spacing w:after="160" w:line="276"/>
        <w:jc w:val="both"/>
      </w:pPr>
      <w:r>
        <w:rPr>
          <w:rFonts w:ascii="Calibri" w:cs="Calibri" w:eastAsia="Calibri" w:hAnsi="Calibri"/>
          <w:sz w:val="22"/>
          <w:szCs w:val="22"/>
        </w:rPr>
        <w:t xml:space="preserve">NETFLIX TECHBLOG. The Netflix Simian Army. Disponível em: netflixtechblog.com.</w:t>
      </w:r>
    </w:p>
    <w:p>
      <w:pPr>
        <w:spacing w:after="160" w:line="276"/>
        <w:jc w:val="both"/>
      </w:pPr>
      <w:r>
        <w:rPr>
          <w:rFonts w:ascii="Calibri" w:cs="Calibri" w:eastAsia="Calibri" w:hAnsi="Calibri"/>
          <w:sz w:val="22"/>
          <w:szCs w:val="22"/>
        </w:rPr>
        <w:t xml:space="preserve">GREMLIN. Chaos Monkey at Netflix: the Origin of Chaos Engineering. Disponível em: gremlin.com.</w:t>
      </w:r>
    </w:p>
    <w:p>
      <w:pPr>
        <w:spacing w:after="160" w:line="276"/>
        <w:jc w:val="both"/>
      </w:pPr>
      <w:r>
        <w:rPr>
          <w:rFonts w:ascii="Calibri" w:cs="Calibri" w:eastAsia="Calibri" w:hAnsi="Calibri"/>
          <w:sz w:val="22"/>
          <w:szCs w:val="22"/>
        </w:rPr>
        <w:t xml:space="preserve">Material de apoio: CTDGTIN_Aula_05 — Estudos de Caso, Processos de Software ISO 12207 – Parte I (documento da disciplina).</w:t>
      </w:r>
    </w:p>
    <w:sectPr>
      <w:headerReference w:type="default" r:id="rId7"/>
      <w:footerReference w:type="default" r:id="rId8"/>
      <w:pgSz w:w="11906" w:h="16838" w:orient="portrait"/>
      <w:pgMar w:top="1440" w:right="1440" w:bottom="1440" w:left="144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>
  <w:p>
    <w:pPr>
      <w:jc w:val="center"/>
    </w:pPr>
    <w:r>
      <w:rPr>
        <w:rFonts w:ascii="Calibri" w:cs="Calibri" w:eastAsia="Calibri" w:hAnsi="Calibri"/>
        <w:sz w:val="18"/>
        <w:szCs w:val="18"/>
      </w:rPr>
      <w:fldChar w:fldCharType="begin"/>
      <w:instrText xml:space="preserve">PAGE</w:instrText>
      <w:fldChar w:fldCharType="separate"/>
      <w:fldChar w:fldCharType="end"/>
    </w: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w16cid="http://schemas.microsoft.com/office/word/2016/wordml/cid" xmlns:w16se="http://schemas.microsoft.com/office/word/2015/wordml/symex">
  <w:p>
    <w:pPr>
      <w:jc w:val="right"/>
    </w:pPr>
    <w:r>
      <w:rPr>
        <w:rFonts w:ascii="Calibri" w:cs="Calibri" w:eastAsia="Calibri" w:hAnsi="Calibri"/>
        <w:color w:val="595959"/>
        <w:sz w:val="16"/>
        <w:szCs w:val="16"/>
      </w:rPr>
      <w:t xml:space="preserve">ISO/IEC 12207 e Netflix</w:t>
    </w:r>
  </w:p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num w:numId="1">
    <w:abstractNumId w:val="1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Calibri" w:cs="Calibri" w:eastAsia="Calibri" w:hAnsi="Calibri"/>
        <w:sz w:val="22"/>
        <w:szCs w:val="22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  <w:style w:type="paragraph" w:styleId="Heading1">
    <w:name w:val="Heading 1"/>
    <w:basedOn w:val="Normal"/>
    <w:next w:val="Normal"/>
    <w:qFormat/>
    <w:pPr>
      <w:pBdr>
        <w:bottom w:val="single" w:color="1F3864" w:sz="8" w:space="4"/>
      </w:pBdr>
      <w:spacing w:after="200" w:before="400"/>
    </w:pPr>
    <w:rPr>
      <w:rFonts w:ascii="Calibri" w:cs="Calibri" w:eastAsia="Calibri" w:hAnsi="Calibri"/>
      <w:b/>
      <w:bCs/>
      <w:color w:val="1F3864"/>
      <w:sz w:val="30"/>
      <w:szCs w:val="30"/>
    </w:rPr>
  </w:style>
  <w:style w:type="paragraph" w:styleId="Heading2">
    <w:name w:val="Heading 2"/>
    <w:basedOn w:val="Normal"/>
    <w:next w:val="Normal"/>
    <w:qFormat/>
    <w:pPr>
      <w:spacing w:after="140" w:before="260"/>
    </w:pPr>
    <w:rPr>
      <w:rFonts w:ascii="Calibri" w:cs="Calibri" w:eastAsia="Calibri" w:hAnsi="Calibri"/>
      <w:b/>
      <w:bCs/>
      <w:color w:val="C00000"/>
      <w:sz w:val="24"/>
      <w:szCs w:val="24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header" Target="header1.xml"/><Relationship Id="rId8" Type="http://schemas.openxmlformats.org/officeDocument/2006/relationships/footer" Target="footer1.xml"/><Relationship Id="rId9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er1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word/_rels/header1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ISO/IEC 12207 — Estrutura da Norma e sua Relação com a Netflix</dc:title>
  <dc:creator>Claude</dc:creator>
  <cp:lastModifiedBy>Un-named</cp:lastModifiedBy>
  <cp:revision>1</cp:revision>
  <dcterms:created xsi:type="dcterms:W3CDTF">2026-09-24T02:02:49.525Z</dcterms:created>
  <dcterms:modified xsi:type="dcterms:W3CDTF">2026-09-24T02:02:49.535Z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