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sz w:val="96"/>
          <w:szCs w:val="96"/>
        </w:rPr>
        <w:t xml:space="preserve">🌳</w:t>
      </w:r>
    </w:p>
    <w:p>
      <w:pPr>
        <w:spacing w:after="100" w:before="400"/>
        <w:jc w:val="center"/>
      </w:pPr>
      <w:r>
        <w:rPr>
          <w:b/>
          <w:bCs/>
          <w:color w:val="1B5E20"/>
          <w:sz w:val="56"/>
          <w:szCs w:val="56"/>
        </w:rPr>
        <w:t xml:space="preserve">ROOTCITY</w:t>
      </w:r>
    </w:p>
    <w:p>
      <w:pPr>
        <w:spacing w:after="800"/>
        <w:jc w:val="center"/>
      </w:pPr>
      <w:r>
        <w:rPr>
          <w:b/>
          <w:bCs/>
          <w:color w:val="555555"/>
          <w:sz w:val="24"/>
          <w:szCs w:val="24"/>
        </w:rPr>
        <w:t xml:space="preserve">SISTEMA WEB DE SOLICITAÇÃO DE PLANTIO DE ÁRVORES URBANAS</w:t>
      </w:r>
    </w:p>
    <w:p>
      <w:pPr>
        <w:spacing w:after="100" w:before="3000"/>
        <w:jc w:val="center"/>
      </w:pPr>
      <w:r>
        <w:rPr>
          <w:i/>
          <w:iCs/>
          <w:sz w:val="22"/>
          <w:szCs w:val="22"/>
        </w:rPr>
        <w:t xml:space="preserve">Programa de Sustentabilidade Urbana</w:t>
      </w:r>
    </w:p>
    <w:p>
      <w:pPr>
        <w:spacing w:after="100" w:before="3600"/>
        <w:jc w:val="center"/>
      </w:pPr>
      <w:r>
        <w:rPr>
          <w:b/>
          <w:bCs/>
          <w:sz w:val="26"/>
          <w:szCs w:val="26"/>
        </w:rPr>
        <w:t xml:space="preserve">CATANDUVA</w:t>
      </w:r>
    </w:p>
    <w:p>
      <w:pPr>
        <w:jc w:val="center"/>
      </w:pPr>
      <w:r>
        <w:rPr>
          <w:sz w:val="24"/>
          <w:szCs w:val="24"/>
        </w:rPr>
        <w:t xml:space="preserve">2025</w:t>
      </w:r>
    </w:p>
    <w:p>
      <w:pPr>
        <w:pageBreakBefore/>
      </w:pPr>
      <w:r>
        <w:br/>
        <w:t xml:space="preserve"/>
      </w:r>
    </w:p>
    <w:p>
      <w:pPr>
        <w:spacing w:after="100" w:before="2000"/>
        <w:jc w:val="right"/>
      </w:pPr>
      <w:r>
        <w:rPr>
          <w:b/>
          <w:bCs/>
          <w:i/>
          <w:iCs/>
          <w:sz w:val="24"/>
          <w:szCs w:val="24"/>
        </w:rPr>
        <w:t xml:space="preserve">“Uma cidade mais verde começa em cada calçada.”</w:t>
      </w:r>
    </w:p>
    <w:p>
      <w:pPr>
        <w:jc w:val="right"/>
      </w:pPr>
      <w:r>
        <w:rPr>
          <w:i/>
          <w:iCs/>
          <w:sz w:val="22"/>
          <w:szCs w:val="22"/>
        </w:rPr>
        <w:t xml:space="preserve">— Equipe RootCity</w:t>
      </w:r>
    </w:p>
    <w:p>
      <w:pPr>
        <w:pageBreakBefore/>
      </w:pPr>
      <w:r>
        <w:br/>
        <w:t xml:space="preserve"/>
      </w:r>
    </w:p>
    <w:p>
      <w:pPr>
        <w:pStyle w:val="Heading1"/>
        <w:pBdr>
          <w:bottom w:val="single" w:color="2E7D32" w:sz="6" w:space="4"/>
        </w:pBdr>
        <w:spacing w:after="200" w:before="400"/>
      </w:pPr>
      <w:r>
        <w:rPr>
          <w:b/>
          <w:bCs/>
          <w:color w:val="1B5E20"/>
          <w:sz w:val="30"/>
          <w:szCs w:val="30"/>
        </w:rPr>
        <w:t xml:space="preserve">Introdução</w:t>
      </w:r>
    </w:p>
    <w:p>
      <w:pPr>
        <w:spacing w:after="200" w:line="300"/>
        <w:jc w:val="both"/>
      </w:pPr>
      <w:r>
        <w:rPr>
          <w:sz w:val="22"/>
          <w:szCs w:val="22"/>
        </w:rPr>
        <w:t xml:space="preserve">O RootCity é um sistema web responsivo idealizado para facilitar e organizar o processo de solicitação de plantio de árvores em calçadas públicas, em frente a propriedades privadas, no município de Catanduva/SP. A proposta nasce da constatação de que, embora a Prefeitura disponibilize mudas e equipes para o plantio urbano, o processo de solicitação hoje é pouco divulgado, burocrático e sem qualquer canal digital que permita ao morador escolher a espécie desejada, acompanhar o andamento do pedido ou se sentir parte de um programa maior de sustentabilidade.</w:t>
      </w:r>
    </w:p>
    <w:p>
      <w:pPr>
        <w:spacing w:after="200" w:line="300"/>
        <w:jc w:val="both"/>
      </w:pPr>
      <w:r>
        <w:rPr>
          <w:sz w:val="22"/>
          <w:szCs w:val="22"/>
        </w:rPr>
        <w:t xml:space="preserve">A plataforma une três frentes complementares: um catálogo digital de árvores disponíveis, com fotos e descrições que facilitam a escolha por parte do morador; um fluxo de solicitação e acompanhamento do plantio, com opção de retirada da muda ou plantio realizado pela própria equipe da Prefeitura; e um painel administrativo que permite à Prefeitura gerenciar o cadastro de espécies, o estoque de mudas e as solicitações recebidas.</w:t>
      </w:r>
    </w:p>
    <w:p>
      <w:pPr>
        <w:spacing w:after="200" w:line="300"/>
        <w:jc w:val="both"/>
      </w:pPr>
      <w:r>
        <w:rPr>
          <w:sz w:val="22"/>
          <w:szCs w:val="22"/>
        </w:rPr>
        <w:t xml:space="preserve">Como diferencial, o sistema incorpora um componente de gamificação e reconhecimento: cada morador que solicita e efetiva o plantio de uma árvore passa a somar pontos em um ranking público da cidade, incentivando o engajamento coletivo. Após o primeiro plantio confirmado, o morador conquista a Carteirinha RootCity, um cartão digital de fidelidade ao programa de sustentabilidade que simboliza seu vínculo com a iniciativa.</w:t>
      </w:r>
    </w:p>
    <w:p>
      <w:pPr>
        <w:spacing w:after="200" w:line="300"/>
        <w:jc w:val="both"/>
      </w:pPr>
      <w:r>
        <w:rPr>
          <w:sz w:val="22"/>
          <w:szCs w:val="22"/>
        </w:rPr>
        <w:t xml:space="preserve">Por se tratar de um benefício público municipal, o acesso ao sistema é restrito aos moradores de Catanduva, sendo exigido o envio de comprovante de residência no momento do cadastro, garantindo que os recursos do programa — mudas, mão de obra e logística — sejam direcionados corretamente à comunidade local.</w:t>
      </w:r>
    </w:p>
    <w:p>
      <w:pPr>
        <w:pStyle w:val="Heading1"/>
        <w:pBdr>
          <w:bottom w:val="single" w:color="2E7D32" w:sz="6" w:space="4"/>
        </w:pBdr>
        <w:spacing w:after="200" w:before="400"/>
      </w:pPr>
      <w:r>
        <w:rPr>
          <w:b/>
          <w:bCs/>
          <w:color w:val="1B5E20"/>
          <w:sz w:val="30"/>
          <w:szCs w:val="30"/>
        </w:rPr>
        <w:t xml:space="preserve">Problemática</w:t>
      </w:r>
    </w:p>
    <w:p>
      <w:pPr>
        <w:spacing w:after="200" w:line="300"/>
        <w:jc w:val="both"/>
      </w:pPr>
      <w:r>
        <w:rPr>
          <w:sz w:val="22"/>
          <w:szCs w:val="22"/>
        </w:rPr>
        <w:t xml:space="preserve">O crescimento urbano de Catanduva, como o de muitas cidades de médio porte, tem avançado historicamente sobre áreas verdes, resultando na redução progressiva da arborização das calçadas e vias públicas. Essa perda de vegetação urbana contribui diretamente para a formação de ilhas de calor, o aumento da poluição do ar, a redução da permeabilidade do solo e o agravamento de enchentes em dias de chuva intensa — problemas que afetam diretamente a qualidade de vida da população.</w:t>
      </w:r>
    </w:p>
    <w:p>
      <w:pPr>
        <w:spacing w:after="200" w:line="300"/>
        <w:jc w:val="both"/>
      </w:pPr>
      <w:r>
        <w:rPr>
          <w:sz w:val="22"/>
          <w:szCs w:val="22"/>
        </w:rPr>
        <w:t xml:space="preserve">Apesar de a Prefeitura oferecer mudas de árvores para plantio em calçadas mediante solicitação, o processo atual carece de um canal claro e acessível. Muitos moradores desconhecem que esse serviço existe, não sabem quais espécies estão disponíveis para a sua região, ou simplesmente não sabem como formalizar o pedido. Isso resulta em baixa adesão ao programa e em uma arborização urbana aquém do potencial da cidade.</w:t>
      </w:r>
    </w:p>
    <w:p>
      <w:pPr>
        <w:spacing w:after="200" w:line="300"/>
        <w:jc w:val="both"/>
      </w:pPr>
      <w:r>
        <w:rPr>
          <w:sz w:val="22"/>
          <w:szCs w:val="22"/>
        </w:rPr>
        <w:t xml:space="preserve">Outro fator agravante é a ausência de acompanhamento do pedido: quando um morador consegue solicitar uma árvore, frequentemente não há retorno sobre prazos, status ou confirmação do plantio, gerando frustração e desistência. Também não existe qualquer mecanismo de reconhecimento ou incentivo para quem participa do programa, o que reduz o engajamento da comunidade em uma causa que deveria ser coletiva.</w:t>
      </w:r>
    </w:p>
    <w:p>
      <w:pPr>
        <w:spacing w:after="200" w:line="300"/>
        <w:jc w:val="both"/>
      </w:pPr>
      <w:r>
        <w:rPr>
          <w:sz w:val="22"/>
          <w:szCs w:val="22"/>
        </w:rPr>
        <w:t xml:space="preserve">Diante desse cenário — desmatamento urbano progressivo, poluição, perda de qualidade ambiental e um processo de solicitação pouco acessível — identifica-se a necessidade de uma solução digital que aproxime o morador do programa de arborização da cidade, tornando o processo simples, transparente e, sobretudo, engajador, de modo a fortalecer uma cultura de sustentabilidade em Catanduva.</w:t>
      </w:r>
    </w:p>
    <w:p>
      <w:pPr>
        <w:pStyle w:val="Heading1"/>
        <w:pBdr>
          <w:bottom w:val="single" w:color="2E7D32" w:sz="6" w:space="4"/>
        </w:pBdr>
        <w:spacing w:after="200" w:before="400"/>
      </w:pPr>
      <w:r>
        <w:rPr>
          <w:b/>
          <w:bCs/>
          <w:color w:val="1B5E20"/>
          <w:sz w:val="30"/>
          <w:szCs w:val="30"/>
        </w:rPr>
        <w:t xml:space="preserve">Sistema Operacional</w:t>
      </w:r>
    </w:p>
    <w:p>
      <w:pPr>
        <w:spacing w:after="200" w:line="300"/>
        <w:jc w:val="both"/>
      </w:pPr>
      <w:r>
        <w:rPr>
          <w:sz w:val="22"/>
          <w:szCs w:val="22"/>
        </w:rPr>
        <w:t xml:space="preserve">A solução proposta consiste em uma plataforma web responsiva, com abordagem mobile-first, dividida em duas frentes de uso: o Portal do Morador, voltado ao cidadão que deseja solicitar o plantio de uma árvore, e o Painel Administrativo, voltado à equipe da Prefeitura responsável por gerenciar o programa.</w:t>
      </w:r>
    </w:p>
    <w:p>
      <w:pPr>
        <w:spacing w:after="200" w:line="300"/>
        <w:jc w:val="both"/>
      </w:pPr>
      <w:r>
        <w:rPr>
          <w:sz w:val="22"/>
          <w:szCs w:val="22"/>
        </w:rPr>
        <w:t xml:space="preserve">No Portal do Morador, o cidadão realiza seu cadastro informando dados pessoais, endereço da propriedade e comprovante de residência, que é analisado pela administração para validar seu vínculo com o município de Catanduva. Após a aprovação do cadastro, o morador tem acesso ao catálogo de árvores disponíveis, apresentado com fotos, nome popular e científico, porte, características (como sombra, floração, frutificação) e disponibilidade de mudas no estoque da Prefeitura.</w:t>
      </w:r>
    </w:p>
    <w:p>
      <w:pPr>
        <w:spacing w:after="200" w:line="300"/>
        <w:jc w:val="both"/>
      </w:pPr>
      <w:r>
        <w:rPr>
          <w:sz w:val="22"/>
          <w:szCs w:val="22"/>
        </w:rPr>
        <w:t xml:space="preserve">Ao escolher uma espécie, o morador informa o local exato do plantio (endereço da calçada) e seleciona entre duas modalidades de recebimento: retirada da muda em um ponto de coleta da Prefeitura, para plantio pelo próprio morador, ou plantio realizado pela equipe técnica da Prefeitura diretamente no endereço informado. O pedido é registrado com status inicial de Solicitado e passa por uma etapa de análise administrativa, que verifica a viabilidade do local (rede elétrica, calçada, distância de guias) e a disponibilidade da espécie escolhida.</w:t>
      </w:r>
    </w:p>
    <w:p>
      <w:pPr>
        <w:spacing w:after="200" w:line="300"/>
        <w:jc w:val="both"/>
      </w:pPr>
      <w:r>
        <w:rPr>
          <w:sz w:val="22"/>
          <w:szCs w:val="22"/>
        </w:rPr>
        <w:t xml:space="preserve">Uma vez aprovado, o pedido é agendado e o morador acompanha, pela própria plataforma, a evolução do status: Aprovado, Agendado e, por fim, Plantio Concluído. Nesse momento, o estoque de mudas é atualizado automaticamente e o sistema emite, pela primeira vez para aquele morador, a Carteirinha RootCity — um cartão digital de fidelidade ao programa que passa a acumular pontos a cada novo plantio realizado.</w:t>
      </w:r>
    </w:p>
    <w:p>
      <w:pPr>
        <w:spacing w:after="200" w:line="300"/>
        <w:jc w:val="both"/>
      </w:pPr>
      <w:r>
        <w:rPr>
          <w:sz w:val="22"/>
          <w:szCs w:val="22"/>
        </w:rPr>
        <w:t xml:space="preserve">O componente de gamificação é apresentado em um ranking público, no qual moradores e bairros podem visualizar quem mais contribuiu com plantios na cidade, incentivando a participação contínua. Um mapa da cidade também exibe, de forma geral, a localização das árvores já plantadas pelo programa, reforçando o senso de impacto coletivo.</w:t>
      </w:r>
    </w:p>
    <w:p>
      <w:pPr>
        <w:spacing w:after="200" w:line="300"/>
        <w:jc w:val="both"/>
      </w:pPr>
      <w:r>
        <w:rPr>
          <w:sz w:val="22"/>
          <w:szCs w:val="22"/>
        </w:rPr>
        <w:t xml:space="preserve">No Painel Administrativo, a equipe da Prefeitura mantém o cadastro completo das espécies de árvores (nome, descrição, fotos, porte, cuidados e quantidade em estoque), analisa e aprova ou recusa os cadastros de moradores e os pedidos de plantio, organiza a agenda das equipes de plantio em campo, controla o estoque de mudas por espécie e ponto de distribuição, e acompanha indicadores gerais do programa, como número de árvores plantadas por bairro e por período, taxa de adesão e engajamento no ranking.</w:t>
      </w:r>
    </w:p>
    <w:p>
      <w:pPr>
        <w:spacing w:after="200" w:line="300"/>
        <w:jc w:val="both"/>
      </w:pPr>
      <w:r>
        <w:rPr>
          <w:sz w:val="22"/>
          <w:szCs w:val="22"/>
        </w:rPr>
        <w:t xml:space="preserve">A plataforma será desenvolvida como uma aplicação web responsiva (podendo evoluir para PWA), priorizando simplicidade de uso tanto para o morador quanto para a equipe da Prefeitura, com foco em tornar o processo de arborização urbana mais acessível, transparente e reconhecido pela comunidade.</w:t>
      </w:r>
    </w:p>
    <w:p>
      <w:pPr>
        <w:pStyle w:val="Heading1"/>
        <w:pBdr>
          <w:bottom w:val="single" w:color="2E7D32" w:sz="6" w:space="4"/>
        </w:pBdr>
        <w:spacing w:after="200" w:before="400"/>
      </w:pPr>
      <w:r>
        <w:rPr>
          <w:b/>
          <w:bCs/>
          <w:color w:val="1B5E20"/>
          <w:sz w:val="30"/>
          <w:szCs w:val="30"/>
        </w:rPr>
        <w:t xml:space="preserve">Requisitos</w:t>
      </w:r>
    </w:p>
    <w:p>
      <w:pPr>
        <w:spacing w:after="200" w:line="300"/>
        <w:jc w:val="both"/>
      </w:pPr>
      <w:r>
        <w:rPr>
          <w:sz w:val="22"/>
          <w:szCs w:val="22"/>
        </w:rPr>
        <w:t xml:space="preserve">Os requisitos do sistema RootCity foram estruturados a partir da proposta de valor do projeto — aproximar o morador do programa municipal de arborização — e organizados considerando as duas frentes de uso da plataforma: o Portal do Morador e o Painel Administrativo da Prefeitura. A seguir apresentam-se os requisitos funcionais, que descrevem as funcionalidades do sistema, e os requisitos não funcionais, que descrevem as qualidades e restrições técnicas esperadas.</w:t>
      </w:r>
    </w:p>
    <w:p>
      <w:pPr>
        <w:pStyle w:val="Heading2"/>
        <w:spacing w:after="150" w:before="300"/>
      </w:pPr>
      <w:r>
        <w:rPr>
          <w:b/>
          <w:bCs/>
          <w:color w:val="1B5E20"/>
          <w:sz w:val="24"/>
          <w:szCs w:val="24"/>
        </w:rPr>
        <w:t xml:space="preserve">Requisitos Funcionais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800"/>
      </w:tblGrid>
      <w:tr>
        <w:trPr>
          <w:tblHeader/>
        </w:trPr>
        <w:tc>
          <w:tcPr>
            <w:tcW w:type="dxa" w:w="1600"/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800"/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600"/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B5E20"/>
                <w:sz w:val="20"/>
                <w:szCs w:val="20"/>
              </w:rPr>
              <w:t xml:space="preserve">RF-01</w:t>
            </w:r>
          </w:p>
        </w:tc>
        <w:tc>
          <w:tcPr>
            <w:tcW w:type="dxa" w:w="7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Cadastro de Morador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O sistema deve permitir que o cidadão se cadastre informando nome, CPF, telefone, e-mail, endereço completo e upload de comprovante de residência. Critério: cadastro só é liberado para uso após validação do comprovante pela administração.</w:t>
            </w:r>
          </w:p>
        </w:tc>
      </w:tr>
      <w:tr>
        <w:tc>
          <w:tcPr>
            <w:tcW w:type="dxa" w:w="1600"/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B5E20"/>
                <w:sz w:val="20"/>
                <w:szCs w:val="20"/>
              </w:rPr>
              <w:t xml:space="preserve">RF-02</w:t>
            </w:r>
          </w:p>
        </w:tc>
        <w:tc>
          <w:tcPr>
            <w:tcW w:type="dxa" w:w="7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Validação de Residência (ADM)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A administração deve analisar o comprovante de residência enviado e aprovar ou recusar o cadastro, garantindo que apenas moradores de Catanduva utilizem o sistema.</w:t>
            </w:r>
          </w:p>
        </w:tc>
      </w:tr>
      <w:tr>
        <w:tc>
          <w:tcPr>
            <w:tcW w:type="dxa" w:w="1600"/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B5E20"/>
                <w:sz w:val="20"/>
                <w:szCs w:val="20"/>
              </w:rPr>
              <w:t xml:space="preserve">RF-03</w:t>
            </w:r>
          </w:p>
        </w:tc>
        <w:tc>
          <w:tcPr>
            <w:tcW w:type="dxa" w:w="7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Autenticação de Usuário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O sistema deve permitir login para os perfis Morador e ADM, com controle de permissões distintas para cada tipo de acesso.</w:t>
            </w:r>
          </w:p>
        </w:tc>
      </w:tr>
      <w:tr>
        <w:tc>
          <w:tcPr>
            <w:tcW w:type="dxa" w:w="1600"/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B5E20"/>
                <w:sz w:val="20"/>
                <w:szCs w:val="20"/>
              </w:rPr>
              <w:t xml:space="preserve">RF-04</w:t>
            </w:r>
          </w:p>
        </w:tc>
        <w:tc>
          <w:tcPr>
            <w:tcW w:type="dxa" w:w="7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Catálogo de Árvores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O morador deve visualizar as espécies de árvores disponíveis, com foto, nome popular e científico, porte, características e disponibilidade de mudas em estoque.</w:t>
            </w:r>
          </w:p>
        </w:tc>
      </w:tr>
      <w:tr>
        <w:tc>
          <w:tcPr>
            <w:tcW w:type="dxa" w:w="1600"/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B5E20"/>
                <w:sz w:val="20"/>
                <w:szCs w:val="20"/>
              </w:rPr>
              <w:t xml:space="preserve">RF-05</w:t>
            </w:r>
          </w:p>
        </w:tc>
        <w:tc>
          <w:tcPr>
            <w:tcW w:type="dxa" w:w="7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Solicitação de Plantio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O morador escolhe uma espécie, informa o endereço/local exato da calçada e cria uma solicitação de plantio, que é registrada com status Solicitado.</w:t>
            </w:r>
          </w:p>
        </w:tc>
      </w:tr>
      <w:tr>
        <w:tc>
          <w:tcPr>
            <w:tcW w:type="dxa" w:w="1600"/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B5E20"/>
                <w:sz w:val="20"/>
                <w:szCs w:val="20"/>
              </w:rPr>
              <w:t xml:space="preserve">RF-06</w:t>
            </w:r>
          </w:p>
        </w:tc>
        <w:tc>
          <w:tcPr>
            <w:tcW w:type="dxa" w:w="7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Escolha de Retirada ou Plantio pela Equipe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No momento da solicitação, o morador escolhe entre retirar a muda em ponto de coleta da Prefeitura ou solicitar que o plantio seja realizado pela equipe técnica no endereço informado.</w:t>
            </w:r>
          </w:p>
        </w:tc>
      </w:tr>
      <w:tr>
        <w:tc>
          <w:tcPr>
            <w:tcW w:type="dxa" w:w="1600"/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B5E20"/>
                <w:sz w:val="20"/>
                <w:szCs w:val="20"/>
              </w:rPr>
              <w:t xml:space="preserve">RF-07</w:t>
            </w:r>
          </w:p>
        </w:tc>
        <w:tc>
          <w:tcPr>
            <w:tcW w:type="dxa" w:w="7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Análise e Aprovação do Pedido (ADM)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A administração analisa a viabilidade do local e a disponibilidade da espécie, podendo aprovar, recusar ou solicitar ajuste no pedido do morador.</w:t>
            </w:r>
          </w:p>
        </w:tc>
      </w:tr>
      <w:tr>
        <w:tc>
          <w:tcPr>
            <w:tcW w:type="dxa" w:w="1600"/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B5E20"/>
                <w:sz w:val="20"/>
                <w:szCs w:val="20"/>
              </w:rPr>
              <w:t xml:space="preserve">RF-08</w:t>
            </w:r>
          </w:p>
        </w:tc>
        <w:tc>
          <w:tcPr>
            <w:tcW w:type="dxa" w:w="7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Agendamento do Plantio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Após aprovado, o pedido é agendado com data prevista de retirada ou de visita da equipe de plantio, sendo essa informação exibida ao morador.</w:t>
            </w:r>
          </w:p>
        </w:tc>
      </w:tr>
      <w:tr>
        <w:tc>
          <w:tcPr>
            <w:tcW w:type="dxa" w:w="1600"/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B5E20"/>
                <w:sz w:val="20"/>
                <w:szCs w:val="20"/>
              </w:rPr>
              <w:t xml:space="preserve">RF-09</w:t>
            </w:r>
          </w:p>
        </w:tc>
        <w:tc>
          <w:tcPr>
            <w:tcW w:type="dxa" w:w="7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Acompanhamento de Status do Pedido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O morador deve poder acompanhar, em tempo real, a evolução de seu pedido pelos status: Solicitado, Em Análise, Aprovado, Agendado e Plantio Concluído.</w:t>
            </w:r>
          </w:p>
        </w:tc>
      </w:tr>
      <w:tr>
        <w:tc>
          <w:tcPr>
            <w:tcW w:type="dxa" w:w="1600"/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B5E20"/>
                <w:sz w:val="20"/>
                <w:szCs w:val="20"/>
              </w:rPr>
              <w:t xml:space="preserve">RF-10</w:t>
            </w:r>
          </w:p>
        </w:tc>
        <w:tc>
          <w:tcPr>
            <w:tcW w:type="dxa" w:w="7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Baixa Automática de Estoque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Ao confirmar o plantio (retirada ou entrega), o sistema deve dar baixa automática na quantidade de mudas disponíveis da espécie correspondente.</w:t>
            </w:r>
          </w:p>
        </w:tc>
      </w:tr>
      <w:tr>
        <w:tc>
          <w:tcPr>
            <w:tcW w:type="dxa" w:w="1600"/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B5E20"/>
                <w:sz w:val="20"/>
                <w:szCs w:val="20"/>
              </w:rPr>
              <w:t xml:space="preserve">RF-11</w:t>
            </w:r>
          </w:p>
        </w:tc>
        <w:tc>
          <w:tcPr>
            <w:tcW w:type="dxa" w:w="7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Emissão da Carteirinha RootCity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Após a confirmação do primeiro plantio do morador, o sistema deve gerar automaticamente a Carteirinha RootCity, cartão digital de fidelidade ao programa de sustentabilidade.</w:t>
            </w:r>
          </w:p>
        </w:tc>
      </w:tr>
      <w:tr>
        <w:tc>
          <w:tcPr>
            <w:tcW w:type="dxa" w:w="1600"/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B5E20"/>
                <w:sz w:val="20"/>
                <w:szCs w:val="20"/>
              </w:rPr>
              <w:t xml:space="preserve">RF-12</w:t>
            </w:r>
          </w:p>
        </w:tc>
        <w:tc>
          <w:tcPr>
            <w:tcW w:type="dxa" w:w="7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Gamificação e Pontuação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Cada plantio confirmado deve gerar pontos ao morador, que se acumulam em seu perfil e alimentam um sistema de ranking de participação.</w:t>
            </w:r>
          </w:p>
        </w:tc>
      </w:tr>
      <w:tr>
        <w:tc>
          <w:tcPr>
            <w:tcW w:type="dxa" w:w="1600"/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B5E20"/>
                <w:sz w:val="20"/>
                <w:szCs w:val="20"/>
              </w:rPr>
              <w:t xml:space="preserve">RF-13</w:t>
            </w:r>
          </w:p>
        </w:tc>
        <w:tc>
          <w:tcPr>
            <w:tcW w:type="dxa" w:w="7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Ranking Público de Participação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O sistema deve exibir um ranking público dos moradores e/ou bairros que mais plantaram ou ajudaram a plantar árvores no programa.</w:t>
            </w:r>
          </w:p>
        </w:tc>
      </w:tr>
      <w:tr>
        <w:tc>
          <w:tcPr>
            <w:tcW w:type="dxa" w:w="1600"/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B5E20"/>
                <w:sz w:val="20"/>
                <w:szCs w:val="20"/>
              </w:rPr>
              <w:t xml:space="preserve">RF-14</w:t>
            </w:r>
          </w:p>
        </w:tc>
        <w:tc>
          <w:tcPr>
            <w:tcW w:type="dxa" w:w="7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Mapa de Árvores Plantadas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O sistema deve exibir, em um mapa da cidade, a localização geral das árvores já plantadas por meio do programa.</w:t>
            </w:r>
          </w:p>
        </w:tc>
      </w:tr>
      <w:tr>
        <w:tc>
          <w:tcPr>
            <w:tcW w:type="dxa" w:w="1600"/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B5E20"/>
                <w:sz w:val="20"/>
                <w:szCs w:val="20"/>
              </w:rPr>
              <w:t xml:space="preserve">RF-15</w:t>
            </w:r>
          </w:p>
        </w:tc>
        <w:tc>
          <w:tcPr>
            <w:tcW w:type="dxa" w:w="7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Gestão de Espécies de Árvores (ADM)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A administração deve poder cadastrar, editar e inativar espécies de árvores, incluindo fotos, descrição, porte, cuidados e características.</w:t>
            </w:r>
          </w:p>
        </w:tc>
      </w:tr>
      <w:tr>
        <w:tc>
          <w:tcPr>
            <w:tcW w:type="dxa" w:w="1600"/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B5E20"/>
                <w:sz w:val="20"/>
                <w:szCs w:val="20"/>
              </w:rPr>
              <w:t xml:space="preserve">RF-16</w:t>
            </w:r>
          </w:p>
        </w:tc>
        <w:tc>
          <w:tcPr>
            <w:tcW w:type="dxa" w:w="7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Gestão de Estoque de Mudas (ADM)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A administração deve controlar a quantidade de mudas disponíveis por espécie e por ponto de distribuição, com alertas automáticos de estoque baixo.</w:t>
            </w:r>
          </w:p>
        </w:tc>
      </w:tr>
      <w:tr>
        <w:tc>
          <w:tcPr>
            <w:tcW w:type="dxa" w:w="1600"/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B5E20"/>
                <w:sz w:val="20"/>
                <w:szCs w:val="20"/>
              </w:rPr>
              <w:t xml:space="preserve">RF-17</w:t>
            </w:r>
          </w:p>
        </w:tc>
        <w:tc>
          <w:tcPr>
            <w:tcW w:type="dxa" w:w="7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Gestão de Pedidos (ADM)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A administração deve visualizar a fila de pedidos, aprovar, recusar ou reagendar solicitações, e registrar a conclusão de cada plantio.</w:t>
            </w:r>
          </w:p>
        </w:tc>
      </w:tr>
      <w:tr>
        <w:tc>
          <w:tcPr>
            <w:tcW w:type="dxa" w:w="1600"/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B5E20"/>
                <w:sz w:val="20"/>
                <w:szCs w:val="20"/>
              </w:rPr>
              <w:t xml:space="preserve">RF-18</w:t>
            </w:r>
          </w:p>
        </w:tc>
        <w:tc>
          <w:tcPr>
            <w:tcW w:type="dxa" w:w="7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Notificações ao Morador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O sistema deve notificar o morador (e-mail e/ou notificação no site) sobre mudanças de status do seu pedido, como aprovação, agendamento e conclusão.</w:t>
            </w:r>
          </w:p>
        </w:tc>
      </w:tr>
      <w:tr>
        <w:tc>
          <w:tcPr>
            <w:tcW w:type="dxa" w:w="1600"/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B5E20"/>
                <w:sz w:val="20"/>
                <w:szCs w:val="20"/>
              </w:rPr>
              <w:t xml:space="preserve">RF-19</w:t>
            </w:r>
          </w:p>
        </w:tc>
        <w:tc>
          <w:tcPr>
            <w:tcW w:type="dxa" w:w="7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Relatórios e Indicadores (ADM)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A administração deve gerar relatórios com número de árvores plantadas por bairro, por período e por espécie, além de indicadores de engajamento no programa.</w:t>
            </w:r>
          </w:p>
        </w:tc>
      </w:tr>
      <w:tr>
        <w:tc>
          <w:tcPr>
            <w:tcW w:type="dxa" w:w="1600"/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B5E20"/>
                <w:sz w:val="20"/>
                <w:szCs w:val="20"/>
              </w:rPr>
              <w:t xml:space="preserve">RF-20</w:t>
            </w:r>
          </w:p>
        </w:tc>
        <w:tc>
          <w:tcPr>
            <w:tcW w:type="dxa" w:w="7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Consentimento LGPD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O sistema deve coletar consentimento explícito do morador para o tratamento de seus dados pessoais e do comprovante de residência, oferecendo opção de solicitação de exclusão de dados.</w:t>
            </w:r>
          </w:p>
        </w:tc>
      </w:tr>
    </w:tbl>
    <w:p>
      <w:pPr>
        <w:spacing w:before="300"/>
      </w:pPr>
    </w:p>
    <w:p>
      <w:pPr>
        <w:pStyle w:val="Heading2"/>
        <w:spacing w:after="150" w:before="300"/>
      </w:pPr>
      <w:r>
        <w:rPr>
          <w:b/>
          <w:bCs/>
          <w:color w:val="1B5E20"/>
          <w:sz w:val="24"/>
          <w:szCs w:val="24"/>
        </w:rPr>
        <w:t xml:space="preserve">Requisitos Não Funcionais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800"/>
      </w:tblGrid>
      <w:tr>
        <w:trPr>
          <w:tblHeader/>
        </w:trPr>
        <w:tc>
          <w:tcPr>
            <w:tcW w:type="dxa" w:w="1600"/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800"/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600"/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B5E20"/>
                <w:sz w:val="20"/>
                <w:szCs w:val="20"/>
              </w:rPr>
              <w:t xml:space="preserve">RNF-01</w:t>
            </w:r>
          </w:p>
        </w:tc>
        <w:tc>
          <w:tcPr>
            <w:tcW w:type="dxa" w:w="7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Mobile-first / Responsividade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A interface deve ser projetada prioritariamente para uso em dispositivos móveis, adaptando-se de forma fluida a diferentes tamanhos de tela.</w:t>
            </w:r>
          </w:p>
        </w:tc>
      </w:tr>
      <w:tr>
        <w:tc>
          <w:tcPr>
            <w:tcW w:type="dxa" w:w="1600"/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B5E20"/>
                <w:sz w:val="20"/>
                <w:szCs w:val="20"/>
              </w:rPr>
              <w:t xml:space="preserve">RNF-02</w:t>
            </w:r>
          </w:p>
        </w:tc>
        <w:tc>
          <w:tcPr>
            <w:tcW w:type="dxa" w:w="7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Restrição Geográfica de Uso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O sistema deve ser destinado exclusivamente a moradores de Catanduva/SP, sendo o comprovante de residência condição obrigatória para liberação do cadastro.</w:t>
            </w:r>
          </w:p>
        </w:tc>
      </w:tr>
      <w:tr>
        <w:tc>
          <w:tcPr>
            <w:tcW w:type="dxa" w:w="1600"/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B5E20"/>
                <w:sz w:val="20"/>
                <w:szCs w:val="20"/>
              </w:rPr>
              <w:t xml:space="preserve">RNF-03</w:t>
            </w:r>
          </w:p>
        </w:tc>
        <w:tc>
          <w:tcPr>
            <w:tcW w:type="dxa" w:w="7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Desempenho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As páginas principais, incluindo o catálogo de árvores, devem carregar em até 2,5 segundos em conexão 4G.</w:t>
            </w:r>
          </w:p>
        </w:tc>
      </w:tr>
      <w:tr>
        <w:tc>
          <w:tcPr>
            <w:tcW w:type="dxa" w:w="1600"/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B5E20"/>
                <w:sz w:val="20"/>
                <w:szCs w:val="20"/>
              </w:rPr>
              <w:t xml:space="preserve">RNF-04</w:t>
            </w:r>
          </w:p>
        </w:tc>
        <w:tc>
          <w:tcPr>
            <w:tcW w:type="dxa" w:w="7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Disponibilidade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O sistema deve manter disponibilidade mínima de 99% durante o horário comercial, com monitoramento de falhas.</w:t>
            </w:r>
          </w:p>
        </w:tc>
      </w:tr>
      <w:tr>
        <w:tc>
          <w:tcPr>
            <w:tcW w:type="dxa" w:w="1600"/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B5E20"/>
                <w:sz w:val="20"/>
                <w:szCs w:val="20"/>
              </w:rPr>
              <w:t xml:space="preserve">RNF-05</w:t>
            </w:r>
          </w:p>
        </w:tc>
        <w:tc>
          <w:tcPr>
            <w:tcW w:type="dxa" w:w="7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Segurança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O sistema deve utilizar HTTPS obrigatório, autenticação segura para o perfil ADM e proteção dos dados pessoais e documentos enviados pelos moradores.</w:t>
            </w:r>
          </w:p>
        </w:tc>
      </w:tr>
      <w:tr>
        <w:tc>
          <w:tcPr>
            <w:tcW w:type="dxa" w:w="1600"/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B5E20"/>
                <w:sz w:val="20"/>
                <w:szCs w:val="20"/>
              </w:rPr>
              <w:t xml:space="preserve">RNF-06</w:t>
            </w:r>
          </w:p>
        </w:tc>
        <w:tc>
          <w:tcPr>
            <w:tcW w:type="dxa" w:w="7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Acessibilidade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A interface deve seguir diretrizes de acessibilidade compatíveis com o padrão WCAG 2.1 nível AA.</w:t>
            </w:r>
          </w:p>
        </w:tc>
      </w:tr>
      <w:tr>
        <w:tc>
          <w:tcPr>
            <w:tcW w:type="dxa" w:w="1600"/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B5E20"/>
                <w:sz w:val="20"/>
                <w:szCs w:val="20"/>
              </w:rPr>
              <w:t xml:space="preserve">RNF-07</w:t>
            </w:r>
          </w:p>
        </w:tc>
        <w:tc>
          <w:tcPr>
            <w:tcW w:type="dxa" w:w="7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Escalabilidade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A arquitetura deve permitir crescimento no número de usuários e solicitações sem perda relevante de desempenho.</w:t>
            </w:r>
          </w:p>
        </w:tc>
      </w:tr>
      <w:tr>
        <w:tc>
          <w:tcPr>
            <w:tcW w:type="dxa" w:w="1600"/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B5E20"/>
                <w:sz w:val="20"/>
                <w:szCs w:val="20"/>
              </w:rPr>
              <w:t xml:space="preserve">RNF-08</w:t>
            </w:r>
          </w:p>
        </w:tc>
        <w:tc>
          <w:tcPr>
            <w:tcW w:type="dxa" w:w="7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Backup e Retenção de Dados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O sistema deve realizar backups periódicos do banco de dados, com retenção de logs de auditoria por período mínimo definido pela administração.</w:t>
            </w:r>
          </w:p>
        </w:tc>
      </w:tr>
      <w:tr>
        <w:tc>
          <w:tcPr>
            <w:tcW w:type="dxa" w:w="1600"/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B5E20"/>
                <w:sz w:val="20"/>
                <w:szCs w:val="20"/>
              </w:rPr>
              <w:t xml:space="preserve">RNF-09</w:t>
            </w:r>
          </w:p>
        </w:tc>
        <w:tc>
          <w:tcPr>
            <w:tcW w:type="dxa" w:w="7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Usabilidade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O fluxo de solicitação de plantio deve ser simples e intuitivo, permitindo que um morador conclua um pedido em poucos passos, sem necessidade de conhecimento técnico.</w:t>
            </w:r>
          </w:p>
        </w:tc>
      </w:tr>
    </w:tbl>
    <w:sectPr>
      <w:pgSz w:w="11906" w:h="16838" w:orient="portrait"/>
      <w:pgMar w:top="1134" w:right="1417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04" w:hanging="288"/>
      </w:pPr>
    </w:lvl>
    <w:lvl w:ilvl="1" w15:tentative="1">
      <w:start w:val="1"/>
      <w:numFmt w:val="bullet"/>
      <w:lvlText w:val="○"/>
      <w:lvlJc w:val="left"/>
      <w:pPr>
        <w:ind w:left="1008" w:hanging="288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2026-08-01T00:32:54.343Z</dcterms:created>
  <dcterms:modified xsi:type="dcterms:W3CDTF">2026-08-01T00:32:54.363Z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