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4BDC"/>
          <w:sz w:val="54"/>
        </w:rPr>
        <w:t>SKILLWAY</w:t>
      </w:r>
    </w:p>
    <w:p>
      <w:pPr>
        <w:jc w:val="center"/>
      </w:pPr>
      <w:r>
        <w:rPr>
          <w:b/>
          <w:sz w:val="36"/>
        </w:rPr>
        <w:t>Pesquisa de Validação + Persona + Análise Estratégica</w:t>
      </w:r>
    </w:p>
    <w:p>
      <w:pPr>
        <w:jc w:val="center"/>
      </w:pPr>
      <w:r>
        <w:rPr>
          <w:i/>
          <w:sz w:val="20"/>
        </w:rPr>
        <w:t>Baseado nas 22 respostas do formulário e nos materiais visuais apresentados</w:t>
      </w:r>
    </w:p>
    <w:p>
      <w:pPr>
        <w:pStyle w:val="Heading1"/>
      </w:pPr>
      <w:r>
        <w:t>1. Visão geral</w:t>
      </w:r>
    </w:p>
    <w:p>
      <w:r>
        <w:t>Este material reúne o slide de Pesquisa de Validação e o Canvas de Persona v2 apresentados, acrescentando uma leitura analítica complementar. O objetivo é transformar os dados em uma narrativa coerente para apresentação, distinguindo claramente dado observado de interpretação.</w:t>
      </w:r>
    </w:p>
    <w:p>
      <w:r>
        <w:t>A pesquisa reúne 22 respostas válidas, coletadas entre 10 e 18 de setembro de 2026, conforme indicado nos materiais. Os percentuais representam esta amostra e não devem ser apresentados como retrato estatístico de todo o mercado.</w:t>
      </w:r>
    </w:p>
    <w:p>
      <w:pPr>
        <w:pStyle w:val="Heading1"/>
      </w:pPr>
      <w:r>
        <w:t>2. Pesquisa de Validação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059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Way - Slide Pesquisa de Valid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Slide de Pesquisa de Validação da SkillWay.</w:t>
      </w:r>
    </w:p>
    <w:p>
      <w:pPr>
        <w:pStyle w:val="Heading1"/>
      </w:pPr>
      <w:r>
        <w:t>3. Principais achados</w:t>
      </w:r>
    </w:p>
    <w:p>
      <w:pPr>
        <w:pStyle w:val="ListBullet"/>
      </w:pPr>
      <w:r>
        <w:rPr>
          <w:b/>
        </w:rPr>
        <w:t xml:space="preserve">95% (21/22) — </w:t>
      </w:r>
      <w:r>
        <w:t>achariam útil uma plataforma como a SkillWay.</w:t>
      </w:r>
    </w:p>
    <w:p>
      <w:pPr>
        <w:pStyle w:val="ListBullet"/>
      </w:pPr>
      <w:r>
        <w:rPr>
          <w:b/>
        </w:rPr>
        <w:t xml:space="preserve">64% — </w:t>
      </w:r>
      <w:r>
        <w:t>têm entre 18 e 24 anos.</w:t>
      </w:r>
    </w:p>
    <w:p>
      <w:pPr>
        <w:pStyle w:val="ListBullet"/>
      </w:pPr>
      <w:r>
        <w:rPr>
          <w:b/>
        </w:rPr>
        <w:t xml:space="preserve">59% — </w:t>
      </w:r>
      <w:r>
        <w:t>estão empregados.</w:t>
      </w:r>
    </w:p>
    <w:p>
      <w:pPr>
        <w:pStyle w:val="ListBullet"/>
      </w:pPr>
      <w:r>
        <w:rPr>
          <w:b/>
        </w:rPr>
        <w:t xml:space="preserve">46% — </w:t>
      </w:r>
      <w:r>
        <w:t>estão há 1 a 2 anos na função atual.</w:t>
      </w:r>
    </w:p>
    <w:p>
      <w:pPr>
        <w:pStyle w:val="ListBullet"/>
      </w:pPr>
      <w:r>
        <w:rPr>
          <w:b/>
        </w:rPr>
        <w:t xml:space="preserve">41% — </w:t>
      </w:r>
      <w:r>
        <w:t>possuem formação em Tecnologia da Informação, a maior área individual da amostra.</w:t>
      </w:r>
    </w:p>
    <w:p>
      <w:pPr>
        <w:pStyle w:val="ListBullet"/>
      </w:pPr>
      <w:r>
        <w:rPr>
          <w:b/>
        </w:rPr>
        <w:t xml:space="preserve">41% — </w:t>
      </w:r>
      <w:r>
        <w:t>querem evoluir na própria formação; 27% na própria atuação e 14% indicaram migração de área.</w:t>
      </w:r>
    </w:p>
    <w:p>
      <w:pPr>
        <w:pStyle w:val="ListBullet"/>
      </w:pPr>
      <w:r>
        <w:rPr>
          <w:b/>
        </w:rPr>
        <w:t xml:space="preserve">73% — </w:t>
      </w:r>
      <w:r>
        <w:t>sentem-se capacitados para atuar na área desejada.</w:t>
      </w:r>
    </w:p>
    <w:p>
      <w:pPr>
        <w:pStyle w:val="ListBullet"/>
      </w:pPr>
      <w:r>
        <w:rPr>
          <w:b/>
        </w:rPr>
        <w:t xml:space="preserve">45% — </w:t>
      </w:r>
      <w:r>
        <w:t>sentem alguma insegurança na função atual.</w:t>
      </w:r>
    </w:p>
    <w:p>
      <w:pPr>
        <w:pStyle w:val="Heading1"/>
      </w:pPr>
      <w:r>
        <w:t>4. Leitura estratégica dos dados</w:t>
      </w:r>
    </w:p>
    <w:p>
      <w:r>
        <w:t>A combinação mais relevante é: o público não está necessariamente começando do zero, mas ainda precisa de direção. A pesquisa mostra uma população jovem e em início de carreira, com participação relevante de pessoas empregadas, que deseja evoluir e, ao mesmo tempo, demonstra alguma insegurança ou dificuldade para decidir o próximo passo.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Dado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Interpretação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Implicação para a SkillWay</w:t>
            </w:r>
          </w:p>
        </w:tc>
      </w:tr>
      <w:tr>
        <w:tc>
          <w:tcPr>
            <w:tcW w:type="dxa" w:w="3408"/>
          </w:tcPr>
          <w:p>
            <w:r>
              <w:t>73% se sentem capacitados</w:t>
            </w:r>
          </w:p>
        </w:tc>
        <w:tc>
          <w:tcPr>
            <w:tcW w:type="dxa" w:w="3408"/>
          </w:tcPr>
          <w:p>
            <w:r>
              <w:t>Existe conhecimento prévio.</w:t>
            </w:r>
          </w:p>
        </w:tc>
        <w:tc>
          <w:tcPr>
            <w:tcW w:type="dxa" w:w="3408"/>
          </w:tcPr>
          <w:p>
            <w:r>
              <w:t>Não posicionar o produto apenas como ensino básico.</w:t>
            </w:r>
          </w:p>
        </w:tc>
      </w:tr>
      <w:tr>
        <w:tc>
          <w:tcPr>
            <w:tcW w:type="dxa" w:w="3408"/>
          </w:tcPr>
          <w:p>
            <w:r>
              <w:t>45% sentem insegurança</w:t>
            </w:r>
          </w:p>
        </w:tc>
        <w:tc>
          <w:tcPr>
            <w:tcW w:type="dxa" w:w="3408"/>
          </w:tcPr>
          <w:p>
            <w:r>
              <w:t>Capacidade não elimina dúvida sobre próximos passos.</w:t>
            </w:r>
          </w:p>
        </w:tc>
        <w:tc>
          <w:tcPr>
            <w:tcW w:type="dxa" w:w="3408"/>
          </w:tcPr>
          <w:p>
            <w:r>
              <w:t>Oferecer direção, prática e feedback.</w:t>
            </w:r>
          </w:p>
        </w:tc>
      </w:tr>
      <w:tr>
        <w:tc>
          <w:tcPr>
            <w:tcW w:type="dxa" w:w="3408"/>
          </w:tcPr>
          <w:p>
            <w:r>
              <w:t>41% querem evoluir na formação</w:t>
            </w:r>
          </w:p>
        </w:tc>
        <w:tc>
          <w:tcPr>
            <w:tcW w:type="dxa" w:w="3408"/>
          </w:tcPr>
          <w:p>
            <w:r>
              <w:t>O objetivo costuma estar relativamente próximo da área atual.</w:t>
            </w:r>
          </w:p>
        </w:tc>
        <w:tc>
          <w:tcPr>
            <w:tcW w:type="dxa" w:w="3408"/>
          </w:tcPr>
          <w:p>
            <w:r>
              <w:t>Ajudar a priorizar competências para avançar.</w:t>
            </w:r>
          </w:p>
        </w:tc>
      </w:tr>
      <w:tr>
        <w:tc>
          <w:tcPr>
            <w:tcW w:type="dxa" w:w="3408"/>
          </w:tcPr>
          <w:p>
            <w:r>
              <w:t>95% veem utilidade</w:t>
            </w:r>
          </w:p>
        </w:tc>
        <w:tc>
          <w:tcPr>
            <w:tcW w:type="dxa" w:w="3408"/>
          </w:tcPr>
          <w:p>
            <w:r>
              <w:t>Há sinal de aderência dentro da amostra.</w:t>
            </w:r>
          </w:p>
        </w:tc>
        <w:tc>
          <w:tcPr>
            <w:tcW w:type="dxa" w:w="3408"/>
          </w:tcPr>
          <w:p>
            <w:r>
              <w:t>Usar como evidência inicial, não como validação de mercado em escala.</w:t>
            </w:r>
          </w:p>
        </w:tc>
      </w:tr>
    </w:tbl>
    <w:p>
      <w:pPr>
        <w:pStyle w:val="Heading1"/>
      </w:pPr>
      <w:r>
        <w:t>5. Respostas abertas: o problema por trás dos números</w:t>
      </w:r>
    </w:p>
    <w:p>
      <w:r>
        <w:rPr>
          <w:b/>
        </w:rPr>
        <w:t xml:space="preserve">“não sabemos por onde começar” → </w:t>
      </w:r>
      <w:r>
        <w:t>indica uma dor de orientação e definição do primeiro passo.</w:t>
      </w:r>
    </w:p>
    <w:p>
      <w:r>
        <w:rPr>
          <w:b/>
        </w:rPr>
        <w:t xml:space="preserve">“qual curso fazer, qual livro ler” → </w:t>
      </w:r>
      <w:r>
        <w:t>mostra excesso de opções e necessidade de priorização.</w:t>
      </w:r>
    </w:p>
    <w:p>
      <w:r>
        <w:rPr>
          <w:b/>
        </w:rPr>
        <w:t xml:space="preserve">“melhor direcionamento e centralização dos passos” → </w:t>
      </w:r>
      <w:r>
        <w:t>reforça a necessidade de organizar o desenvolvimento.</w:t>
      </w:r>
    </w:p>
    <w:p>
      <w:r>
        <w:rPr>
          <w:b/>
        </w:rPr>
        <w:t xml:space="preserve">“daria um norte” → </w:t>
      </w:r>
      <w:r>
        <w:t>resume a expectativa de transformar possibilidades em direção.</w:t>
      </w:r>
    </w:p>
    <w:p>
      <w:r>
        <w:t>Essas frases representam respostas qualitativas destacadas nos materiais fornecidos; não devem ser interpretadas como se todos os 22 participantes tivessem usado exatamente os mesmos termos.</w:t>
      </w:r>
    </w:p>
    <w:p>
      <w:pPr>
        <w:pStyle w:val="Heading1"/>
      </w:pPr>
      <w:r>
        <w:t>6. Canvas de Persona v2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87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Way - Canvas de Persona v2 (dados reais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 — Canvas de Persona v2, baseado nos dados reais da pesquisa.</w:t>
      </w:r>
    </w:p>
    <w:p>
      <w:pPr>
        <w:pStyle w:val="Heading1"/>
      </w:pPr>
      <w:r>
        <w:t>7. Análise da persona “Lucas Amorim”</w:t>
      </w:r>
    </w:p>
    <w:p>
      <w:r>
        <w:t>O Canvas v2 melhora a persona anterior porque deixa de partir de características arbitrárias e passa a representar os traços predominantes encontrados na pesquisa. “Lucas Amorim” deve ser apresentado como persona composta, e não como uma pessoa real.</w:t>
      </w:r>
    </w:p>
    <w:p>
      <w:pPr>
        <w:pStyle w:val="ListBullet"/>
      </w:pPr>
      <w:r>
        <w:rPr>
          <w:b/>
        </w:rPr>
        <w:t xml:space="preserve">Idade e carreira: </w:t>
      </w:r>
      <w:r>
        <w:t>18–24 anos e início da trajetória profissional são os traços predominantes.</w:t>
      </w:r>
    </w:p>
    <w:p>
      <w:pPr>
        <w:pStyle w:val="ListBullet"/>
      </w:pPr>
      <w:r>
        <w:rPr>
          <w:b/>
        </w:rPr>
        <w:t xml:space="preserve">Formação: </w:t>
      </w:r>
      <w:r>
        <w:t>TI é a maior formação individual (41%), mas não representa toda a amostra.</w:t>
      </w:r>
    </w:p>
    <w:p>
      <w:pPr>
        <w:pStyle w:val="ListBullet"/>
      </w:pPr>
      <w:r>
        <w:rPr>
          <w:b/>
        </w:rPr>
        <w:t xml:space="preserve">Situação profissional: </w:t>
      </w:r>
      <w:r>
        <w:t>59% estão empregados; portanto, a necessidade também existe durante a vida profissional ativa.</w:t>
      </w:r>
    </w:p>
    <w:p>
      <w:pPr>
        <w:pStyle w:val="ListBullet"/>
      </w:pPr>
      <w:r>
        <w:rPr>
          <w:b/>
        </w:rPr>
        <w:t xml:space="preserve">Tempo de função: </w:t>
      </w:r>
      <w:r>
        <w:t>46% estão há 1–2 anos na função e 32% há menos de 1 ano, reforçando o caráter de início de carreira.</w:t>
      </w:r>
    </w:p>
    <w:p>
      <w:pPr>
        <w:pStyle w:val="ListBullet"/>
      </w:pPr>
      <w:r>
        <w:rPr>
          <w:b/>
        </w:rPr>
        <w:t xml:space="preserve">Objetivo: </w:t>
      </w:r>
      <w:r>
        <w:t>A evolução na própria formação ou atuação é mais frequente que a migração de área.</w:t>
      </w:r>
    </w:p>
    <w:p>
      <w:pPr>
        <w:pStyle w:val="ListBullet"/>
      </w:pPr>
      <w:r>
        <w:rPr>
          <w:b/>
        </w:rPr>
        <w:t xml:space="preserve">Autopercepção: </w:t>
      </w:r>
      <w:r>
        <w:t>A persona já possui capacidade percebida, mas pode sentir insegurança e dificuldade de priorização.</w:t>
      </w:r>
    </w:p>
    <w:p>
      <w:pPr>
        <w:pStyle w:val="ListBullet"/>
      </w:pPr>
      <w:r>
        <w:rPr>
          <w:b/>
        </w:rPr>
        <w:t xml:space="preserve">Necessidade central: </w:t>
      </w:r>
      <w:r>
        <w:t>Direção: transformar várias possibilidades de aprendizagem em um caminho coerente com um objetivo.</w:t>
      </w:r>
    </w:p>
    <w:p>
      <w:pPr>
        <w:pStyle w:val="Heading1"/>
      </w:pPr>
      <w:r>
        <w:t>8. Persona refinada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Síntese</w:t>
            </w:r>
          </w:p>
        </w:tc>
      </w:tr>
      <w:tr>
        <w:tc>
          <w:tcPr>
            <w:tcW w:type="dxa" w:w="5112"/>
          </w:tcPr>
          <w:p>
            <w:r>
              <w:t>Quem é</w:t>
            </w:r>
          </w:p>
        </w:tc>
        <w:tc>
          <w:tcPr>
            <w:tcW w:type="dxa" w:w="5112"/>
          </w:tcPr>
          <w:p>
            <w:r>
              <w:t>Jovem adulto, predominantemente 18–24 anos, em início de carreira, frequentemente empregado e/ou em formação.</w:t>
            </w:r>
          </w:p>
        </w:tc>
      </w:tr>
      <w:tr>
        <w:tc>
          <w:tcPr>
            <w:tcW w:type="dxa" w:w="5112"/>
          </w:tcPr>
          <w:p>
            <w:r>
              <w:t>O que quer</w:t>
            </w:r>
          </w:p>
        </w:tc>
        <w:tc>
          <w:tcPr>
            <w:tcW w:type="dxa" w:w="5112"/>
          </w:tcPr>
          <w:p>
            <w:r>
              <w:t>Evoluir profissionalmente, principalmente na própria área de formação ou atuação.</w:t>
            </w:r>
          </w:p>
        </w:tc>
      </w:tr>
      <w:tr>
        <w:tc>
          <w:tcPr>
            <w:tcW w:type="dxa" w:w="5112"/>
          </w:tcPr>
          <w:p>
            <w:r>
              <w:t>O que já tem</w:t>
            </w:r>
          </w:p>
        </w:tc>
        <w:tc>
          <w:tcPr>
            <w:tcW w:type="dxa" w:w="5112"/>
          </w:tcPr>
          <w:p>
            <w:r>
              <w:t>Formação, conhecimento e alguma experiência; 73% se sentem capacitados para a área desejada.</w:t>
            </w:r>
          </w:p>
        </w:tc>
      </w:tr>
      <w:tr>
        <w:tc>
          <w:tcPr>
            <w:tcW w:type="dxa" w:w="5112"/>
          </w:tcPr>
          <w:p>
            <w:r>
              <w:t>O que sente</w:t>
            </w:r>
          </w:p>
        </w:tc>
        <w:tc>
          <w:tcPr>
            <w:tcW w:type="dxa" w:w="5112"/>
          </w:tcPr>
          <w:p>
            <w:r>
              <w:t>Pode sentir insegurança e dificuldade para transformar intenção de desenvolvimento em prioridade.</w:t>
            </w:r>
          </w:p>
        </w:tc>
      </w:tr>
      <w:tr>
        <w:tc>
          <w:tcPr>
            <w:tcW w:type="dxa" w:w="5112"/>
          </w:tcPr>
          <w:p>
            <w:r>
              <w:t>O que dificulta</w:t>
            </w:r>
          </w:p>
        </w:tc>
        <w:tc>
          <w:tcPr>
            <w:tcW w:type="dxa" w:w="5112"/>
          </w:tcPr>
          <w:p>
            <w:r>
              <w:t>Excesso de opções, escolha de conteúdos e falta de sequência clara.</w:t>
            </w:r>
          </w:p>
        </w:tc>
      </w:tr>
      <w:tr>
        <w:tc>
          <w:tcPr>
            <w:tcW w:type="dxa" w:w="5112"/>
          </w:tcPr>
          <w:p>
            <w:r>
              <w:t>O que procura</w:t>
            </w:r>
          </w:p>
        </w:tc>
        <w:tc>
          <w:tcPr>
            <w:tcW w:type="dxa" w:w="5112"/>
          </w:tcPr>
          <w:p>
            <w:r>
              <w:t>Direção, centralização, praticidade e recomendações relacionadas ao objetivo.</w:t>
            </w:r>
          </w:p>
        </w:tc>
      </w:tr>
      <w:tr>
        <w:tc>
          <w:tcPr>
            <w:tcW w:type="dxa" w:w="5112"/>
          </w:tcPr>
          <w:p>
            <w:r>
              <w:t>O que a SkillWay pode entregar</w:t>
            </w:r>
          </w:p>
        </w:tc>
        <w:tc>
          <w:tcPr>
            <w:tcW w:type="dxa" w:w="5112"/>
          </w:tcPr>
          <w:p>
            <w:r>
              <w:t>Perfil → objetivo → gaps → caminho → ações → evidências → evolução.</w:t>
            </w:r>
          </w:p>
        </w:tc>
      </w:tr>
    </w:tbl>
    <w:p>
      <w:pPr>
        <w:pStyle w:val="Heading1"/>
      </w:pPr>
      <w:r>
        <w:t>9. Oportunidade de diferenciação</w:t>
      </w:r>
    </w:p>
    <w:p>
      <w:r>
        <w:t>A leitura dos dados favorece um posicionamento em que a SkillWay não seja apenas mais um catálogo de cursos. O produto pode organizar o desenvolvimento profissional como um caminho.</w:t>
      </w:r>
    </w:p>
    <w:p>
      <w:r>
        <w:rPr>
          <w:b/>
        </w:rPr>
        <w:t xml:space="preserve">Modelo: </w:t>
      </w:r>
      <w:r>
        <w:t>Perfil atual → objetivo profissional → competências necessárias → lacunas → ações práticas → evidências → evolução.</w:t>
      </w:r>
    </w:p>
    <w:p>
      <w:r>
        <w:t>Isso também dá sentido ao próprio nome SkillWay: “Skill” representa as competências e “Way” representa o caminho. O slogan “Habilidades que abrem caminhos” passa a estar conectado ao funcionamento do produto.</w:t>
      </w:r>
    </w:p>
    <w:p>
      <w:pPr>
        <w:pStyle w:val="Heading1"/>
      </w:pPr>
      <w:r>
        <w:t>10. Inovações coerentes com a pesquisa</w:t>
      </w:r>
    </w:p>
    <w:p>
      <w:pPr>
        <w:pStyle w:val="ListBullet"/>
      </w:pPr>
      <w:r>
        <w:rPr>
          <w:b/>
        </w:rPr>
        <w:t xml:space="preserve">Mapa de Carreira Dinâmico: </w:t>
      </w:r>
      <w:r>
        <w:t>mostrar onde o usuário está, destinos possíveis e competências necessárias para cada caminho.</w:t>
      </w:r>
    </w:p>
    <w:p>
      <w:pPr>
        <w:pStyle w:val="ListBullet"/>
      </w:pPr>
      <w:r>
        <w:rPr>
          <w:b/>
        </w:rPr>
        <w:t xml:space="preserve">Skill Gap: </w:t>
      </w:r>
      <w:r>
        <w:t>comparar o perfil atual com o perfil exigido para um objetivo específico.</w:t>
      </w:r>
    </w:p>
    <w:p>
      <w:pPr>
        <w:pStyle w:val="ListBullet"/>
      </w:pPr>
      <w:r>
        <w:rPr>
          <w:b/>
        </w:rPr>
        <w:t xml:space="preserve">Rota Mais Rápida: </w:t>
      </w:r>
      <w:r>
        <w:t>indicar as ações prioritárias para aproximar o usuário do objetivo.</w:t>
      </w:r>
    </w:p>
    <w:p>
      <w:pPr>
        <w:pStyle w:val="ListBullet"/>
      </w:pPr>
      <w:r>
        <w:rPr>
          <w:b/>
        </w:rPr>
        <w:t xml:space="preserve">Desafios Práticos: </w:t>
      </w:r>
      <w:r>
        <w:t>trocar parte do consumo passivo de conteúdo por tarefas que gerem evidências.</w:t>
      </w:r>
    </w:p>
    <w:p>
      <w:pPr>
        <w:pStyle w:val="ListBullet"/>
      </w:pPr>
      <w:r>
        <w:rPr>
          <w:b/>
        </w:rPr>
        <w:t xml:space="preserve">Skill Proof: </w:t>
      </w:r>
      <w:r>
        <w:t>comprovar competências por projetos, desafios e avaliações, não apenas por certificados.</w:t>
      </w:r>
    </w:p>
    <w:p>
      <w:pPr>
        <w:pStyle w:val="ListBullet"/>
      </w:pPr>
      <w:r>
        <w:rPr>
          <w:b/>
        </w:rPr>
        <w:t xml:space="preserve">Perfil Profissional Vivo: </w:t>
      </w:r>
      <w:r>
        <w:t>atualizar o perfil conforme novas experiências e evidências aparecem.</w:t>
      </w:r>
    </w:p>
    <w:p>
      <w:pPr>
        <w:pStyle w:val="ListBullet"/>
      </w:pPr>
      <w:r>
        <w:rPr>
          <w:b/>
        </w:rPr>
        <w:t xml:space="preserve">Mobilidade Interna: </w:t>
      </w:r>
      <w:r>
        <w:t>relacionar competências do profissional com oportunidades dentro da própria empresa.</w:t>
      </w:r>
    </w:p>
    <w:p>
      <w:pPr>
        <w:pStyle w:val="ListBullet"/>
      </w:pPr>
      <w:r>
        <w:rPr>
          <w:b/>
        </w:rPr>
        <w:t xml:space="preserve">Radar do Mercado: </w:t>
      </w:r>
      <w:r>
        <w:t>relacionar competências exigidas em vagas com os gaps identificados no perfil.</w:t>
      </w:r>
    </w:p>
    <w:p>
      <w:pPr>
        <w:pStyle w:val="Heading1"/>
      </w:pPr>
      <w:r>
        <w:t>11. O que a pesquisa ainda não permite concluir</w:t>
      </w:r>
    </w:p>
    <w:p>
      <w:pPr>
        <w:pStyle w:val="ListBullet"/>
      </w:pPr>
      <w:r>
        <w:t>Não permite afirmar que a SkillWay está validada para o mercado inteiro; são 22 respostas.</w:t>
      </w:r>
    </w:p>
    <w:p>
      <w:pPr>
        <w:pStyle w:val="ListBullet"/>
      </w:pPr>
      <w:r>
        <w:t>Não permite generalizar o 95% para toda a população.</w:t>
      </w:r>
    </w:p>
    <w:p>
      <w:pPr>
        <w:pStyle w:val="ListBullet"/>
      </w:pPr>
      <w:r>
        <w:t>Não permite dizer que o público é predominantemente de TI em termos absolutos; TI é a maior área individual da amostra.</w:t>
      </w:r>
    </w:p>
    <w:p>
      <w:pPr>
        <w:pStyle w:val="ListBullet"/>
      </w:pPr>
      <w:r>
        <w:t>Não sustenta a ideia de que o principal problema seja falta de conhecimento, pois 73% se sentem capacitados para a área desejada.</w:t>
      </w:r>
    </w:p>
    <w:p>
      <w:pPr>
        <w:pStyle w:val="ListBullet"/>
      </w:pPr>
      <w:r>
        <w:t>A persona “Lucas Amorim” é composta e serve para comunicação e projeto; não representa uma pessoa real.</w:t>
      </w:r>
    </w:p>
    <w:p>
      <w:pPr>
        <w:pStyle w:val="Heading1"/>
      </w:pPr>
      <w:r>
        <w:t>12. Roteiro de fala para a apresentação</w:t>
      </w:r>
    </w:p>
    <w:p>
      <w:r>
        <w:t>“Nós começamos com a hipótese de que quem quer evoluir profissionalmente precisa de mais do que acesso a conteúdos. Para testar isso, coletamos 22 respostas. 21 dos 22 respondentes disseram que considerariam útil uma plataforma como a SkillWay. O dado que mais chamou nossa atenção foi que 73% se sentem capacitados para a área desejada, mas 45% ainda sentem alguma insegurança na função atual. Nas respostas abertas, apareceram necessidades de direção, centralização e dificuldade para saber por onde começar. Isso muda a forma como entendemos o problema: a oportunidade não é simplesmente oferecer mais conteúdo, mas organizar as possibilidades em um caminho. É entender onde a pessoa está, onde ela quer chegar e quais passos fazem sentido para chegar lá.”</w:t>
      </w:r>
    </w:p>
    <w:p>
      <w:pPr>
        <w:pStyle w:val="Heading1"/>
      </w:pPr>
      <w:r>
        <w:t>13. Conclusão</w:t>
      </w:r>
    </w:p>
    <w:p>
      <w:r>
        <w:t>A pesquisa dá um primeiro sinal positivo de aderência da proposta e, principalmente, ajuda a definir melhor o problema. A persona predominante não é simplesmente alguém sem conhecimento: é uma pessoa em processo de construção profissional, que já possui alguma formação ou experiência e precisa de clareza para decidir o que priorizar.</w:t>
      </w:r>
    </w:p>
    <w:p>
      <w:r>
        <w:t>Por isso, a direção mais consistente para a SkillWay é uma experiência de navegação profissional: menos “catálogo de cursos” e mais “caminho personalizado”. A combinação de diagnóstico, objetivo, competências, ações práticas e evidências de evolução pode transformar o slogan “Habilidades que abrem caminhos” em uma proposta funcional de produto.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