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9169D5">
      <w:pPr>
        <w:pStyle w:val="2"/>
      </w:pPr>
      <w:r>
        <w:t>Protocolo de Replicação do Estudo</w:t>
      </w:r>
      <w:r>
        <w:br w:type="textWrapping"/>
      </w:r>
      <w:r>
        <w:t>"Chatting with AI: Deciphering Developer Conversations with ChatGPT"</w:t>
      </w:r>
    </w:p>
    <w:p w14:paraId="2B526908">
      <w:pPr>
        <w:pStyle w:val="3"/>
      </w:pPr>
      <w:r>
        <w:t>Visão Geral</w:t>
      </w:r>
    </w:p>
    <w:p w14:paraId="2288AA8D">
      <w:r>
        <w:t>Este documento descreve, passo a passo, o protocolo de replicação do estudo publicado no MSR 2024. O objetivo é permitir a reprodução metodológica do estudo mesmo na ausência do repositório original.</w:t>
      </w:r>
    </w:p>
    <w:p w14:paraId="03748C9D">
      <w:pPr>
        <w:pStyle w:val="3"/>
      </w:pPr>
      <w:r>
        <w:t>Fase 1 – Aquisição e Preparação dos Dados</w:t>
      </w:r>
    </w:p>
    <w:p w14:paraId="0DBFF16A">
      <w:r>
        <w:t>1. Obter o dataset DevGPT.</w:t>
      </w:r>
      <w:r>
        <w:br w:type="textWrapping"/>
      </w:r>
      <w:r>
        <w:t>2. Selecionar o snapshot 20230727.</w:t>
      </w:r>
      <w:r>
        <w:br w:type="textWrapping"/>
      </w:r>
      <w:r>
        <w:t>3. Filtrar 1.929 links de conversas.</w:t>
      </w:r>
      <w:r>
        <w:br w:type="textWrapping"/>
      </w:r>
      <w:r>
        <w:t>4. Coletar o conteúdo das conversas via scraping.</w:t>
      </w:r>
      <w:r>
        <w:br w:type="textWrapping"/>
      </w:r>
      <w:r>
        <w:t>5. Marcar conversas como OK, 404 ou N/A (idioma não inglês).</w:t>
      </w:r>
    </w:p>
    <w:p w14:paraId="6608F9AB">
      <w:pPr>
        <w:pStyle w:val="3"/>
      </w:pPr>
      <w:r>
        <w:t>Fase 2 – Open Coding (Análise Qualitativa)</w:t>
      </w:r>
    </w:p>
    <w:p w14:paraId="5B0420E6">
      <w:r>
        <w:t>6Selecionar aleatoriamente 100 conversas para a fase exploratória.</w:t>
      </w:r>
      <w:r>
        <w:br w:type="textWrapping"/>
      </w:r>
      <w:r>
        <w:t>7. Criar categorias iniciais sem rótulos pré-definidos.</w:t>
      </w:r>
      <w:r>
        <w:br w:type="textWrapping"/>
      </w:r>
      <w:r>
        <w:t>8. Identificar o propósito do desenvolvedor com base apenas nos prompts.</w:t>
      </w:r>
      <w:r>
        <w:br w:type="textWrapping"/>
      </w:r>
      <w:r>
        <w:t>9. Gerar uma lista inicial com aproximadamente 22 categorias.</w:t>
      </w:r>
    </w:p>
    <w:p w14:paraId="1CFD0036">
      <w:pPr>
        <w:pStyle w:val="3"/>
      </w:pPr>
      <w:r>
        <w:t>Fase 3 – Amostragem Estatística</w:t>
      </w:r>
    </w:p>
    <w:p w14:paraId="65C3D1F4">
      <w:r>
        <w:t>10. Selecionar uma amostra estatística de 321 conversas válidas.</w:t>
      </w:r>
      <w:r>
        <w:br w:type="textWrapping"/>
      </w:r>
      <w:r>
        <w:t>11. Excluir conversas usadas na fase exploratória.</w:t>
      </w:r>
      <w:r>
        <w:br w:type="textWrapping"/>
      </w:r>
      <w:r>
        <w:t>12. Garantir nível de confiança de 95% e margem de erro de 5%.</w:t>
      </w:r>
    </w:p>
    <w:p w14:paraId="35388A52">
      <w:pPr>
        <w:pStyle w:val="3"/>
      </w:pPr>
      <w:r>
        <w:t>Fase 4 – Anotação Independente</w:t>
      </w:r>
    </w:p>
    <w:p w14:paraId="02507171">
      <w:r>
        <w:t>13. Realizar anotação independente por dois anotadores.</w:t>
      </w:r>
      <w:r>
        <w:br w:type="textWrapping"/>
      </w:r>
      <w:r>
        <w:t>14. Permitir criação de novas categorias se necessário.</w:t>
      </w:r>
      <w:bookmarkStart w:id="0" w:name="_GoBack"/>
      <w:bookmarkEnd w:id="0"/>
      <w:r>
        <w:br w:type="textWrapping"/>
      </w:r>
      <w:r>
        <w:t>15. Calcular a concordância entre anotadores usando Cohen’s Kappa.</w:t>
      </w:r>
      <w:r>
        <w:br w:type="textWrapping"/>
      </w:r>
      <w:r>
        <w:t>16. Resolver conflitos por consenso ou mediação.</w:t>
      </w:r>
    </w:p>
    <w:p w14:paraId="746BE24C">
      <w:pPr>
        <w:pStyle w:val="3"/>
      </w:pPr>
      <w:r>
        <w:t>Fase 5 – Consolidação das Categorias</w:t>
      </w:r>
    </w:p>
    <w:p w14:paraId="23F72613">
      <w:r>
        <w:t>17. Consolidar as categorias finais.</w:t>
      </w:r>
      <w:r>
        <w:br w:type="textWrapping"/>
      </w:r>
      <w:r>
        <w:t>18. Reduzir para 19 categorias principais.</w:t>
      </w:r>
      <w:r>
        <w:br w:type="textWrapping"/>
      </w:r>
      <w:r>
        <w:t>19. Manter rótulos especiais para 404 e N/A.</w:t>
      </w:r>
    </w:p>
    <w:p w14:paraId="748FA904">
      <w:pPr>
        <w:pStyle w:val="3"/>
      </w:pPr>
      <w:r>
        <w:t>Fase 6 – Classificação Automática</w:t>
      </w:r>
    </w:p>
    <w:p w14:paraId="00343E70">
      <w:r>
        <w:t>20. Extrair o primeiro prompt relevante de cada conversa.</w:t>
      </w:r>
      <w:r>
        <w:br w:type="textWrapping"/>
      </w:r>
      <w:r>
        <w:t>21. Realizar pré-processamento textual (stopwords, stemming).</w:t>
      </w:r>
      <w:r>
        <w:br w:type="textWrapping"/>
      </w:r>
      <w:r>
        <w:t>22. Vetorizar textos com TF-IDF.</w:t>
      </w:r>
      <w:r>
        <w:br w:type="textWrapping"/>
      </w:r>
      <w:r>
        <w:t>23. Treinar classificadores: SVM, Naive Bayes, Random Forest e Decision Tree.</w:t>
      </w:r>
      <w:r>
        <w:br w:type="textWrapping"/>
      </w:r>
      <w:r>
        <w:t>24. Avaliar usando accuracy, precision, recall e F1-score.</w:t>
      </w:r>
    </w:p>
    <w:p w14:paraId="33968806">
      <w:pPr>
        <w:pStyle w:val="3"/>
      </w:pPr>
      <w:r>
        <w:t>Fase 7 – Avaliação dos Resultados</w:t>
      </w:r>
    </w:p>
    <w:p w14:paraId="5F54A598">
      <w:r>
        <w:t>25. Comparar desempenho dos modelos.</w:t>
      </w:r>
      <w:r>
        <w:br w:type="textWrapping"/>
      </w:r>
      <w:r>
        <w:t>26. Identificar o melhor classificador (Random Forest).</w:t>
      </w:r>
      <w:r>
        <w:br w:type="textWrapping"/>
      </w:r>
      <w:r>
        <w:t>27. Gerar matriz de confusão.</w:t>
      </w:r>
      <w:r>
        <w:br w:type="textWrapping"/>
      </w:r>
      <w:r>
        <w:t>28. Analisar classes com melhor e pior desempenho.</w:t>
      </w:r>
    </w:p>
    <w:p w14:paraId="76B7FF7D">
      <w:pPr>
        <w:pStyle w:val="3"/>
      </w:pPr>
      <w:r>
        <w:t>Fase 8 – Documentação da Replicação</w:t>
      </w:r>
    </w:p>
    <w:p w14:paraId="0F5DC34B">
      <w:r>
        <w:t>29. Documentar desvios em relação ao estudo original.</w:t>
      </w:r>
      <w:r>
        <w:br w:type="textWrapping"/>
      </w:r>
      <w:r>
        <w:t>30. Justificar decisões metodológicas.</w:t>
      </w:r>
      <w:r>
        <w:br w:type="textWrapping"/>
      </w:r>
      <w:r>
        <w:t>31. Garantir reprodutibilidade do código e dos dados.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Symbol">
    <w:altName w:val="Kingsoft Sign"/>
    <w:panose1 w:val="00000000000000000000"/>
    <w:charset w:val="02"/>
    <w:family w:val="auto"/>
    <w:pitch w:val="default"/>
    <w:sig w:usb0="00000000" w:usb1="00000000" w:usb2="00000000" w:usb3="00000000" w:csb0="8000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700000000000000"/>
    <w:charset w:val="80"/>
    <w:family w:val="auto"/>
    <w:pitch w:val="default"/>
    <w:sig w:usb0="800002CF" w:usb1="6AC7FCFC" w:usb2="00000012" w:usb3="00000000" w:csb0="0002000D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FBAF6C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301</TotalTime>
  <ScaleCrop>false</ScaleCrop>
  <LinksUpToDate>false</LinksUpToDate>
  <CharactersWithSpaces>0</CharactersWithSpaces>
  <Application>WPS Office_12.1.23155.23155_F1E327BC-269C-435d-A152-05C5408002CA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2013-12-23T20:15:00Z</dcterms:created>
  <dc:creator>python-docx</dc:creator>
  <dc:description>generated by python-docx</dc:description>
  <cp:lastModifiedBy>eduardonogueira</cp:lastModifiedBy>
  <dcterms:modified xsi:type="dcterms:W3CDTF">2026-02-11T10:45:45Z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1033-12.1.23155.23155</vt:lpwstr>
  </property>
  <property fmtid="{D5CDD505-2E9C-101B-9397-08002B2CF9AE}" pid="3" name="ICV">
    <vt:lpwstr>94C4F2BC6DFEB3FF09888C6984BD3DD8_42</vt:lpwstr>
  </property>
</Properties>
</file>