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" w:lineRule="auto"/>
        <w:ind w:left="24" w:firstLine="0"/>
        <w:contextualSpacing w:val="0"/>
        <w:jc w:val="center"/>
      </w:pPr>
      <w:r w:rsidDel="00000000" w:rsidR="00000000" w:rsidRPr="00000000">
        <w:rPr>
          <w:b w:val="1"/>
          <w:sz w:val="35"/>
          <w:szCs w:val="35"/>
          <w:rtl w:val="0"/>
        </w:rPr>
        <w:t xml:space="preserve">Verkefni 1 (10%)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8" w:line="250" w:lineRule="auto"/>
        <w:ind w:left="-15" w:right="2100" w:firstLine="2822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grunnatriði og málskipan í JavaScript </w:t>
      </w:r>
      <w:r w:rsidDel="00000000" w:rsidR="00000000" w:rsidRPr="00000000">
        <w:rPr>
          <w:b w:val="1"/>
          <w:sz w:val="21"/>
          <w:szCs w:val="21"/>
          <w:rtl w:val="0"/>
        </w:rPr>
        <w:t xml:space="preserve">Bjargir:</w:t>
      </w:r>
      <w:r w:rsidDel="00000000" w:rsidR="00000000" w:rsidRPr="00000000">
        <w:rPr>
          <w:b w:val="1"/>
          <w:sz w:val="35"/>
          <w:szCs w:val="3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40" w:lineRule="auto"/>
        <w:ind w:left="701" w:right="1627" w:hanging="351"/>
        <w:rPr/>
      </w:pPr>
      <w:r w:rsidDel="00000000" w:rsidR="00000000" w:rsidRPr="00000000">
        <w:rPr>
          <w:sz w:val="21"/>
          <w:szCs w:val="21"/>
          <w:rtl w:val="0"/>
        </w:rPr>
        <w:t xml:space="preserve">JavaScript &amp; jQuery eftir Jon Duckett Kafli 1 - 4. og bls.450-457 ( geyma objects bls. 100 – 140)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" w:lineRule="auto"/>
        <w:ind w:left="701" w:right="1627" w:hanging="351"/>
        <w:rPr/>
      </w:pPr>
      <w:r w:rsidDel="00000000" w:rsidR="00000000" w:rsidRPr="00000000">
        <w:rPr>
          <w:color w:val="0562c1"/>
          <w:sz w:val="21"/>
          <w:szCs w:val="21"/>
          <w:u w:val="single"/>
          <w:rtl w:val="0"/>
        </w:rPr>
        <w:t xml:space="preserve">https://www.codecademy.com/tracks/javascript </w:t>
      </w:r>
      <w:r w:rsidDel="00000000" w:rsidR="00000000" w:rsidRPr="00000000">
        <w:rPr>
          <w:sz w:val="21"/>
          <w:szCs w:val="21"/>
          <w:rtl w:val="0"/>
        </w:rPr>
        <w:t xml:space="preserve">(til og með Data Structure)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  <w:tab/>
      </w:r>
      <w:r w:rsidDel="00000000" w:rsidR="00000000" w:rsidRPr="00000000">
        <w:rPr>
          <w:color w:val="0562c1"/>
          <w:sz w:val="21"/>
          <w:szCs w:val="21"/>
          <w:u w:val="single"/>
          <w:rtl w:val="0"/>
        </w:rPr>
        <w:t xml:space="preserve">https://www.codecademy.com/learn/learn-git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35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0.5% Hvað er ECMASCRIPT?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8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ECMASCRIPT er kjarni JavaScriptunar. JavaScript inniheldur fleiri hluti sem hægt er að nota, t.d. window,  document og navigator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9" w:line="250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0.5%  </w:t>
      </w:r>
      <w:r w:rsidDel="00000000" w:rsidR="00000000" w:rsidRPr="00000000">
        <w:rPr>
          <w:sz w:val="23"/>
          <w:szCs w:val="23"/>
          <w:rtl w:val="0"/>
        </w:rPr>
        <w:t xml:space="preserve">Afhverju virkar eftirfarandi kóði í JavaScript, útskýrðu?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934"/>
          <w:tab w:val="center" w:pos="2102"/>
          <w:tab w:val="center" w:pos="2803"/>
        </w:tabs>
        <w:spacing w:after="6" w:line="25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x();   </w:t>
        <w:tab/>
        <w:t xml:space="preserve">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" w:line="250" w:lineRule="auto"/>
        <w:ind w:left="696" w:right="5699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function x() {     console.log('x');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" w:line="250" w:lineRule="auto"/>
        <w:ind w:left="696" w:right="5699" w:hanging="1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9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21"/>
          <w:szCs w:val="21"/>
          <w:rtl w:val="0"/>
        </w:rPr>
        <w:t xml:space="preserve">Kóðinn er lesinn áður hann verður keyrður, sem gerir það kleift að kalla í hann áður en hann er decleared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0.5% Útskýrðu línu fyrir línu hvað eftirfarandi kóði gerir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96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(function()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701"/>
          <w:tab w:val="center" w:pos="2752"/>
        </w:tabs>
        <w:spacing w:after="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  <w:tab/>
        <w:t xml:space="preserve">alert('Hello World');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696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})();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0000"/>
          <w:sz w:val="21"/>
          <w:szCs w:val="21"/>
          <w:rtl w:val="0"/>
        </w:rPr>
        <w:t xml:space="preserve">Þessi function mun keyra þegar lesarinn kemur að honum. Þegar það er svigi í kringum function þá kallast hún IIFE, borið fram iffy. Það þarf ekki að gefa iffy functions nafn, þar sem það mun bara keyra þegar lesarinn kemur að honum.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54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0.5%  Útskýrðu línu fyrir línu hvað eftirfarandi kóði gerir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4" w:lineRule="auto"/>
        <w:ind w:left="686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1-3. Byrjar á því að vista function inn í originalFunction breytuna. Functioninn mun láta window opnast sem í honum stendur ‘hello world’.</w:t>
        <w:br w:type="textWrapping"/>
        <w:t xml:space="preserve">4. Vistar sama function í breytuna copiedFunction.</w:t>
        <w:br w:type="textWrapping"/>
        <w:t xml:space="preserve">5-7. Gefur originalFunction nýtt gildi sem er önnur function. Functioninn mun láta glugga opnast sem í honum stendur ‘goodbye world’.</w:t>
        <w:br w:type="textWrapping"/>
        <w:t xml:space="preserve">8. Kallar í fyrsta functionið. Það ætti gluggi að opnast sem segir ‘hello world’.</w:t>
      </w:r>
    </w:p>
    <w:p w:rsidR="00000000" w:rsidDel="00000000" w:rsidP="00000000" w:rsidRDefault="00000000" w:rsidRPr="00000000">
      <w:pPr>
        <w:spacing w:after="3" w:line="446" w:lineRule="auto"/>
        <w:ind w:left="696" w:right="3759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 originalFunction = function () {    alert('hello world');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5" w:lineRule="auto"/>
        <w:ind w:left="696" w:right="3759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" w:line="446" w:lineRule="auto"/>
        <w:ind w:left="696" w:right="3759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var copiedFunction = originalFunction;   var originalFunction = function () {     alert('goodbye world');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5" w:lineRule="auto"/>
        <w:ind w:left="696" w:right="3759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" w:lineRule="auto"/>
        <w:ind w:left="696" w:right="3759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copiedFunction()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0.5% Hvað eru margar global breytur í kóðanum?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" w:lineRule="auto"/>
        <w:ind w:left="262" w:firstLine="0"/>
        <w:contextualSpacing w:val="0"/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Það eru 2. Í línu 1 og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74" w:lineRule="auto"/>
        <w:ind w:left="3684" w:firstLine="0"/>
        <w:contextualSpacing w:val="0"/>
      </w:pPr>
      <w:r w:rsidDel="00000000" w:rsidR="00000000" w:rsidRPr="00000000">
        <w:drawing>
          <wp:inline distB="0" distT="0" distL="0" distR="0">
            <wp:extent cx="2772156" cy="1952244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156" cy="1952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6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4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0.5% Hver er munurinn á A og B þegar kemur að alert(), hvað birtist og útskýrðu hvað “use strict“ gerir?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" w:lineRule="auto"/>
        <w:ind w:left="262" w:firstLine="0"/>
        <w:contextualSpacing w:val="0"/>
      </w:pPr>
      <w:r w:rsidDel="00000000" w:rsidR="00000000" w:rsidRPr="00000000">
        <w:rPr>
          <w:color w:val="ff0000"/>
          <w:sz w:val="21"/>
          <w:szCs w:val="21"/>
          <w:rtl w:val="0"/>
        </w:rPr>
        <w:t xml:space="preserve">“use strict” leyfir functioninu bara að nota decleared variables. Í A, þá kemur upp alert sem segir “hi”. Það mun koma error í B, því að message er ekki þegar defined áður.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266.0" w:type="dxa"/>
        <w:jc w:val="left"/>
        <w:tblInd w:w="1200.0" w:type="dxa"/>
        <w:tblLayout w:type="fixed"/>
        <w:tblLook w:val="0400"/>
      </w:tblPr>
      <w:tblGrid>
        <w:gridCol w:w="2430"/>
        <w:gridCol w:w="6836"/>
        <w:tblGridChange w:id="0">
          <w:tblGrid>
            <w:gridCol w:w="2430"/>
            <w:gridCol w:w="6836"/>
          </w:tblGrid>
        </w:tblGridChange>
      </w:tblGrid>
      <w:tr>
        <w:trPr>
          <w:trHeight w:val="19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lineRule="auto"/>
              <w:ind w:left="-2602" w:right="329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3610.0" w:type="dxa"/>
              <w:jc w:val="left"/>
              <w:tblInd w:w="-144.0" w:type="dxa"/>
              <w:tblLayout w:type="fixed"/>
              <w:tblLook w:val="0400"/>
            </w:tblPr>
            <w:tblGrid>
              <w:gridCol w:w="3610"/>
              <w:tblGridChange w:id="0">
                <w:tblGrid>
                  <w:gridCol w:w="3610"/>
                </w:tblGrid>
              </w:tblGridChange>
            </w:tblGrid>
            <w:tr>
              <w:trPr>
                <w:trHeight w:val="172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>
                  <w:pPr>
                    <w:spacing w:after="0" w:lineRule="auto"/>
                    <w:ind w:left="701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function test(){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Rule="auto"/>
                    <w:ind w:left="529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message = “hi”;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Rule="auto"/>
                    <w:ind w:left="701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}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218" w:line="235" w:lineRule="auto"/>
                    <w:ind w:left="701" w:right="980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test(); 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17"/>
                      <w:szCs w:val="17"/>
                      <w:rtl w:val="0"/>
                    </w:rPr>
                    <w:t xml:space="preserve">alert(message);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3610.0" w:type="dxa"/>
              <w:jc w:val="left"/>
              <w:tblInd w:w="-147.0" w:type="dxa"/>
              <w:tblLayout w:type="fixed"/>
              <w:tblLook w:val="0400"/>
            </w:tblPr>
            <w:tblGrid>
              <w:gridCol w:w="3610"/>
              <w:tblGridChange w:id="0">
                <w:tblGrid>
                  <w:gridCol w:w="3610"/>
                </w:tblGrid>
              </w:tblGridChange>
            </w:tblGrid>
            <w:tr>
              <w:trPr>
                <w:trHeight w:val="1920" w:hRule="atLeast"/>
              </w:trP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</w:tcPr>
                <w:p w:rsidR="00000000" w:rsidDel="00000000" w:rsidP="00000000" w:rsidRDefault="00000000" w:rsidRPr="00000000">
                  <w:pPr>
                    <w:spacing w:after="0" w:lineRule="auto"/>
                    <w:ind w:left="701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function test(){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Rule="auto"/>
                    <w:ind w:left="701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“use strict”;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Rule="auto"/>
                    <w:ind w:left="531" w:firstLine="0"/>
                    <w:contextualSpacing w:val="0"/>
                    <w:jc w:val="center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message = “hi”;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Rule="auto"/>
                    <w:ind w:left="701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}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216" w:line="235" w:lineRule="auto"/>
                    <w:ind w:left="701" w:right="978" w:firstLine="0"/>
                    <w:contextualSpacing w:val="0"/>
                  </w:pPr>
                  <w:r w:rsidDel="00000000" w:rsidR="00000000" w:rsidRPr="00000000">
                    <w:rPr>
                      <w:rFonts w:ascii="Cambria" w:cs="Cambria" w:eastAsia="Cambria" w:hAnsi="Cambria"/>
                      <w:sz w:val="17"/>
                      <w:szCs w:val="17"/>
                      <w:rtl w:val="0"/>
                    </w:rPr>
                    <w:t xml:space="preserve">test(); </w:t>
                  </w:r>
                  <w:r w:rsidDel="00000000" w:rsidR="00000000" w:rsidRPr="00000000">
                    <w:rPr>
                      <w:rFonts w:ascii="Cambria" w:cs="Cambria" w:eastAsia="Cambria" w:hAnsi="Cambria"/>
                      <w:b w:val="1"/>
                      <w:sz w:val="17"/>
                      <w:szCs w:val="17"/>
                      <w:rtl w:val="0"/>
                    </w:rPr>
                    <w:t xml:space="preserve">alert(message);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>
                  <w:pPr>
                    <w:spacing w:after="0" w:lineRule="auto"/>
                    <w:contextualSpacing w:val="0"/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spacing w:after="0" w:lineRule="auto"/>
              <w:ind w:left="-6540" w:right="10478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0.5% Afhverju virkar eftirfarandi kóðabútur með óskilgreindu breytunni, útskýrðu?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" w:line="250" w:lineRule="auto"/>
        <w:ind w:left="696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var found = true;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6" w:line="250" w:lineRule="auto"/>
        <w:ind w:left="696" w:hanging="1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var result = (found || someUndeclaredVariable);  // óskilgr. breyta alert(result); // virkar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4%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" w:lineRule="auto"/>
        <w:ind w:left="-5" w:right="2715" w:hanging="1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JavaScript Unit 1 -5 klárað í Codecademy (þ.e. að Data Structures) Skilaðu skjámynd af árangri þínum.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https://gyazo.com/84600495b5bee7e8f75a52920625d0e9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" w:lineRule="auto"/>
        <w:ind w:left="262" w:hanging="262"/>
        <w:rPr/>
      </w:pPr>
      <w:r w:rsidDel="00000000" w:rsidR="00000000" w:rsidRPr="00000000">
        <w:rPr>
          <w:sz w:val="21"/>
          <w:szCs w:val="21"/>
          <w:rtl w:val="0"/>
        </w:rPr>
        <w:t xml:space="preserve">2.5%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" w:line="358" w:lineRule="auto"/>
        <w:ind w:left="-5" w:right="2534" w:hanging="1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Náðu í og innstallaðu GIT ef þú ert á eigin tölvu </w:t>
      </w:r>
      <w:r w:rsidDel="00000000" w:rsidR="00000000" w:rsidRPr="00000000">
        <w:rPr>
          <w:color w:val="0562c1"/>
          <w:sz w:val="21"/>
          <w:szCs w:val="21"/>
          <w:u w:val="single"/>
          <w:rtl w:val="0"/>
        </w:rPr>
        <w:t xml:space="preserve">https://git-scm.com/</w:t>
      </w:r>
      <w:r w:rsidDel="00000000" w:rsidR="00000000" w:rsidRPr="00000000">
        <w:rPr>
          <w:sz w:val="21"/>
          <w:szCs w:val="21"/>
          <w:rtl w:val="0"/>
        </w:rPr>
        <w:t xml:space="preserve"> Lærðu að nota Git með terminal og gerðu eftirfarandi Git tutorial: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6" w:lineRule="auto"/>
        <w:ind w:left="-5" w:right="1627" w:hanging="10"/>
        <w:contextualSpacing w:val="0"/>
      </w:pPr>
      <w:r w:rsidDel="00000000" w:rsidR="00000000" w:rsidRPr="00000000">
        <w:rPr>
          <w:color w:val="0562c1"/>
          <w:sz w:val="21"/>
          <w:szCs w:val="21"/>
          <w:u w:val="single"/>
          <w:rtl w:val="0"/>
        </w:rPr>
        <w:t xml:space="preserve">https://www.codecademy.com/learn/learn-git</w:t>
      </w: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" w:lineRule="auto"/>
        <w:ind w:left="-5" w:hanging="1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Skilaðu skjámynd af árangri þínum.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https://gyazo.com/79a613ec58746448330394556b231d73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4" w:lineRule="auto"/>
        <w:contextualSpacing w:val="0"/>
      </w:pPr>
      <w:r w:rsidDel="00000000" w:rsidR="00000000" w:rsidRPr="00000000">
        <w:rPr>
          <w:b w:val="1"/>
          <w:sz w:val="21"/>
          <w:szCs w:val="21"/>
          <w:rtl w:val="0"/>
        </w:rPr>
        <w:t xml:space="preserve">Skil á verkefni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64" w:lineRule="auto"/>
        <w:ind w:left="-5" w:hanging="1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Stofnaðu bitbucket- eða Github aðgang.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3" w:lineRule="auto"/>
        <w:ind w:left="-5" w:right="1627" w:hanging="1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Github: </w:t>
      </w:r>
      <w:r w:rsidDel="00000000" w:rsidR="00000000" w:rsidRPr="00000000">
        <w:rPr>
          <w:color w:val="0562c1"/>
          <w:sz w:val="21"/>
          <w:szCs w:val="21"/>
          <w:u w:val="single"/>
          <w:rtl w:val="0"/>
        </w:rPr>
        <w:t xml:space="preserve">https://github.com/</w:t>
      </w:r>
      <w:r w:rsidDel="00000000" w:rsidR="00000000" w:rsidRPr="00000000">
        <w:rPr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6" w:lineRule="auto"/>
        <w:ind w:left="-5" w:hanging="1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Bitbucket: </w:t>
      </w:r>
      <w:r w:rsidDel="00000000" w:rsidR="00000000" w:rsidRPr="00000000">
        <w:rPr>
          <w:color w:val="0562c1"/>
          <w:sz w:val="21"/>
          <w:szCs w:val="21"/>
          <w:u w:val="single"/>
          <w:rtl w:val="0"/>
        </w:rPr>
        <w:t xml:space="preserve">https://bitbucket.org</w:t>
      </w:r>
      <w:r w:rsidDel="00000000" w:rsidR="00000000" w:rsidRPr="00000000">
        <w:rPr>
          <w:sz w:val="21"/>
          <w:szCs w:val="21"/>
          <w:rtl w:val="0"/>
        </w:rPr>
        <w:t xml:space="preserve"> (notaðu skírnafn sem notendanafn)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4" w:lineRule="auto"/>
        <w:ind w:left="711" w:hanging="1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Sjá einnig leiðbeiningar á Innu -&gt; Efni -&gt; Server og vinnuumhverfi -&gt; Bitbucket og Version Control (GIT SourceTree)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53" w:lineRule="auto"/>
        <w:ind w:left="701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70" w:lineRule="auto"/>
        <w:ind w:left="-5" w:hanging="1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Skilaðu tengil á Verkefni 1 sem er hýst á Github eða Bitbucket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8410"/>
        </w:tabs>
        <w:spacing w:after="121" w:lineRule="auto"/>
        <w:ind w:left="-15" w:firstLine="0"/>
        <w:contextualSpacing w:val="0"/>
      </w:pPr>
      <w:r w:rsidDel="00000000" w:rsidR="00000000" w:rsidRPr="00000000">
        <w:rPr>
          <w:sz w:val="21"/>
          <w:szCs w:val="21"/>
          <w:rtl w:val="0"/>
        </w:rPr>
        <w:t xml:space="preserve">Þér er svo frjálst að nota GIT með terminal eða viðmóti (GUI) t.d. sourcetree fyrir bitbucket.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57" w:lineRule="auto"/>
        <w:ind w:left="701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https://github.com/edvaldatli/Vef-Javascript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402"/>
        </w:tabs>
        <w:spacing w:after="0" w:lineRule="auto"/>
        <w:contextualSpacing w:val="0"/>
      </w:pPr>
      <w:r w:rsidDel="00000000" w:rsidR="00000000" w:rsidRPr="00000000">
        <w:rPr>
          <w:b w:val="1"/>
          <w:sz w:val="23"/>
          <w:szCs w:val="23"/>
          <w:rtl w:val="0"/>
        </w:rPr>
        <w:t xml:space="preserve">Námsmat:</w:t>
      </w:r>
      <w:r w:rsidDel="00000000" w:rsidR="00000000" w:rsidRPr="00000000">
        <w:rPr>
          <w:sz w:val="23"/>
          <w:szCs w:val="23"/>
          <w:rtl w:val="0"/>
        </w:rPr>
        <w:t xml:space="preserve"> </w:t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9" w:line="250" w:lineRule="auto"/>
        <w:ind w:left="-5" w:hanging="10"/>
        <w:contextualSpacing w:val="0"/>
      </w:pPr>
      <w:r w:rsidDel="00000000" w:rsidR="00000000" w:rsidRPr="00000000">
        <w:rPr>
          <w:sz w:val="23"/>
          <w:szCs w:val="23"/>
          <w:rtl w:val="0"/>
        </w:rPr>
        <w:t xml:space="preserve">Gefið er full fyrir rétt og fullnægjandi svar og skýringu þegar það á við, hálft ef svar eða skýring er ábótavant. </w:t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ourier New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01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30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50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70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590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10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30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50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70" w:firstLine="0"/>
      </w:pPr>
      <w:rPr>
        <w:rFonts w:ascii="Arial" w:cs="Arial" w:eastAsia="Arial" w:hAnsi="Arial"/>
        <w:b w:val="0"/>
        <w:i w:val="0"/>
        <w:strike w:val="0"/>
        <w:color w:val="000000"/>
        <w:sz w:val="21"/>
        <w:szCs w:val="21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262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cs="Calibri" w:eastAsia="Calibri" w:hAnsi="Calibri"/>
        <w:b w:val="0"/>
        <w:i w:val="0"/>
        <w:strike w:val="0"/>
        <w:color w:val="000000"/>
        <w:sz w:val="21"/>
        <w:szCs w:val="21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77.0" w:type="dxa"/>
        <w:left w:w="144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77.0" w:type="dxa"/>
        <w:left w:w="147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gyazo.com/84600495b5bee7e8f75a52920625d0e9" TargetMode="External"/><Relationship Id="rId7" Type="http://schemas.openxmlformats.org/officeDocument/2006/relationships/hyperlink" Target="https://gyazo.com/79a613ec58746448330394556b231d73" TargetMode="External"/><Relationship Id="rId8" Type="http://schemas.openxmlformats.org/officeDocument/2006/relationships/hyperlink" Target="https://github.com/edvaldatli/Vef-Javascript" TargetMode="External"/></Relationships>
</file>