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43C2" w:rsidRDefault="00503E9B">
      <w:pPr>
        <w:pStyle w:val="Heading1"/>
        <w:rPr>
          <w:color w:val="0F243E"/>
          <w:sz w:val="36"/>
          <w:szCs w:val="36"/>
        </w:rPr>
      </w:pPr>
      <w:r>
        <w:rPr>
          <w:color w:val="0F243E"/>
        </w:rPr>
        <w:t xml:space="preserve">                                                                                     </w:t>
      </w:r>
      <w:r>
        <w:rPr>
          <w:color w:val="0F243E"/>
          <w:sz w:val="36"/>
          <w:szCs w:val="36"/>
        </w:rPr>
        <w:t xml:space="preserve">MAHJABEEN PERAMPALLI                                                                                          </w:t>
      </w:r>
    </w:p>
    <w:p w:rsidR="003443C2" w:rsidRDefault="00503E9B">
      <w:pPr>
        <w:pStyle w:val="Heading2"/>
        <w:jc w:val="center"/>
        <w:rPr>
          <w:rFonts w:ascii="Arial" w:eastAsia="Arial" w:hAnsi="Arial" w:cs="Arial"/>
          <w:b w:val="0"/>
          <w:color w:val="366091"/>
          <w:sz w:val="18"/>
          <w:szCs w:val="18"/>
        </w:rPr>
      </w:pPr>
      <w:r>
        <w:rPr>
          <w:rFonts w:ascii="Arial" w:eastAsia="Arial" w:hAnsi="Arial" w:cs="Arial"/>
          <w:b w:val="0"/>
          <w:color w:val="366091"/>
          <w:sz w:val="18"/>
          <w:szCs w:val="18"/>
        </w:rPr>
        <w:t xml:space="preserve">                                                                                        Solapur, MH 431005| 7058054520| </w:t>
      </w:r>
      <w:hyperlink r:id="rId5">
        <w:r>
          <w:rPr>
            <w:rFonts w:ascii="Arial" w:eastAsia="Arial" w:hAnsi="Arial" w:cs="Arial"/>
            <w:b w:val="0"/>
            <w:color w:val="0000FF"/>
            <w:sz w:val="18"/>
            <w:szCs w:val="18"/>
            <w:u w:val="single"/>
          </w:rPr>
          <w:t>mahjperampalli96@gmail.com</w:t>
        </w:r>
      </w:hyperlink>
    </w:p>
    <w:p w:rsidR="003443C2" w:rsidRDefault="003443C2"/>
    <w:p w:rsidR="003443C2" w:rsidRDefault="00503E9B">
      <w:pPr>
        <w:pStyle w:val="Heading1"/>
      </w:pPr>
      <w:r>
        <w:t>Professional Summary</w:t>
      </w:r>
    </w:p>
    <w:p w:rsidR="003443C2" w:rsidRDefault="00503E9B">
      <w:pPr>
        <w:rPr>
          <w:rFonts w:ascii="Arial" w:eastAsia="Arial" w:hAnsi="Arial" w:cs="Arial"/>
          <w:i/>
          <w:color w:val="244061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44061"/>
          <w:sz w:val="20"/>
          <w:szCs w:val="20"/>
          <w:highlight w:val="white"/>
        </w:rPr>
        <w:t>Mortgage professional with 3 years of experience in Mortgage industry.</w:t>
      </w:r>
      <w:r>
        <w:rPr>
          <w:rFonts w:ascii="Arial" w:eastAsia="Arial" w:hAnsi="Arial" w:cs="Arial"/>
          <w:color w:val="244061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i/>
          <w:color w:val="244061"/>
          <w:sz w:val="20"/>
          <w:szCs w:val="20"/>
          <w:highlight w:val="white"/>
        </w:rPr>
        <w:t>My objective is to use my current experience and apply my skills in a new role while learning new skills and</w:t>
      </w:r>
      <w:r>
        <w:rPr>
          <w:rFonts w:ascii="Arial" w:eastAsia="Arial" w:hAnsi="Arial" w:cs="Arial"/>
          <w:i/>
          <w:color w:val="244061"/>
          <w:sz w:val="20"/>
          <w:szCs w:val="20"/>
          <w:highlight w:val="white"/>
        </w:rPr>
        <w:t xml:space="preserve"> enhance my career skill set.</w:t>
      </w:r>
    </w:p>
    <w:p w:rsidR="003443C2" w:rsidRDefault="00503E9B">
      <w:pPr>
        <w:pStyle w:val="Heading1"/>
        <w:rPr>
          <w:highlight w:val="white"/>
        </w:rPr>
      </w:pPr>
      <w:r>
        <w:rPr>
          <w:highlight w:val="white"/>
        </w:rPr>
        <w:t>Skills</w:t>
      </w:r>
    </w:p>
    <w:tbl>
      <w:tblPr>
        <w:tblStyle w:val="a"/>
        <w:tblW w:w="106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1"/>
        <w:gridCol w:w="5341"/>
      </w:tblGrid>
      <w:tr w:rsidR="003443C2">
        <w:tc>
          <w:tcPr>
            <w:tcW w:w="5341" w:type="dxa"/>
          </w:tcPr>
          <w:p w:rsidR="003443C2" w:rsidRDefault="00503E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4406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44061"/>
                <w:sz w:val="18"/>
                <w:szCs w:val="18"/>
              </w:rPr>
              <w:t xml:space="preserve">Conventional, FHA, VA Loans                                                                    </w:t>
            </w:r>
          </w:p>
        </w:tc>
        <w:tc>
          <w:tcPr>
            <w:tcW w:w="5341" w:type="dxa"/>
          </w:tcPr>
          <w:p w:rsidR="003443C2" w:rsidRDefault="00503E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4406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44061"/>
                <w:sz w:val="18"/>
                <w:szCs w:val="18"/>
              </w:rPr>
              <w:t>Risk Assessment</w:t>
            </w:r>
          </w:p>
        </w:tc>
      </w:tr>
      <w:tr w:rsidR="003443C2">
        <w:tc>
          <w:tcPr>
            <w:tcW w:w="5341" w:type="dxa"/>
          </w:tcPr>
          <w:p w:rsidR="003443C2" w:rsidRDefault="00503E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4406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44061"/>
                <w:sz w:val="18"/>
                <w:szCs w:val="18"/>
              </w:rPr>
              <w:t xml:space="preserve">Analytical                                                                                                      </w:t>
            </w:r>
          </w:p>
        </w:tc>
        <w:tc>
          <w:tcPr>
            <w:tcW w:w="5341" w:type="dxa"/>
          </w:tcPr>
          <w:p w:rsidR="003443C2" w:rsidRDefault="00503E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4406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44061"/>
                <w:sz w:val="18"/>
                <w:szCs w:val="18"/>
              </w:rPr>
              <w:t>Quality Assurance</w:t>
            </w:r>
          </w:p>
        </w:tc>
      </w:tr>
      <w:tr w:rsidR="003443C2">
        <w:tc>
          <w:tcPr>
            <w:tcW w:w="5341" w:type="dxa"/>
          </w:tcPr>
          <w:p w:rsidR="003443C2" w:rsidRDefault="00503E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4406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44061"/>
                <w:sz w:val="18"/>
                <w:szCs w:val="18"/>
              </w:rPr>
              <w:t xml:space="preserve">Detail-oriented                                                                                           </w:t>
            </w:r>
          </w:p>
        </w:tc>
        <w:tc>
          <w:tcPr>
            <w:tcW w:w="5341" w:type="dxa"/>
          </w:tcPr>
          <w:p w:rsidR="003443C2" w:rsidRDefault="00503E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4406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44061"/>
                <w:sz w:val="18"/>
                <w:szCs w:val="18"/>
              </w:rPr>
              <w:t>Exceed production</w:t>
            </w:r>
            <w:r>
              <w:rPr>
                <w:rFonts w:ascii="Arial" w:eastAsia="Arial" w:hAnsi="Arial" w:cs="Arial"/>
                <w:color w:val="244061"/>
                <w:sz w:val="18"/>
                <w:szCs w:val="18"/>
              </w:rPr>
              <w:t xml:space="preserve"> goals</w:t>
            </w:r>
          </w:p>
        </w:tc>
      </w:tr>
      <w:tr w:rsidR="003443C2">
        <w:tc>
          <w:tcPr>
            <w:tcW w:w="5341" w:type="dxa"/>
          </w:tcPr>
          <w:p w:rsidR="003443C2" w:rsidRDefault="00503E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4406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44061"/>
                <w:sz w:val="18"/>
                <w:szCs w:val="18"/>
              </w:rPr>
              <w:t xml:space="preserve">Foreclosure                                                                                                </w:t>
            </w:r>
          </w:p>
        </w:tc>
        <w:tc>
          <w:tcPr>
            <w:tcW w:w="5341" w:type="dxa"/>
          </w:tcPr>
          <w:p w:rsidR="003443C2" w:rsidRDefault="00503E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4406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44061"/>
                <w:sz w:val="18"/>
                <w:szCs w:val="18"/>
              </w:rPr>
              <w:t>Bankruptcy</w:t>
            </w:r>
          </w:p>
        </w:tc>
      </w:tr>
      <w:tr w:rsidR="003443C2">
        <w:tc>
          <w:tcPr>
            <w:tcW w:w="5341" w:type="dxa"/>
          </w:tcPr>
          <w:p w:rsidR="003443C2" w:rsidRDefault="00503E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4406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44061"/>
                <w:sz w:val="18"/>
                <w:szCs w:val="18"/>
              </w:rPr>
              <w:t xml:space="preserve">Loss Mitigation                                                                                             </w:t>
            </w:r>
          </w:p>
        </w:tc>
        <w:tc>
          <w:tcPr>
            <w:tcW w:w="5341" w:type="dxa"/>
          </w:tcPr>
          <w:p w:rsidR="003443C2" w:rsidRDefault="00503E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4406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44061"/>
                <w:sz w:val="18"/>
                <w:szCs w:val="18"/>
              </w:rPr>
              <w:t>Cash-Flow Analysis</w:t>
            </w:r>
          </w:p>
        </w:tc>
      </w:tr>
    </w:tbl>
    <w:p w:rsidR="003443C2" w:rsidRDefault="00503E9B">
      <w:pPr>
        <w:pStyle w:val="Heading1"/>
      </w:pPr>
      <w:r>
        <w:t>Work History</w:t>
      </w:r>
    </w:p>
    <w:p w:rsidR="003443C2" w:rsidRDefault="00344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443C2" w:rsidRDefault="00503E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ortgage Quality Analyst</w:t>
      </w:r>
      <w:r>
        <w:rPr>
          <w:color w:val="000000"/>
        </w:rPr>
        <w:t xml:space="preserve">                                                                                                   </w:t>
      </w:r>
      <w:r>
        <w:rPr>
          <w:color w:val="366091"/>
          <w:sz w:val="20"/>
          <w:szCs w:val="20"/>
        </w:rPr>
        <w:t>March</w:t>
      </w:r>
      <w:r>
        <w:rPr>
          <w:color w:val="000000"/>
          <w:sz w:val="20"/>
          <w:szCs w:val="20"/>
        </w:rPr>
        <w:t xml:space="preserve"> </w:t>
      </w:r>
      <w:r>
        <w:rPr>
          <w:color w:val="366091"/>
          <w:sz w:val="20"/>
          <w:szCs w:val="20"/>
        </w:rPr>
        <w:t>2018- Current</w:t>
      </w:r>
    </w:p>
    <w:p w:rsidR="003443C2" w:rsidRDefault="00503E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66091"/>
        </w:rPr>
      </w:pPr>
      <w:r>
        <w:rPr>
          <w:color w:val="366091"/>
        </w:rPr>
        <w:t>Infinity Data Technologies Pvt. Ltd. Solapur, Maharashtra</w:t>
      </w:r>
    </w:p>
    <w:p w:rsidR="003443C2" w:rsidRDefault="00344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 xml:space="preserve">Experienced in reviewing collateral documentation for Conventional and non Conventional loans including the Note, Mortgage, Modifications, Title Policy, Application, Appraisal report and Assignment/Endorsement chains; identified deficiencies and submitted </w:t>
      </w:r>
      <w:r>
        <w:rPr>
          <w:rFonts w:ascii="Helvetica Neue" w:eastAsia="Helvetica Neue" w:hAnsi="Helvetica Neue" w:cs="Helvetica Neue"/>
          <w:color w:val="0F243E"/>
          <w:sz w:val="16"/>
          <w:szCs w:val="16"/>
        </w:rPr>
        <w:t>appropriate exception cures.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Arial" w:eastAsia="Arial" w:hAnsi="Arial" w:cs="Arial"/>
          <w:color w:val="0F243E"/>
          <w:sz w:val="16"/>
          <w:szCs w:val="16"/>
        </w:rPr>
      </w:pPr>
      <w:r>
        <w:rPr>
          <w:rFonts w:ascii="Arial" w:eastAsia="Arial" w:hAnsi="Arial" w:cs="Arial"/>
          <w:color w:val="0F243E"/>
          <w:sz w:val="16"/>
          <w:szCs w:val="16"/>
        </w:rPr>
        <w:t>Reviewed Point &amp; fees from HUD-1 Final settlement statement, Estimated HUD1 or Fees Itemization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and tested compliance.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>Reviewed Loan Application data and timely issuing of RESPA initial Disclosures (HUD and GFE).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 xml:space="preserve">Reviewed loan </w:t>
      </w:r>
      <w:r>
        <w:rPr>
          <w:rFonts w:ascii="Helvetica Neue" w:eastAsia="Helvetica Neue" w:hAnsi="Helvetica Neue" w:cs="Helvetica Neue"/>
          <w:color w:val="0F243E"/>
          <w:sz w:val="16"/>
          <w:szCs w:val="16"/>
        </w:rPr>
        <w:t>modification and maturity extension documentation.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>Monitored bankruptcy status using Pacer for chapter payment plans, proof of claim, unsecured portion, Cram-down, liquidation.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>Researched and determined reinstatements or payoffs, loan related issues which may include missing payments, disputed accounts history requests, loan paid in full and general loan issues.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>Reviewed foreclosure servicing files to determine the foreclosure st</w:t>
      </w:r>
      <w:r>
        <w:rPr>
          <w:rFonts w:ascii="Helvetica Neue" w:eastAsia="Helvetica Neue" w:hAnsi="Helvetica Neue" w:cs="Helvetica Neue"/>
          <w:color w:val="0F243E"/>
          <w:sz w:val="16"/>
          <w:szCs w:val="16"/>
        </w:rPr>
        <w:t>atus, sale and hold, short sales, deed in lieu, contested matter.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>Analyzed and compared loan policies to property reports to assess additional exposure to risk and issues with lien position.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>Investigated possible title issues initiated by borrower correspo</w:t>
      </w:r>
      <w:r>
        <w:rPr>
          <w:rFonts w:ascii="Helvetica Neue" w:eastAsia="Helvetica Neue" w:hAnsi="Helvetica Neue" w:cs="Helvetica Neue"/>
          <w:color w:val="0F243E"/>
          <w:sz w:val="16"/>
          <w:szCs w:val="16"/>
        </w:rPr>
        <w:t>ndence and conveyed and assisted with research and analysis of complex title issues.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>Maintained portfolio of title issues and detailed records of claim resolution or settlement, including timelines and correspondence.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>Reviewed and assessed Homeowner / Cond</w:t>
      </w:r>
      <w:r>
        <w:rPr>
          <w:rFonts w:ascii="Helvetica Neue" w:eastAsia="Helvetica Neue" w:hAnsi="Helvetica Neue" w:cs="Helvetica Neue"/>
          <w:color w:val="0F243E"/>
          <w:sz w:val="16"/>
          <w:szCs w:val="16"/>
        </w:rPr>
        <w:t>o Association liens for super-lien priority interest and escalated issues involving potential loss of lien priority, monetary losses, or any other potential loss or risk exposure to management.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 xml:space="preserve">Examined the condition of the title by considering the effect </w:t>
      </w:r>
      <w:r>
        <w:rPr>
          <w:rFonts w:ascii="Helvetica Neue" w:eastAsia="Helvetica Neue" w:hAnsi="Helvetica Neue" w:cs="Helvetica Neue"/>
          <w:color w:val="0F243E"/>
          <w:sz w:val="16"/>
          <w:szCs w:val="16"/>
        </w:rPr>
        <w:t>of documents such as deeds, deeds of trust, mortgages, mechanics liens, tax liens, judgments, assessments, and other matters of record and submitted appropriate exception cures.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>Title curative experience including evaluating residential Title Commitments a</w:t>
      </w:r>
      <w:r>
        <w:rPr>
          <w:rFonts w:ascii="Helvetica Neue" w:eastAsia="Helvetica Neue" w:hAnsi="Helvetica Neue" w:cs="Helvetica Neue"/>
          <w:color w:val="0F243E"/>
          <w:sz w:val="16"/>
          <w:szCs w:val="16"/>
        </w:rPr>
        <w:t>nd Policies to determine lien position and breaches. Recognized and formulated solutions to resolve title issues.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>Researched and evaluated pertinent recorded documents for determination of ownership, legal descriptions and any conjunction to title.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>Reviewe</w:t>
      </w:r>
      <w:r>
        <w:rPr>
          <w:rFonts w:ascii="Helvetica Neue" w:eastAsia="Helvetica Neue" w:hAnsi="Helvetica Neue" w:cs="Helvetica Neue"/>
          <w:color w:val="0F243E"/>
          <w:sz w:val="16"/>
          <w:szCs w:val="16"/>
        </w:rPr>
        <w:t>d and Analyzed BPO reports and Servicing comments for condition of property, damages and repairs, insurance claims for damages and current occupancy.</w:t>
      </w:r>
    </w:p>
    <w:p w:rsidR="003443C2" w:rsidRDefault="00503E9B">
      <w:pPr>
        <w:numPr>
          <w:ilvl w:val="0"/>
          <w:numId w:val="2"/>
        </w:numPr>
        <w:shd w:val="clear" w:color="auto" w:fill="FFFFFF"/>
        <w:spacing w:after="55" w:line="240" w:lineRule="auto"/>
        <w:ind w:left="851"/>
        <w:rPr>
          <w:rFonts w:ascii="Helvetica Neue" w:eastAsia="Helvetica Neue" w:hAnsi="Helvetica Neue" w:cs="Helvetica Neue"/>
          <w:color w:val="0F243E"/>
          <w:sz w:val="16"/>
          <w:szCs w:val="16"/>
        </w:rPr>
      </w:pPr>
      <w:r>
        <w:rPr>
          <w:rFonts w:ascii="Helvetica Neue" w:eastAsia="Helvetica Neue" w:hAnsi="Helvetica Neue" w:cs="Helvetica Neue"/>
          <w:color w:val="0F243E"/>
          <w:sz w:val="16"/>
          <w:szCs w:val="16"/>
        </w:rPr>
        <w:t>Prepared and followed target goals and performed other duties as assigned.</w:t>
      </w:r>
    </w:p>
    <w:p w:rsidR="003443C2" w:rsidRDefault="00503E9B">
      <w:pPr>
        <w:pStyle w:val="Heading1"/>
      </w:pPr>
      <w:r>
        <w:t>Education</w:t>
      </w:r>
    </w:p>
    <w:p w:rsidR="003443C2" w:rsidRDefault="00503E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</w:rPr>
        <w:t xml:space="preserve">Walchand Institute of Technology, Solapur </w:t>
      </w:r>
      <w:r>
        <w:rPr>
          <w:color w:val="000000"/>
        </w:rPr>
        <w:t xml:space="preserve">                                                                                       </w:t>
      </w:r>
      <w:r>
        <w:rPr>
          <w:color w:val="366091"/>
          <w:sz w:val="20"/>
          <w:szCs w:val="20"/>
        </w:rPr>
        <w:t>July 2017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 xml:space="preserve">                                                                                                 </w:t>
      </w:r>
      <w:r>
        <w:rPr>
          <w:color w:val="366091"/>
        </w:rPr>
        <w:t>BE in Computer Science and Engineering</w:t>
      </w:r>
    </w:p>
    <w:sectPr w:rsidR="003443C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B565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0F43A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198468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C2"/>
    <w:rsid w:val="003443C2"/>
    <w:rsid w:val="0050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9654E6F-1D94-164C-8EBB-04E23CE8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ahjperampalli9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917058054520</cp:lastModifiedBy>
  <cp:revision>2</cp:revision>
  <dcterms:created xsi:type="dcterms:W3CDTF">2021-01-14T09:04:00Z</dcterms:created>
  <dcterms:modified xsi:type="dcterms:W3CDTF">2021-01-14T09:04:00Z</dcterms:modified>
</cp:coreProperties>
</file>