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745E8E" w:rsidRDefault="00745E8E" w:rsidP="00745E8E">
      <w:pPr>
        <w:pStyle w:val="IEEEParagraph"/>
      </w:pPr>
      <w:r w:rsidRPr="00745E8E">
        <w:t>GPUs are both powerful and inexpensive devices that could be used in order to obtain more computational throughput. Not only can they perform faster than CPUs in number of float</w:t>
      </w:r>
      <w:r w:rsidR="009F1A2E">
        <w:t>ing</w:t>
      </w:r>
      <w:r w:rsidRPr="00745E8E">
        <w:t xml:space="preserve"> point operations per second but they also have a higher growth rate in performance. Over the last decade the growth rate of GPU performance has been higher than that of the CPU</w:t>
      </w:r>
      <w:r w:rsidR="00285CE7">
        <w:t>’</w:t>
      </w:r>
      <w:r w:rsidRPr="00745E8E">
        <w:t xml:space="preserve">s. GPUs were primarily designed and used for performing algorithms around graphic computation, such as transforming, rendering and texturing geometric primitives such as triangles. </w:t>
      </w:r>
      <w:r w:rsidRPr="00F07E37">
        <w:t>However, many have sought techniques for using the GPU to perform tasks that are not related to graphics and that are typically handled by the CPU.</w:t>
      </w:r>
      <w:r w:rsidRPr="001D1EE8">
        <w:t xml:space="preserve"> </w:t>
      </w:r>
    </w:p>
    <w:p w:rsidR="006A07F0" w:rsidRDefault="004F7DDB" w:rsidP="006A07F0">
      <w:pPr>
        <w:pStyle w:val="IEEEParagraph"/>
      </w:pPr>
      <w:r w:rsidRPr="00EB490F">
        <w:t>Many researchers view GPUs as today’s most powerful computational hardware for the dollar. Researchers and developers in areas not related to graphics have also become interested in harnessing this power for general-purpose computing. This effort is collectively known as GPGPU (</w:t>
      </w:r>
      <w:r>
        <w:t xml:space="preserve">it stands </w:t>
      </w:r>
      <w:r w:rsidRPr="00EB490F">
        <w:t>for “General-Purpose computing on the GPU”)</w:t>
      </w:r>
      <w:r>
        <w:t xml:space="preserve"> [</w:t>
      </w:r>
      <w:r w:rsidR="00645982">
        <w:t>#x</w:t>
      </w:r>
      <w:r>
        <w:t>]</w:t>
      </w:r>
      <w:r w:rsidRPr="00EB490F">
        <w:t>.</w:t>
      </w:r>
      <w:r w:rsidR="006A07F0">
        <w:t xml:space="preserve"> </w:t>
      </w:r>
      <w:r w:rsidR="00700C66">
        <w:t xml:space="preserve">Part of this collective effort are the </w:t>
      </w:r>
      <w:r w:rsidR="006A07F0">
        <w:t>database community researchers</w:t>
      </w:r>
      <w:r w:rsidR="00700C66">
        <w:t xml:space="preserve"> who </w:t>
      </w:r>
      <w:r w:rsidR="006A07F0">
        <w:t>have taken interest in using GPU</w:t>
      </w:r>
      <w:r w:rsidR="001F1B0A">
        <w:t>s</w:t>
      </w:r>
      <w:r w:rsidR="006A07F0">
        <w:t xml:space="preserve"> for accelerating database operations.</w:t>
      </w:r>
      <w:r w:rsidR="0028055B">
        <w:t xml:space="preserve"> The</w:t>
      </w:r>
      <w:r w:rsidR="006A07F0">
        <w:t xml:space="preserve"> </w:t>
      </w:r>
      <w:r w:rsidR="0028055B">
        <w:t xml:space="preserve">concerned operation in this paper </w:t>
      </w:r>
      <w:r w:rsidR="006A07F0">
        <w:t>is query evaluation using indices.</w:t>
      </w:r>
      <w:r w:rsidR="006A07F0" w:rsidRPr="006A07F0">
        <w:t xml:space="preserve"> </w:t>
      </w:r>
    </w:p>
    <w:p w:rsidR="002C5CAC" w:rsidRDefault="0028055B" w:rsidP="00B56A69">
      <w:pPr>
        <w:pStyle w:val="IEEEParagraph"/>
      </w:pPr>
      <w:r>
        <w:t xml:space="preserve">Indices are data structures used to accelerate search and retrieval of data. Different data structures have been proposed for use in CPUs. </w:t>
      </w:r>
      <w:r w:rsidRPr="00392068">
        <w:t>However, they are often not easily parallelizable and therefore cannot benefit from an implementation on a GPU.</w:t>
      </w:r>
      <w:r>
        <w:t xml:space="preserve"> </w:t>
      </w:r>
      <w:r w:rsidRPr="00392068">
        <w:t xml:space="preserve">Indices whose performance may benefit from a GPU implementation must allow SIMD operations in parallel by several </w:t>
      </w:r>
      <w:r>
        <w:t xml:space="preserve">thousands of threads. </w:t>
      </w:r>
      <w:r w:rsidRPr="0028055B">
        <w:t xml:space="preserve">The projection index supports </w:t>
      </w:r>
      <w:r>
        <w:t xml:space="preserve">this </w:t>
      </w:r>
      <w:r w:rsidR="00907EEB">
        <w:t xml:space="preserve">high </w:t>
      </w:r>
      <w:r w:rsidRPr="0028055B">
        <w:t xml:space="preserve">thread-level parallelism and therefore could potentially make good use of a GPU. </w:t>
      </w:r>
      <w:r w:rsidR="00C073E6">
        <w:t xml:space="preserve">The drawback when using </w:t>
      </w:r>
      <w:r w:rsidR="00164D7B">
        <w:t>them</w:t>
      </w:r>
      <w:r w:rsidR="00C073E6">
        <w:t xml:space="preserve"> is that</w:t>
      </w:r>
      <w:r w:rsidRPr="0028055B">
        <w:t xml:space="preserve"> most of the time spent when doing a query evaluation is spent in transferring </w:t>
      </w:r>
      <w:r w:rsidR="00164D7B">
        <w:t xml:space="preserve">it </w:t>
      </w:r>
      <w:r w:rsidRPr="0028055B">
        <w:t xml:space="preserve">from the CPU to the GPU. </w:t>
      </w:r>
      <w:proofErr w:type="spellStart"/>
      <w:r w:rsidRPr="0028055B">
        <w:t>Gosink</w:t>
      </w:r>
      <w:proofErr w:type="spellEnd"/>
      <w:r w:rsidRPr="0028055B">
        <w:t xml:space="preserve"> et al [#x], improve on this bottleneck by reducing the size of the data that needs to be transferred; they do so by changing the encoding of the data that needs to be transferred. In contrast, in this paper, to reduce the size of the data transferred from the CPU to the GPU, compression is used. </w:t>
      </w:r>
      <w:r w:rsidR="00450530">
        <w:t xml:space="preserve">The projection </w:t>
      </w:r>
      <w:r w:rsidRPr="0028055B">
        <w:t>index</w:t>
      </w:r>
      <w:r w:rsidR="005D78B7">
        <w:t xml:space="preserve"> is</w:t>
      </w:r>
      <w:r w:rsidR="00450530">
        <w:t xml:space="preserve"> compressed </w:t>
      </w:r>
      <w:r w:rsidR="00A71B3F">
        <w:t>with Run Length Encoding (RLE)</w:t>
      </w:r>
      <w:r w:rsidR="00450530">
        <w:t xml:space="preserve">. </w:t>
      </w:r>
      <w:r w:rsidR="00A71B3F">
        <w:t xml:space="preserve">Specifically, it </w:t>
      </w:r>
      <w:r w:rsidR="002C5CAC" w:rsidRPr="002C5CAC">
        <w:t xml:space="preserve">is sent to the GPU as two </w:t>
      </w:r>
      <w:r w:rsidR="002C183A" w:rsidRPr="002C5CAC">
        <w:t>separate</w:t>
      </w:r>
      <w:r w:rsidR="002C5CAC" w:rsidRPr="002C5CAC">
        <w:t xml:space="preserve"> arrays.  One array is the frequencies, which represent the number of times</w:t>
      </w:r>
      <w:r w:rsidR="002C183A">
        <w:t xml:space="preserve"> </w:t>
      </w:r>
      <w:r w:rsidR="002C5CAC" w:rsidRPr="002C5CAC">
        <w:t xml:space="preserve">an attribute value repeats, and the other array </w:t>
      </w:r>
      <w:r w:rsidR="002C183A">
        <w:t xml:space="preserve">consists of the </w:t>
      </w:r>
      <w:r w:rsidR="002C5CAC" w:rsidRPr="002C5CAC">
        <w:t>attribute values</w:t>
      </w:r>
      <w:r w:rsidR="002C183A">
        <w:t xml:space="preserve"> </w:t>
      </w:r>
      <w:r w:rsidR="002C5CAC" w:rsidRPr="002C5CAC">
        <w:t xml:space="preserve">themselves.  For the </w:t>
      </w:r>
      <w:r w:rsidR="00151EA6">
        <w:t xml:space="preserve">RLE </w:t>
      </w:r>
      <w:r w:rsidR="002C5CAC" w:rsidRPr="002C5CAC">
        <w:t>compression scheme to be useful</w:t>
      </w:r>
      <w:r w:rsidR="002C183A">
        <w:t xml:space="preserve"> </w:t>
      </w:r>
      <w:r w:rsidR="002C5CAC" w:rsidRPr="002C5CAC">
        <w:t>in reducing the size of the data, the projection index must be created on</w:t>
      </w:r>
      <w:r w:rsidR="002C183A">
        <w:t xml:space="preserve"> </w:t>
      </w:r>
      <w:r w:rsidR="002C5CAC" w:rsidRPr="002C5CAC">
        <w:t>columns that are not unique and that allow themselves to be compressed</w:t>
      </w:r>
      <w:r w:rsidR="002C183A">
        <w:t xml:space="preserve"> </w:t>
      </w:r>
      <w:r w:rsidR="002C5CAC" w:rsidRPr="002C5CAC">
        <w:t>somewhat.  After the algorithm is sent to the GPU</w:t>
      </w:r>
      <w:r w:rsidR="002548D9">
        <w:t>,</w:t>
      </w:r>
      <w:r w:rsidR="002C5CAC" w:rsidRPr="002C5CAC">
        <w:t xml:space="preserve"> it is </w:t>
      </w:r>
      <w:r w:rsidR="00E33B62">
        <w:t>decompressed</w:t>
      </w:r>
      <w:r w:rsidR="002C5CAC" w:rsidRPr="002C5CAC">
        <w:t xml:space="preserve"> using</w:t>
      </w:r>
      <w:r w:rsidR="002C183A">
        <w:t xml:space="preserve"> </w:t>
      </w:r>
      <w:r w:rsidR="002813E6">
        <w:t xml:space="preserve">a </w:t>
      </w:r>
      <w:r w:rsidR="00C00805">
        <w:t xml:space="preserve">parallel </w:t>
      </w:r>
      <w:r w:rsidR="002813E6">
        <w:t xml:space="preserve">decompression </w:t>
      </w:r>
      <w:r w:rsidR="002C5CAC" w:rsidRPr="002C183A">
        <w:t>algorithm</w:t>
      </w:r>
      <w:r w:rsidR="00E67467">
        <w:t>.</w:t>
      </w:r>
      <w:r w:rsidR="00B56A69">
        <w:t xml:space="preserve"> </w:t>
      </w:r>
      <w:r w:rsidR="00075382">
        <w:t>Two</w:t>
      </w:r>
      <w:r w:rsidR="002C5CAC" w:rsidRPr="002C5CAC">
        <w:t xml:space="preserve"> algorithms were designed to perform</w:t>
      </w:r>
      <w:r w:rsidR="002C183A">
        <w:t xml:space="preserve"> </w:t>
      </w:r>
      <w:r w:rsidR="002C5CAC" w:rsidRPr="002C5CAC">
        <w:t xml:space="preserve">this job </w:t>
      </w:r>
      <w:r w:rsidR="00075382">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B51E1C" w:rsidRDefault="00B51E1C" w:rsidP="00146D3E">
      <w:pPr>
        <w:pStyle w:val="NoSpacing"/>
      </w:pPr>
    </w:p>
    <w:p w:rsidR="00B51E1C" w:rsidRDefault="00B51E1C" w:rsidP="00146D3E">
      <w:pPr>
        <w:pStyle w:val="NoSpacing"/>
      </w:pPr>
    </w:p>
    <w:p w:rsidR="00146D3E" w:rsidRDefault="00146D3E" w:rsidP="002C5CAC">
      <w:pPr>
        <w:pStyle w:val="NoSpacing"/>
      </w:pPr>
      <w:r>
        <w:lastRenderedPageBreak/>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proofErr w:type="gramStart"/>
      <w:r>
        <w:t>Figure 1.</w:t>
      </w:r>
      <w:proofErr w:type="gramEnd"/>
      <w:r>
        <w:t xml:space="preserve">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proofErr w:type="gramStart"/>
      <w:r w:rsidR="00CB388B">
        <w:rPr>
          <w:color w:val="800080"/>
        </w:rPr>
        <w:t>for</w:t>
      </w:r>
      <w:r w:rsidR="00CB388B">
        <w:rPr>
          <w:color w:val="000000"/>
        </w:rPr>
        <w:t>(</w:t>
      </w:r>
      <w:proofErr w:type="spellStart"/>
      <w:proofErr w:type="gramEnd"/>
      <w:r w:rsidR="00CB388B">
        <w:rPr>
          <w:color w:val="800080"/>
        </w:rPr>
        <w:t>int</w:t>
      </w:r>
      <w:proofErr w:type="spellEnd"/>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w:t>
      </w:r>
      <w:r w:rsidR="00F26270">
        <w:lastRenderedPageBreak/>
        <w:t xml:space="preserve">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proofErr w:type="gramStart"/>
      <w:r>
        <w:t>Listing 2.</w:t>
      </w:r>
      <w:proofErr w:type="gramEnd"/>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lastRenderedPageBreak/>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lastRenderedPageBreak/>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09402B">
        <w:t xml:space="preserve">of </w:t>
      </w:r>
      <w:r w:rsidR="006B748D">
        <w:t xml:space="preserve">the </w:t>
      </w:r>
      <w:r w:rsidR="0009402B">
        <w:t xml:space="preserve">work efficient </w:t>
      </w:r>
      <w:r w:rsidR="006B748D">
        <w:t xml:space="preserve">algorithm had bank conflicts due to </w:t>
      </w:r>
      <w:r w:rsidR="0009402B">
        <w:t>its shared memory access patters</w:t>
      </w:r>
      <w:r w:rsidR="006B748D">
        <w:t xml:space="preserve">. To solve this problem </w:t>
      </w:r>
      <w:r w:rsidR="00931927">
        <w:t>padding was added to each shared memory array index. A</w:t>
      </w:r>
      <w:r w:rsidR="006B748D">
        <w:t xml:space="preserve"> macro was added </w:t>
      </w:r>
      <w:r w:rsidR="00931927">
        <w:t>to compute</w:t>
      </w:r>
      <w:r w:rsidR="006B748D">
        <w:t xml:space="preserve"> </w:t>
      </w:r>
      <w:r w:rsidR="005A5616">
        <w:t xml:space="preserve">the </w:t>
      </w:r>
      <w:r w:rsidR="006B748D">
        <w:t>bank-conflict-free shared memory array indices.</w:t>
      </w:r>
      <w:r w:rsidR="005A5616">
        <w:t xml:space="preserve"> Also, t</w:t>
      </w:r>
      <w:r w:rsidR="006B748D">
        <w:t xml:space="preserve">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of this scan is then </w:t>
      </w:r>
      <w:r w:rsidR="00694DB5">
        <w:t xml:space="preserve">used to increment the block next </w:t>
      </w:r>
      <w:r w:rsidR="007608AC">
        <w:t xml:space="preserve">to the </w:t>
      </w:r>
      <w:r w:rsidR="00694DB5">
        <w:t>block where the sum was originated from (see figure #x).</w:t>
      </w:r>
      <w:r w:rsidR="00044186">
        <w:t xml:space="preserve"> More detail on this work can be </w:t>
      </w:r>
      <w:r w:rsidR="007402AE">
        <w:t>found</w:t>
      </w:r>
      <w:r w:rsidR="00044186">
        <w:t xml:space="preserve"> </w:t>
      </w:r>
      <w:r w:rsidR="007402AE">
        <w:t xml:space="preserve">in </w:t>
      </w:r>
      <w:r w:rsidR="00044186">
        <w:t>the article Parallel Prefix Sum (Scan) with CUDA [#x]</w:t>
      </w:r>
      <w:r w:rsidR="001E0560">
        <w:t>.</w:t>
      </w:r>
    </w:p>
    <w:p w:rsidR="00E70F13" w:rsidRDefault="00E70F13" w:rsidP="00146D3E">
      <w:pPr>
        <w:pStyle w:val="NoSpacing"/>
      </w:pPr>
    </w:p>
    <w:p w:rsidR="00694DB5" w:rsidRDefault="00E70F13" w:rsidP="00146D3E">
      <w:pPr>
        <w:pStyle w:val="NoSpacing"/>
      </w:pPr>
      <w:r>
        <w:rPr>
          <w:noProof/>
        </w:rPr>
        <w:drawing>
          <wp:inline distT="0" distB="0" distL="0" distR="0">
            <wp:extent cx="4509818" cy="3413919"/>
            <wp:effectExtent l="19050" t="0" r="5032"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11530" cy="3415215"/>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w:t>
      </w:r>
      <w:r>
        <w:lastRenderedPageBreak/>
        <w:t xml:space="preserve">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5"/>
                      <a:stretch>
                        <a:fillRect/>
                      </a:stretch>
                    </a:blipFill>
                    <a:spPr>
                      <a:xfrm>
                        <a:off x="3810000" y="4876800"/>
                        <a:ext cx="1365622" cy="518205"/>
                      </a:xfrm>
                      <a:prstGeom prst="rect">
                        <a:avLst/>
                      </a:prstGeom>
                    </a:spPr>
                  </a:pic>
                  <a:pic>
                    <a:nvPicPr>
                      <a:cNvPr id="24" name="table"/>
                      <a:cNvPicPr>
                        <a:picLocks noChangeAspect="1"/>
                      </a:cNvPicPr>
                    </a:nvPicPr>
                    <a:blipFill>
                      <a:blip r:embed="rId16"/>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r>
        <w:t>Listing 5.</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proofErr w:type="gramStart"/>
      <w:r w:rsidR="00FE3F01">
        <w:rPr>
          <w:color w:val="000000"/>
        </w:rPr>
        <w:t>get</w:t>
      </w:r>
      <w:proofErr w:type="gramEnd"/>
      <w:r w:rsidR="00FE3F01">
        <w:rPr>
          <w:color w:val="000000"/>
        </w:rPr>
        <w:t xml:space="preserve">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proofErr w:type="gramStart"/>
      <w:r>
        <w:rPr>
          <w:color w:val="000000"/>
        </w:rPr>
        <w:t>:=</w:t>
      </w:r>
      <w:proofErr w:type="gramEnd"/>
      <w:r>
        <w:rPr>
          <w:color w:val="000000"/>
        </w:rPr>
        <w:t xml:space="preserve">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proofErr w:type="spellStart"/>
      <w:proofErr w:type="gramStart"/>
      <w:r w:rsidR="001273A6">
        <w:rPr>
          <w:color w:val="800080"/>
        </w:rPr>
        <w:t>forall</w:t>
      </w:r>
      <w:proofErr w:type="spellEnd"/>
      <w:proofErr w:type="gramEnd"/>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proofErr w:type="gramStart"/>
      <w:r>
        <w:rPr>
          <w:color w:val="800080"/>
        </w:rPr>
        <w:t>for</w:t>
      </w:r>
      <w:proofErr w:type="gramEnd"/>
      <w:r>
        <w:rPr>
          <w:color w:val="000000"/>
        </w:rPr>
        <w:t xml:space="preserve"> j := </w:t>
      </w:r>
      <w:r w:rsidR="00A4213B">
        <w:rPr>
          <w:color w:val="000000"/>
        </w:rPr>
        <w:t>X</w:t>
      </w:r>
      <w:r>
        <w:rPr>
          <w:color w:val="800000"/>
        </w:rPr>
        <w:t>[</w:t>
      </w:r>
      <w:proofErr w:type="spellStart"/>
      <w:r>
        <w:rPr>
          <w:color w:val="000000"/>
        </w:rPr>
        <w:t>i</w:t>
      </w:r>
      <w:proofErr w:type="spellEnd"/>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w:t>
      </w:r>
      <w:proofErr w:type="gramStart"/>
      <w:r>
        <w:rPr>
          <w:color w:val="000000"/>
        </w:rPr>
        <w:t>result</w:t>
      </w:r>
      <w:proofErr w:type="gramEnd"/>
      <w:r>
        <w:rPr>
          <w:color w:val="000000"/>
        </w:rPr>
        <w:t xml:space="preserve">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llocated in the 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r>
        <w:t>Listing 6.</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w:t>
      </w:r>
      <w:r>
        <w:rPr>
          <w:color w:val="000080"/>
        </w:rPr>
        <w:t>0</w:t>
      </w:r>
      <w:r>
        <w:rPr>
          <w:color w:val="000000"/>
        </w:rPr>
        <w:t xml:space="preserve"> to item </w:t>
      </w:r>
      <w:proofErr w:type="spellStart"/>
      <w:r>
        <w:rPr>
          <w:color w:val="000000"/>
        </w:rPr>
        <w:t>i</w:t>
      </w:r>
      <w:proofErr w:type="spellEnd"/>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a </w:t>
      </w:r>
      <w:r>
        <w:rPr>
          <w:color w:val="000080"/>
        </w:rPr>
        <w:t>1</w:t>
      </w:r>
      <w:r>
        <w:rPr>
          <w:color w:val="000000"/>
        </w:rPr>
        <w:t xml:space="preserve"> to item X</w:t>
      </w:r>
      <w:r>
        <w:rPr>
          <w:color w:val="800000"/>
        </w:rPr>
        <w:t>[</w:t>
      </w:r>
      <w:proofErr w:type="spellStart"/>
      <w:r>
        <w:rPr>
          <w:color w:val="000000"/>
        </w:rPr>
        <w:t>i</w:t>
      </w:r>
      <w:proofErr w:type="spellEnd"/>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w:t>
      </w:r>
      <w:proofErr w:type="spellStart"/>
      <w:r>
        <w:rPr>
          <w:color w:val="000000"/>
        </w:rPr>
        <w:t>i</w:t>
      </w:r>
      <w:proofErr w:type="spellEnd"/>
      <w:r>
        <w:rPr>
          <w:color w:val="000000"/>
        </w:rPr>
        <w:t xml:space="preserve">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proofErr w:type="spellStart"/>
      <w:proofErr w:type="gramStart"/>
      <w:r>
        <w:rPr>
          <w:color w:val="800080"/>
        </w:rPr>
        <w:t>forall</w:t>
      </w:r>
      <w:proofErr w:type="spellEnd"/>
      <w:proofErr w:type="gramEnd"/>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proofErr w:type="gramStart"/>
      <w:r>
        <w:rPr>
          <w:color w:val="C04000"/>
        </w:rPr>
        <w:t>write</w:t>
      </w:r>
      <w:proofErr w:type="gramEnd"/>
      <w:r>
        <w:rPr>
          <w:color w:val="000000"/>
        </w:rPr>
        <w:t xml:space="preserve"> item S</w:t>
      </w:r>
      <w:r>
        <w:rPr>
          <w:color w:val="800000"/>
        </w:rPr>
        <w:t>[</w:t>
      </w:r>
      <w:r>
        <w:rPr>
          <w:color w:val="000000"/>
        </w:rPr>
        <w:t>A</w:t>
      </w:r>
      <w:r>
        <w:rPr>
          <w:color w:val="800000"/>
        </w:rPr>
        <w:t>[</w:t>
      </w:r>
      <w:proofErr w:type="spellStart"/>
      <w:r>
        <w:rPr>
          <w:color w:val="000000"/>
        </w:rPr>
        <w:t>i</w:t>
      </w:r>
      <w:proofErr w:type="spellEnd"/>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lastRenderedPageBreak/>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7"/>
                      <a:stretch>
                        <a:fillRect/>
                      </a:stretch>
                    </a:blipFill>
                    <a:spPr>
                      <a:xfrm>
                        <a:off x="1905000" y="2524760"/>
                        <a:ext cx="2048434" cy="518205"/>
                      </a:xfrm>
                      <a:prstGeom prst="rect">
                        <a:avLst/>
                      </a:prstGeom>
                    </a:spPr>
                  </a:pic>
                  <a:pic>
                    <a:nvPicPr>
                      <a:cNvPr id="24" name="table"/>
                      <a:cNvPicPr>
                        <a:picLocks noChangeAspect="1"/>
                      </a:cNvPicPr>
                    </a:nvPicPr>
                    <a:blipFill>
                      <a:blip r:embed="rId18"/>
                      <a:stretch>
                        <a:fillRect/>
                      </a:stretch>
                    </a:blipFill>
                    <a:spPr>
                      <a:xfrm>
                        <a:off x="1905000" y="3286760"/>
                        <a:ext cx="2048434" cy="518205"/>
                      </a:xfrm>
                      <a:prstGeom prst="rect">
                        <a:avLst/>
                      </a:prstGeom>
                    </a:spPr>
                  </a:pic>
                  <a:pic>
                    <a:nvPicPr>
                      <a:cNvPr id="25" name="table"/>
                      <a:cNvPicPr>
                        <a:picLocks noChangeAspect="1"/>
                      </a:cNvPicPr>
                    </a:nvPicPr>
                    <a:blipFill>
                      <a:blip r:embed="rId19"/>
                      <a:stretch>
                        <a:fillRect/>
                      </a:stretch>
                    </a:blipFill>
                    <a:spPr>
                      <a:xfrm>
                        <a:off x="1905000" y="4572000"/>
                        <a:ext cx="5328366" cy="518205"/>
                      </a:xfrm>
                      <a:prstGeom prst="rect">
                        <a:avLst/>
                      </a:prstGeom>
                    </a:spPr>
                  </a:pic>
                  <a:pic>
                    <a:nvPicPr>
                      <a:cNvPr id="26" name="table"/>
                      <a:cNvPicPr>
                        <a:picLocks noChangeAspect="1"/>
                      </a:cNvPicPr>
                    </a:nvPicPr>
                    <a:blipFill>
                      <a:blip r:embed="rId20"/>
                      <a:stretch>
                        <a:fillRect/>
                      </a:stretch>
                    </a:blipFill>
                    <a:spPr>
                      <a:xfrm>
                        <a:off x="1905000" y="2067560"/>
                        <a:ext cx="2048434" cy="518205"/>
                      </a:xfrm>
                      <a:prstGeom prst="rect">
                        <a:avLst/>
                      </a:prstGeom>
                    </a:spPr>
                  </a:pic>
                  <a:pic>
                    <a:nvPicPr>
                      <a:cNvPr id="27" name="table"/>
                      <a:cNvPicPr>
                        <a:picLocks noChangeAspect="1"/>
                      </a:cNvPicPr>
                    </a:nvPicPr>
                    <a:blipFill>
                      <a:blip r:embed="rId21"/>
                      <a:stretch>
                        <a:fillRect/>
                      </a:stretch>
                    </a:blipFill>
                    <a:spPr>
                      <a:xfrm>
                        <a:off x="1905000" y="5115560"/>
                        <a:ext cx="5328366" cy="518205"/>
                      </a:xfrm>
                      <a:prstGeom prst="rect">
                        <a:avLst/>
                      </a:prstGeom>
                    </a:spPr>
                  </a:pic>
                  <a:pic>
                    <a:nvPicPr>
                      <a:cNvPr id="29" name="table"/>
                      <a:cNvPicPr>
                        <a:picLocks noChangeAspect="1"/>
                      </a:cNvPicPr>
                    </a:nvPicPr>
                    <a:blipFill>
                      <a:blip r:embed="rId22"/>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3"/>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ED7CDE" w:rsidRDefault="00ED7CDE" w:rsidP="008615FC">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lastRenderedPageBreak/>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4"/>
                      <a:stretch>
                        <a:fillRect/>
                      </a:stretch>
                    </a:blipFill>
                    <a:spPr>
                      <a:xfrm>
                        <a:off x="1524000" y="2590800"/>
                        <a:ext cx="5633192" cy="530398"/>
                      </a:xfrm>
                      <a:prstGeom prst="rect">
                        <a:avLst/>
                      </a:prstGeom>
                    </a:spPr>
                  </a:pic>
                  <a:pic>
                    <a:nvPicPr>
                      <a:cNvPr id="14" name="table"/>
                      <a:cNvPicPr>
                        <a:picLocks noChangeAspect="1"/>
                      </a:cNvPicPr>
                    </a:nvPicPr>
                    <a:blipFill>
                      <a:blip r:embed="rId25"/>
                      <a:stretch>
                        <a:fillRect/>
                      </a:stretch>
                    </a:blipFill>
                    <a:spPr>
                      <a:xfrm>
                        <a:off x="1524000" y="3238500"/>
                        <a:ext cx="5633192" cy="530398"/>
                      </a:xfrm>
                      <a:prstGeom prst="rect">
                        <a:avLst/>
                      </a:prstGeom>
                    </a:spPr>
                  </a:pic>
                  <a:pic>
                    <a:nvPicPr>
                      <a:cNvPr id="15"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7"/>
                      <a:stretch>
                        <a:fillRect/>
                      </a:stretch>
                    </a:blipFill>
                    <a:spPr>
                      <a:xfrm>
                        <a:off x="1524000" y="3238500"/>
                        <a:ext cx="5633192" cy="530398"/>
                      </a:xfrm>
                      <a:prstGeom prst="rect">
                        <a:avLst/>
                      </a:prstGeom>
                    </a:spPr>
                  </a:pic>
                  <a:pic>
                    <a:nvPicPr>
                      <a:cNvPr id="14" name="table"/>
                      <a:cNvPicPr>
                        <a:picLocks noChangeAspect="1"/>
                      </a:cNvPicPr>
                    </a:nvPicPr>
                    <a:blipFill>
                      <a:blip r:embed="rId28"/>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9"/>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30"/>
                      <a:stretch>
                        <a:fillRect/>
                      </a:stretch>
                    </a:blipFill>
                    <a:spPr>
                      <a:xfrm>
                        <a:off x="1524000" y="3238500"/>
                        <a:ext cx="5633192" cy="530398"/>
                      </a:xfrm>
                      <a:prstGeom prst="rect">
                        <a:avLst/>
                      </a:prstGeom>
                    </a:spPr>
                  </a:pic>
                  <a:pic>
                    <a:nvPicPr>
                      <a:cNvPr id="16" name="table"/>
                      <a:cNvPicPr>
                        <a:picLocks noChangeAspect="1"/>
                      </a:cNvPicPr>
                    </a:nvPicPr>
                    <a:blipFill>
                      <a:blip r:embed="rId31"/>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2"/>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lastRenderedPageBreak/>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w:t>
      </w:r>
      <w:r w:rsidR="003708A4">
        <w:t>write</w:t>
      </w:r>
      <w:r w:rsidR="00366BF4">
        <w:t xml:space="preserve"> access patterns</w:t>
      </w:r>
      <w:r w:rsidR="003708A4">
        <w:t xml:space="preserve"> on </w:t>
      </w:r>
      <w:r w:rsidR="00366BF4">
        <w:t xml:space="preserve">the </w:t>
      </w:r>
      <w:r w:rsidR="003708A4">
        <w:t xml:space="preserve">array were not organized </w:t>
      </w:r>
      <w:r w:rsidR="006B413D">
        <w:t xml:space="preserve">in </w:t>
      </w:r>
      <w:r w:rsidR="00366BF4">
        <w:t xml:space="preserve">a </w:t>
      </w:r>
      <w:r w:rsidR="006B413D">
        <w:t>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3" o:title=""/>
          </v:shape>
          <o:OLEObject Type="Embed" ProgID="Excel.Sheet.12" ShapeID="_x0000_i1025" DrawAspect="Content" ObjectID="_1333614418" r:id="rId34"/>
        </w:object>
      </w:r>
    </w:p>
    <w:p w:rsidR="009C4D65" w:rsidRDefault="00231B71" w:rsidP="00A14D1E">
      <w:pPr>
        <w:pStyle w:val="NoSpacing"/>
      </w:pPr>
      <w:r w:rsidRPr="006D2573">
        <w:rPr>
          <w:noProof/>
        </w:rPr>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31B71" w:rsidRDefault="00231B71" w:rsidP="00231B71">
      <w:pPr>
        <w:pStyle w:val="NoSpacing"/>
      </w:pPr>
    </w:p>
    <w:p w:rsidR="00231B71" w:rsidRDefault="00231B71" w:rsidP="00231B71">
      <w:pPr>
        <w:pStyle w:val="NoSpacing"/>
      </w:pPr>
      <w:proofErr w:type="gramStart"/>
      <w:r>
        <w:t>Figure #x.</w:t>
      </w:r>
      <w:proofErr w:type="gramEnd"/>
      <w:r>
        <w:t xml:space="preserve">  </w:t>
      </w:r>
      <w:proofErr w:type="gramStart"/>
      <w:r>
        <w:t>Time taken to transfer a sequence of characters and decompressing using the Load Unbalanced Algorithm, and the Load Balanced Algorithm (LB) versus transferring the uncompressed index.</w:t>
      </w:r>
      <w:proofErr w:type="gramEnd"/>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56F18" w:rsidRDefault="00256F18" w:rsidP="004043DF">
      <w:pPr>
        <w:pStyle w:val="NoSpacing"/>
      </w:pPr>
    </w:p>
    <w:p w:rsidR="00583986" w:rsidRDefault="00583986" w:rsidP="004043DF">
      <w:pPr>
        <w:pStyle w:val="NoSpacing"/>
      </w:pPr>
      <w:proofErr w:type="gramStart"/>
      <w:r>
        <w:t>Figure #x. Performance of Phase 5 with</w:t>
      </w:r>
      <w:r w:rsidR="00C23F14">
        <w:t xml:space="preserve"> </w:t>
      </w:r>
      <w:r w:rsidR="00D96B6C">
        <w:t>texture memory (P5T), and</w:t>
      </w:r>
      <w:r>
        <w:t xml:space="preserve"> without </w:t>
      </w:r>
      <w:r w:rsidR="00D96B6C">
        <w:t xml:space="preserve">it </w:t>
      </w:r>
      <w:r w:rsidR="00BC3E30">
        <w:t>(P5)</w:t>
      </w:r>
      <w:r>
        <w:t>.</w:t>
      </w:r>
      <w:proofErr w:type="gramEnd"/>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lastRenderedPageBreak/>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D137DC" w:rsidRDefault="00EB04CA" w:rsidP="00C61F36">
      <w:pPr>
        <w:pStyle w:val="NoSpacing"/>
      </w:pPr>
      <w:r>
        <w:object w:dxaOrig="6113" w:dyaOrig="3743">
          <v:shape id="_x0000_i1026" type="#_x0000_t75" style="width:243.85pt;height:149.45pt" o:ole="">
            <v:imagedata r:id="rId38" o:title=""/>
          </v:shape>
          <o:OLEObject Type="Embed" ProgID="Excel.Sheet.12" ShapeID="_x0000_i1026" DrawAspect="Content" ObjectID="_1333614419" r:id="rId39"/>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B04CA" w:rsidRDefault="00EB04CA" w:rsidP="00C61F36">
      <w:pPr>
        <w:pStyle w:val="NoSpacing"/>
      </w:pPr>
    </w:p>
    <w:p w:rsidR="00256F18" w:rsidRDefault="00256F18" w:rsidP="00C61F36">
      <w:pPr>
        <w:pStyle w:val="NoSpacing"/>
      </w:pPr>
    </w:p>
    <w:p w:rsidR="00112DE9" w:rsidRDefault="00112DE9" w:rsidP="00C61F36">
      <w:pPr>
        <w:pStyle w:val="NoSpacing"/>
      </w:pPr>
      <w:r>
        <w:lastRenderedPageBreak/>
        <w:t>Additional data was aggregated to this test to determine when it was not convenient to transfer the index compressed to the GPU when using integers. The</w:t>
      </w:r>
      <w:r w:rsidR="00372B1D">
        <w:t xml:space="preserve"> additional data and outcome can be seen in Table #x. When the uncompressed size of the index is approximately 176K (45150 elements) </w:t>
      </w:r>
      <w:r w:rsidR="005A6B3E">
        <w:t xml:space="preserve">or less </w:t>
      </w:r>
      <w:r w:rsidR="00372B1D">
        <w:t>it was faste</w:t>
      </w:r>
      <w:r w:rsidR="005A6B3E">
        <w:t>st</w:t>
      </w:r>
      <w:r w:rsidR="00372B1D">
        <w:t xml:space="preserve"> to send the uncompressed index.</w:t>
      </w:r>
    </w:p>
    <w:p w:rsidR="00F32C1B" w:rsidRDefault="00F32C1B" w:rsidP="00C61F36">
      <w:pPr>
        <w:pStyle w:val="NoSpacing"/>
      </w:pPr>
    </w:p>
    <w:p w:rsidR="00F32C1B" w:rsidRDefault="00F32C1B" w:rsidP="00C61F36">
      <w:pPr>
        <w:pStyle w:val="NoSpacing"/>
      </w:pPr>
      <w:r>
        <w:object w:dxaOrig="4692" w:dyaOrig="2311">
          <v:shape id="_x0000_i1030" type="#_x0000_t75" style="width:219.4pt;height:108pt" o:ole="">
            <v:imagedata r:id="rId41" o:title=""/>
          </v:shape>
          <o:OLEObject Type="Embed" ProgID="Excel.Sheet.12" ShapeID="_x0000_i1030" DrawAspect="Content" ObjectID="_1333614420" r:id="rId42"/>
        </w:object>
      </w:r>
    </w:p>
    <w:p w:rsidR="00372B1D" w:rsidRDefault="00372B1D" w:rsidP="00C61F36">
      <w:pPr>
        <w:pStyle w:val="NoSpacing"/>
      </w:pPr>
    </w:p>
    <w:p w:rsidR="00372B1D" w:rsidRDefault="00372B1D" w:rsidP="00C61F36">
      <w:pPr>
        <w:pStyle w:val="NoSpacing"/>
      </w:pPr>
    </w:p>
    <w:p w:rsidR="00C61F36" w:rsidRDefault="00C61F36" w:rsidP="00C61F36">
      <w:pPr>
        <w:pStyle w:val="NoSpacing"/>
      </w:pPr>
      <w:r>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3" o:title=""/>
          </v:shape>
          <o:OLEObject Type="Embed" ProgID="Excel.Sheet.12" ShapeID="_x0000_i1027" DrawAspect="Content" ObjectID="_1333614421" r:id="rId44"/>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7" o:title=""/>
          </v:shape>
          <o:OLEObject Type="Embed" ProgID="Excel.Sheet.12" ShapeID="_x0000_i1028" DrawAspect="Content" ObjectID="_1333614422" r:id="rId48"/>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9" o:title=""/>
          </v:shape>
          <o:OLEObject Type="Embed" ProgID="Excel.Sheet.12" ShapeID="_x0000_i1029" DrawAspect="Content" ObjectID="_1333614423" r:id="rId50"/>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F14A05" w:rsidRDefault="00004506" w:rsidP="001E0560">
      <w:pPr>
        <w:pStyle w:val="NoSpacing"/>
      </w:pPr>
      <w:r>
        <w:t xml:space="preserve">From the results, it was determined that the performance of the algorithms depends mostly on the GPU used and its computability, the </w:t>
      </w:r>
      <w:r w:rsidR="001008FB">
        <w:t>level</w:t>
      </w:r>
      <w:r>
        <w:t xml:space="preserve"> of compression of the index, and the nature of the data being processed. </w:t>
      </w:r>
    </w:p>
    <w:p w:rsidR="00243373" w:rsidRDefault="001E0560" w:rsidP="005B227C">
      <w:pPr>
        <w:pStyle w:val="NoSpacing"/>
        <w:ind w:firstLine="720"/>
      </w:pPr>
      <w:r>
        <w:t>Overall the percentage of compression of the index is the most important</w:t>
      </w:r>
      <w:r w:rsidR="00F14A05">
        <w:t xml:space="preserve"> factor</w:t>
      </w:r>
      <w:r>
        <w:t xml:space="preserve"> to determine whether the index should be sent compressed and decompressed in the GPU, or uncompressed without </w:t>
      </w:r>
      <w:r w:rsidR="00553F22">
        <w:t>decompressing</w:t>
      </w:r>
      <w:r>
        <w:t xml:space="preserve">. </w:t>
      </w:r>
      <w:r w:rsidR="008E74B2" w:rsidRPr="008E74B2">
        <w:t xml:space="preserve">This </w:t>
      </w:r>
      <w:r w:rsidR="008E74B2">
        <w:t xml:space="preserve">factor </w:t>
      </w:r>
      <w:r w:rsidR="008E74B2" w:rsidRPr="008E74B2">
        <w:t>is inherent from the RLE compression scheme.</w:t>
      </w:r>
      <w:r w:rsidR="008E74B2">
        <w:t xml:space="preserve"> </w:t>
      </w:r>
      <w:r>
        <w:t>In the tests performed</w:t>
      </w:r>
      <w:r w:rsidR="00553F22">
        <w:t>,</w:t>
      </w:r>
      <w:r>
        <w:t xml:space="preserve"> only sequences </w:t>
      </w:r>
      <w:r w:rsidR="00553F22">
        <w:t xml:space="preserve">with a compression size of 50% and lower of the original size were </w:t>
      </w:r>
      <w:r w:rsidR="00F14A05">
        <w:t>attempted</w:t>
      </w:r>
      <w:r w:rsidR="00553F22">
        <w:t xml:space="preserve">. </w:t>
      </w:r>
      <w:r w:rsidR="002D7F37">
        <w:t>U</w:t>
      </w:r>
      <w:r w:rsidR="00553F22">
        <w:t xml:space="preserve">nder these </w:t>
      </w:r>
      <w:r w:rsidR="00F14A05">
        <w:t xml:space="preserve">conditions </w:t>
      </w:r>
      <w:r w:rsidR="00553F22">
        <w:t xml:space="preserve">it was </w:t>
      </w:r>
      <w:r w:rsidR="002D7F37">
        <w:t xml:space="preserve">not convenient to send </w:t>
      </w:r>
      <w:r w:rsidR="00553F22">
        <w:t>the compressed index, and decompress it within the GPU</w:t>
      </w:r>
      <w:r w:rsidR="002D7F37">
        <w:t xml:space="preserve"> for cases where the attribute values of the index were characters or when using integers</w:t>
      </w:r>
      <w:r w:rsidR="00F14A05">
        <w:t xml:space="preserve"> with an</w:t>
      </w:r>
      <w:r w:rsidR="002D7F37">
        <w:t xml:space="preserve"> uncompressed size </w:t>
      </w:r>
      <w:r w:rsidR="00F14A05">
        <w:t>of ~176K (45150 elements) and below.</w:t>
      </w:r>
      <w:r w:rsidR="008E74B2">
        <w:t xml:space="preserve"> </w:t>
      </w:r>
      <w:r w:rsidR="00243373">
        <w:t xml:space="preserve">For the Load Balanced algorithm the speed up increased as the index became more compressed, but for the Load Unbalanced algorithm the speed up began to diminish </w:t>
      </w:r>
      <w:r w:rsidR="003A73A8">
        <w:t>due to its inability to make full use of the GPU.</w:t>
      </w:r>
    </w:p>
    <w:p w:rsidR="00A0693C" w:rsidRDefault="00F14A05" w:rsidP="005B227C">
      <w:pPr>
        <w:pStyle w:val="NoSpacing"/>
        <w:ind w:firstLine="720"/>
      </w:pPr>
      <w:r>
        <w:t xml:space="preserve">The computability of the GPU allows for coalesced accesses for different access </w:t>
      </w:r>
      <w:r w:rsidR="00CD12A2">
        <w:t>patterns to global memory</w:t>
      </w:r>
      <w:r w:rsidR="00BE686A">
        <w:t xml:space="preserve">, which were encountered in some phases of the Load Balanced algorithm. </w:t>
      </w:r>
      <w:r w:rsidR="00CD12A2">
        <w:t xml:space="preserve">The greater number of cores and increased clockrate of this GPU allowed </w:t>
      </w:r>
      <w:r w:rsidR="00BE686A">
        <w:t>the decompression</w:t>
      </w:r>
      <w:r w:rsidR="00934DD1">
        <w:t xml:space="preserve"> </w:t>
      </w:r>
      <w:r w:rsidR="00BE686A">
        <w:t>algorithms to accelerate</w:t>
      </w:r>
      <w:r w:rsidR="00934DD1">
        <w:t xml:space="preserve"> in the performance tests</w:t>
      </w:r>
      <w:r w:rsidR="00CD12A2">
        <w:t>.</w:t>
      </w:r>
      <w:r w:rsidR="00B87168">
        <w:t xml:space="preserve"> However, both algorithms d</w:t>
      </w:r>
      <w:r w:rsidR="00236237">
        <w:t>o</w:t>
      </w:r>
      <w:r w:rsidR="00B87168">
        <w:t xml:space="preserve"> not take </w:t>
      </w:r>
      <w:r w:rsidR="00236237">
        <w:t xml:space="preserve">equally advantage </w:t>
      </w:r>
      <w:r w:rsidR="00B87168">
        <w:t xml:space="preserve">of the higher computability of the GPU. </w:t>
      </w:r>
      <w:r w:rsidR="00236237" w:rsidRPr="00236237">
        <w:t xml:space="preserve">The LU algorithm cannot </w:t>
      </w:r>
      <w:r w:rsidR="00236237">
        <w:t>take advantage of the greater number of cores when the number of elements is not varied enough as to launch a great number of threads. It also cannot take advantage of it when the repetitions are focused on a few single elements, as the threads handling those elements would be the only executing. T</w:t>
      </w:r>
      <w:r w:rsidR="00A0693C">
        <w:t>he load balanced algorithm</w:t>
      </w:r>
      <w:r w:rsidR="00236237">
        <w:t>, on the other hand is not affected by these other factors and all its phases distribute the work among all threads.</w:t>
      </w:r>
    </w:p>
    <w:p w:rsidR="00201CC8" w:rsidRDefault="00BE686A" w:rsidP="00201CC8">
      <w:pPr>
        <w:pStyle w:val="NoSpacing"/>
        <w:ind w:firstLine="720"/>
      </w:pPr>
      <w:r>
        <w:t xml:space="preserve">Finally, the nature of the data </w:t>
      </w:r>
      <w:r w:rsidR="005568E7">
        <w:t>refers to</w:t>
      </w:r>
      <w:r w:rsidR="00A0693C">
        <w:t xml:space="preserve"> both </w:t>
      </w:r>
      <w:r>
        <w:t xml:space="preserve">the </w:t>
      </w:r>
      <w:r w:rsidR="00193A7F">
        <w:t xml:space="preserve">way the data </w:t>
      </w:r>
      <w:r w:rsidR="00A0693C">
        <w:t>is</w:t>
      </w:r>
      <w:r w:rsidR="00193A7F">
        <w:t xml:space="preserve"> distributed </w:t>
      </w:r>
      <w:r>
        <w:t>and the data types of the attribute values</w:t>
      </w:r>
      <w:r w:rsidR="00193A7F">
        <w:t xml:space="preserve">. The size of the data type of the attribute value determines how much space is </w:t>
      </w:r>
      <w:r w:rsidR="00193A7F">
        <w:lastRenderedPageBreak/>
        <w:t>saved when compressing. In the case of characters, there would be no space saving</w:t>
      </w:r>
      <w:r w:rsidR="00A0693C">
        <w:t>s</w:t>
      </w:r>
      <w:r w:rsidR="00193A7F">
        <w:t xml:space="preserve"> when each character repeats </w:t>
      </w:r>
      <w:r w:rsidR="00A0693C">
        <w:t xml:space="preserve">itself </w:t>
      </w:r>
      <w:r w:rsidR="00193A7F">
        <w:t>five times or less</w:t>
      </w:r>
      <w:r w:rsidR="00A0693C">
        <w:t>. This is</w:t>
      </w:r>
      <w:r w:rsidR="00193A7F">
        <w:t xml:space="preserve"> because the integer necessary to specify the times it repeats would take four additional bytes. </w:t>
      </w:r>
      <w:r w:rsidR="00A0693C">
        <w:t>The data distribution also determines the compressibility of the index</w:t>
      </w:r>
      <w:r w:rsidR="00FA558C">
        <w:t>;</w:t>
      </w:r>
      <w:r w:rsidR="00366BF4">
        <w:t xml:space="preserve"> the more varied elements in the data the lesser the compression in a sorted index</w:t>
      </w:r>
      <w:r w:rsidR="00A0693C">
        <w:t xml:space="preserve">. </w:t>
      </w:r>
      <w:r w:rsidR="00366BF4">
        <w:t xml:space="preserve">The performance of the Load Balanced algorithm </w:t>
      </w:r>
      <w:r w:rsidR="006157B8">
        <w:t xml:space="preserve">was </w:t>
      </w:r>
      <w:r w:rsidR="00366BF4">
        <w:t xml:space="preserve">only </w:t>
      </w:r>
      <w:r w:rsidR="006157B8">
        <w:t xml:space="preserve">dependent </w:t>
      </w:r>
      <w:r w:rsidR="00366BF4">
        <w:t xml:space="preserve">on </w:t>
      </w:r>
      <w:r w:rsidR="006157B8">
        <w:t>it from this effect</w:t>
      </w:r>
      <w:r w:rsidR="00366BF4">
        <w:t xml:space="preserve">. In contrast, the Load Unbalanced </w:t>
      </w:r>
      <w:r w:rsidR="006157B8">
        <w:t>was also affected by the number of repetitions of each element. The greater the number of repetitions each element had the higher the workload of the threads writing the elements</w:t>
      </w:r>
      <w:r w:rsidR="00AD4093">
        <w:t xml:space="preserve"> and the more the performance gain was reduced for </w:t>
      </w:r>
      <w:r w:rsidR="00236237">
        <w:t>it</w:t>
      </w:r>
      <w:r w:rsidR="00ED7CDE">
        <w:t>.</w:t>
      </w:r>
    </w:p>
    <w:p w:rsidR="00201CC8" w:rsidRDefault="00201CC8" w:rsidP="00201CC8">
      <w:pPr>
        <w:pStyle w:val="NoSpacing"/>
        <w:ind w:firstLine="720"/>
      </w:pPr>
      <w:r>
        <w:t xml:space="preserve">As a final conclusion it was determined that the Load Balanced algorithm, was the best approach to send a large, highly repetitive projection index to the GPU. Much </w:t>
      </w:r>
      <w:r w:rsidR="008E74B2">
        <w:t xml:space="preserve">future work is </w:t>
      </w:r>
      <w:r>
        <w:t>possible for this problem, as many questions were left from the research, one such question is at what sizes of the index is it beneficial to send an index compressed to above 50% of the original size, as only tests were performed with percentages below this mark.</w:t>
      </w:r>
    </w:p>
    <w:p w:rsidR="008E74B2" w:rsidRDefault="00201CC8" w:rsidP="008E74B2">
      <w:pPr>
        <w:pStyle w:val="NoSpacing"/>
      </w:pPr>
      <w:r>
        <w:t xml:space="preserve">one possibility is </w:t>
      </w:r>
      <w:r w:rsidR="008E74B2">
        <w:t>to compare the GPU's decompression against the CPU</w:t>
      </w:r>
      <w:r>
        <w:t>’s</w:t>
      </w:r>
      <w:r w:rsidR="008E74B2">
        <w:t>, as it may not be a good algorithm for transferring an index quickly in the GPU</w:t>
      </w:r>
      <w:r>
        <w:t xml:space="preserve"> for certain instances</w:t>
      </w:r>
      <w:r w:rsidR="008E74B2">
        <w:t xml:space="preserve">, but it may be a good way to perform decompression when using a GPU.  </w:t>
      </w:r>
    </w:p>
    <w:p w:rsidR="008E74B2" w:rsidRDefault="008E74B2" w:rsidP="008E74B2">
      <w:pPr>
        <w:pStyle w:val="NoSpacing"/>
      </w:pPr>
      <w:r>
        <w:t>It may be noticed that one of the problems that was not addressed was the fact that it is possible to have a compressed index that will not fit in the GPUs memory once it is uncompressed within the GPU.</w:t>
      </w:r>
    </w:p>
    <w:p w:rsidR="008E74B2" w:rsidRDefault="008E74B2" w:rsidP="00485B42">
      <w:pPr>
        <w:pStyle w:val="NoSpacing"/>
      </w:pPr>
    </w:p>
    <w:p w:rsidR="00BE686A" w:rsidRDefault="00AD4093" w:rsidP="00485B42">
      <w:pPr>
        <w:pStyle w:val="NoSpacing"/>
      </w:pPr>
      <w:r>
        <w:t xml:space="preserve"> </w:t>
      </w:r>
    </w:p>
    <w:p w:rsidR="00BE686A" w:rsidRDefault="00BE686A" w:rsidP="001E0560">
      <w:pPr>
        <w:pStyle w:val="NoSpacing"/>
      </w:pPr>
    </w:p>
    <w:p w:rsidR="00F14A05" w:rsidRDefault="00620718" w:rsidP="00F14A05">
      <w:r>
        <w:t>/*</w:t>
      </w:r>
      <w:proofErr w:type="gramStart"/>
      <w:r w:rsidR="00F14A05">
        <w:t>The</w:t>
      </w:r>
      <w:proofErr w:type="gramEnd"/>
      <w:r w:rsidR="00F14A05">
        <w:t xml:space="preserve"> computability of the GPU helps arithmetic ratio by moving would-be memory operations to computational operations.</w:t>
      </w:r>
    </w:p>
    <w:p w:rsidR="001E0560" w:rsidRDefault="001E0560" w:rsidP="001E0560">
      <w:pPr>
        <w:pStyle w:val="NoSpacing"/>
      </w:pPr>
      <w:proofErr w:type="gramStart"/>
      <w:r>
        <w:t>also</w:t>
      </w:r>
      <w:proofErr w:type="gramEnd"/>
      <w:r>
        <w:t xml:space="preserve"> an important factor in performance that </w:t>
      </w:r>
    </w:p>
    <w:p w:rsidR="001E0560" w:rsidRDefault="001E0560" w:rsidP="00146D3E">
      <w:pPr>
        <w:pStyle w:val="NoSpacing"/>
      </w:pPr>
    </w:p>
    <w:p w:rsidR="00004506" w:rsidRDefault="001E0560" w:rsidP="00146D3E">
      <w:pPr>
        <w:pStyle w:val="NoSpacing"/>
      </w:pPr>
      <w:r>
        <w:t xml:space="preserve">The computability of the GPU allows for coalesced accesses for different access setups that may not be in sequential order. </w:t>
      </w:r>
      <w:r w:rsidR="00004506">
        <w:t>Both algorithms performed badly on the GPU with computability of 1.1, and performed well o</w:t>
      </w:r>
      <w:r w:rsidR="0099714B">
        <w:t>n the GPU with computability 1.3</w:t>
      </w:r>
      <w:r w:rsidR="00004506">
        <w:t xml:space="preserve">. </w:t>
      </w:r>
    </w:p>
    <w:p w:rsidR="00D258BC" w:rsidRDefault="00D258BC" w:rsidP="00146D3E">
      <w:pPr>
        <w:pStyle w:val="NoSpacing"/>
      </w:pPr>
    </w:p>
    <w:p w:rsidR="00741CE8" w:rsidRDefault="00741CE8" w:rsidP="00146D3E">
      <w:pPr>
        <w:pStyle w:val="NoSpacing"/>
      </w:pPr>
    </w:p>
    <w:p w:rsidR="0004775B" w:rsidRDefault="0004775B" w:rsidP="00146D3E">
      <w:pPr>
        <w:pStyle w:val="NoSpacing"/>
      </w:pPr>
      <w:r>
        <w:t>/* Much analysis may still be done on the data as the percentage of */</w:t>
      </w:r>
    </w:p>
    <w:p w:rsidR="003C60E5" w:rsidRDefault="00037DEB" w:rsidP="003C60E5">
      <w:pPr>
        <w:pStyle w:val="NoSpacing"/>
      </w:pPr>
      <w:r>
        <w:t>/* There are other possible performance enhancements related to use of different memories */</w:t>
      </w:r>
    </w:p>
    <w:p w:rsidR="00F14A05" w:rsidRDefault="00F14A05" w:rsidP="003C60E5">
      <w:pPr>
        <w:pStyle w:val="NoSpacing"/>
      </w:pP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C60E5" w:rsidRDefault="003C60E5" w:rsidP="00146D3E">
      <w:pPr>
        <w:pStyle w:val="NoSpacing"/>
      </w:pP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lastRenderedPageBreak/>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450530" w:rsidRDefault="00450530"/>
    <w:sectPr w:rsidR="00450530"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46D3E"/>
    <w:rsid w:val="00000DAB"/>
    <w:rsid w:val="000012A0"/>
    <w:rsid w:val="00004506"/>
    <w:rsid w:val="00013F2E"/>
    <w:rsid w:val="00023755"/>
    <w:rsid w:val="000243BE"/>
    <w:rsid w:val="00036667"/>
    <w:rsid w:val="00037DEB"/>
    <w:rsid w:val="00041B76"/>
    <w:rsid w:val="0004360F"/>
    <w:rsid w:val="00044186"/>
    <w:rsid w:val="0004775B"/>
    <w:rsid w:val="00047D35"/>
    <w:rsid w:val="0005300C"/>
    <w:rsid w:val="00060441"/>
    <w:rsid w:val="000635A1"/>
    <w:rsid w:val="00071AB5"/>
    <w:rsid w:val="00075382"/>
    <w:rsid w:val="0009402B"/>
    <w:rsid w:val="00095410"/>
    <w:rsid w:val="00096941"/>
    <w:rsid w:val="0009774D"/>
    <w:rsid w:val="000A1731"/>
    <w:rsid w:val="000B2C64"/>
    <w:rsid w:val="000C5561"/>
    <w:rsid w:val="000D4F96"/>
    <w:rsid w:val="000F4790"/>
    <w:rsid w:val="000F6E83"/>
    <w:rsid w:val="001008FB"/>
    <w:rsid w:val="00106FAE"/>
    <w:rsid w:val="0011238D"/>
    <w:rsid w:val="00112DE9"/>
    <w:rsid w:val="00112EEE"/>
    <w:rsid w:val="00115172"/>
    <w:rsid w:val="0011624D"/>
    <w:rsid w:val="00120325"/>
    <w:rsid w:val="001273A6"/>
    <w:rsid w:val="001312BC"/>
    <w:rsid w:val="0013274D"/>
    <w:rsid w:val="00142211"/>
    <w:rsid w:val="00146D3E"/>
    <w:rsid w:val="00151EA6"/>
    <w:rsid w:val="00155B3A"/>
    <w:rsid w:val="00164D7B"/>
    <w:rsid w:val="00165FEA"/>
    <w:rsid w:val="00166415"/>
    <w:rsid w:val="00174581"/>
    <w:rsid w:val="00175037"/>
    <w:rsid w:val="00175C13"/>
    <w:rsid w:val="00176DBE"/>
    <w:rsid w:val="0018104A"/>
    <w:rsid w:val="00181817"/>
    <w:rsid w:val="001824C2"/>
    <w:rsid w:val="00184E42"/>
    <w:rsid w:val="0019279F"/>
    <w:rsid w:val="00193A7F"/>
    <w:rsid w:val="001B0DA1"/>
    <w:rsid w:val="001B28D7"/>
    <w:rsid w:val="001B2B0A"/>
    <w:rsid w:val="001B4672"/>
    <w:rsid w:val="001C7DFF"/>
    <w:rsid w:val="001D3F6F"/>
    <w:rsid w:val="001E0560"/>
    <w:rsid w:val="001E2BD5"/>
    <w:rsid w:val="001F1794"/>
    <w:rsid w:val="001F1B0A"/>
    <w:rsid w:val="001F3368"/>
    <w:rsid w:val="00201CC8"/>
    <w:rsid w:val="00205B01"/>
    <w:rsid w:val="00211363"/>
    <w:rsid w:val="002151FF"/>
    <w:rsid w:val="00215DF6"/>
    <w:rsid w:val="00223207"/>
    <w:rsid w:val="0022536F"/>
    <w:rsid w:val="00226649"/>
    <w:rsid w:val="00227AE0"/>
    <w:rsid w:val="00231B71"/>
    <w:rsid w:val="00233711"/>
    <w:rsid w:val="00236237"/>
    <w:rsid w:val="00243373"/>
    <w:rsid w:val="002511FD"/>
    <w:rsid w:val="00252EE6"/>
    <w:rsid w:val="002538A9"/>
    <w:rsid w:val="00254779"/>
    <w:rsid w:val="002548D9"/>
    <w:rsid w:val="00256F18"/>
    <w:rsid w:val="00257F66"/>
    <w:rsid w:val="00273B9E"/>
    <w:rsid w:val="00276CF5"/>
    <w:rsid w:val="0028055B"/>
    <w:rsid w:val="002813E6"/>
    <w:rsid w:val="00282210"/>
    <w:rsid w:val="00284DF1"/>
    <w:rsid w:val="00285CE7"/>
    <w:rsid w:val="00293DF9"/>
    <w:rsid w:val="00296F7E"/>
    <w:rsid w:val="002A115E"/>
    <w:rsid w:val="002A1906"/>
    <w:rsid w:val="002B1972"/>
    <w:rsid w:val="002B744B"/>
    <w:rsid w:val="002C183A"/>
    <w:rsid w:val="002C5CAC"/>
    <w:rsid w:val="002D1458"/>
    <w:rsid w:val="002D4783"/>
    <w:rsid w:val="002D61A8"/>
    <w:rsid w:val="002D7F37"/>
    <w:rsid w:val="002F4162"/>
    <w:rsid w:val="00302170"/>
    <w:rsid w:val="00307EA3"/>
    <w:rsid w:val="003119B8"/>
    <w:rsid w:val="00320889"/>
    <w:rsid w:val="00324BCB"/>
    <w:rsid w:val="003259D5"/>
    <w:rsid w:val="003262C1"/>
    <w:rsid w:val="003262E7"/>
    <w:rsid w:val="00340326"/>
    <w:rsid w:val="0034702F"/>
    <w:rsid w:val="00352138"/>
    <w:rsid w:val="00354237"/>
    <w:rsid w:val="00356EBE"/>
    <w:rsid w:val="00366BF4"/>
    <w:rsid w:val="003708A4"/>
    <w:rsid w:val="00372B1D"/>
    <w:rsid w:val="00380F94"/>
    <w:rsid w:val="00392068"/>
    <w:rsid w:val="003A12AF"/>
    <w:rsid w:val="003A73A8"/>
    <w:rsid w:val="003B05D0"/>
    <w:rsid w:val="003B1789"/>
    <w:rsid w:val="003B5E15"/>
    <w:rsid w:val="003B6FC8"/>
    <w:rsid w:val="003C60E5"/>
    <w:rsid w:val="003D1490"/>
    <w:rsid w:val="003D54A9"/>
    <w:rsid w:val="003E2C45"/>
    <w:rsid w:val="003E5BD6"/>
    <w:rsid w:val="003F1F91"/>
    <w:rsid w:val="003F1FA8"/>
    <w:rsid w:val="003F40BE"/>
    <w:rsid w:val="003F7252"/>
    <w:rsid w:val="00401365"/>
    <w:rsid w:val="00401D60"/>
    <w:rsid w:val="00402C25"/>
    <w:rsid w:val="004043DF"/>
    <w:rsid w:val="0040618A"/>
    <w:rsid w:val="004255A3"/>
    <w:rsid w:val="00435699"/>
    <w:rsid w:val="00450530"/>
    <w:rsid w:val="00461156"/>
    <w:rsid w:val="00485B42"/>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4F7DDB"/>
    <w:rsid w:val="00501117"/>
    <w:rsid w:val="00504DCD"/>
    <w:rsid w:val="00505020"/>
    <w:rsid w:val="00516333"/>
    <w:rsid w:val="00524239"/>
    <w:rsid w:val="00527F57"/>
    <w:rsid w:val="00536BE5"/>
    <w:rsid w:val="00545287"/>
    <w:rsid w:val="005530DD"/>
    <w:rsid w:val="00553480"/>
    <w:rsid w:val="00553F22"/>
    <w:rsid w:val="0055445F"/>
    <w:rsid w:val="00555B5B"/>
    <w:rsid w:val="005568E7"/>
    <w:rsid w:val="00576E52"/>
    <w:rsid w:val="00583986"/>
    <w:rsid w:val="00583CCC"/>
    <w:rsid w:val="005943EE"/>
    <w:rsid w:val="005A5616"/>
    <w:rsid w:val="005A6B3E"/>
    <w:rsid w:val="005B227C"/>
    <w:rsid w:val="005B5DD8"/>
    <w:rsid w:val="005C3557"/>
    <w:rsid w:val="005C55DB"/>
    <w:rsid w:val="005D6F01"/>
    <w:rsid w:val="005D78B7"/>
    <w:rsid w:val="005E7D47"/>
    <w:rsid w:val="005E7FA0"/>
    <w:rsid w:val="005F6D94"/>
    <w:rsid w:val="005F7C2F"/>
    <w:rsid w:val="00606450"/>
    <w:rsid w:val="006157B8"/>
    <w:rsid w:val="00616B2C"/>
    <w:rsid w:val="00620718"/>
    <w:rsid w:val="006222EA"/>
    <w:rsid w:val="0062314F"/>
    <w:rsid w:val="00624431"/>
    <w:rsid w:val="006320B0"/>
    <w:rsid w:val="00645982"/>
    <w:rsid w:val="00655024"/>
    <w:rsid w:val="00673506"/>
    <w:rsid w:val="00685ED6"/>
    <w:rsid w:val="0068636C"/>
    <w:rsid w:val="00690C65"/>
    <w:rsid w:val="006945DD"/>
    <w:rsid w:val="00694DB5"/>
    <w:rsid w:val="006A07F0"/>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0C66"/>
    <w:rsid w:val="00701583"/>
    <w:rsid w:val="00712FF5"/>
    <w:rsid w:val="0072013C"/>
    <w:rsid w:val="00720E52"/>
    <w:rsid w:val="007211A6"/>
    <w:rsid w:val="007228BD"/>
    <w:rsid w:val="00723803"/>
    <w:rsid w:val="007262BD"/>
    <w:rsid w:val="0072795C"/>
    <w:rsid w:val="0073115D"/>
    <w:rsid w:val="0073334F"/>
    <w:rsid w:val="00737D52"/>
    <w:rsid w:val="007402AE"/>
    <w:rsid w:val="00741CE8"/>
    <w:rsid w:val="00745E8E"/>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13D06"/>
    <w:rsid w:val="00824306"/>
    <w:rsid w:val="008253C7"/>
    <w:rsid w:val="00827078"/>
    <w:rsid w:val="008356CE"/>
    <w:rsid w:val="008367C5"/>
    <w:rsid w:val="00837207"/>
    <w:rsid w:val="00846914"/>
    <w:rsid w:val="00847ABC"/>
    <w:rsid w:val="00850752"/>
    <w:rsid w:val="0085429B"/>
    <w:rsid w:val="008612F0"/>
    <w:rsid w:val="008615FC"/>
    <w:rsid w:val="008924D2"/>
    <w:rsid w:val="008A118D"/>
    <w:rsid w:val="008A3EF4"/>
    <w:rsid w:val="008B3750"/>
    <w:rsid w:val="008D7154"/>
    <w:rsid w:val="008E74B2"/>
    <w:rsid w:val="008F1C9C"/>
    <w:rsid w:val="008F36D3"/>
    <w:rsid w:val="008F3C98"/>
    <w:rsid w:val="008F618C"/>
    <w:rsid w:val="008F763C"/>
    <w:rsid w:val="00907B98"/>
    <w:rsid w:val="00907EEB"/>
    <w:rsid w:val="00913546"/>
    <w:rsid w:val="0091391D"/>
    <w:rsid w:val="009154FC"/>
    <w:rsid w:val="00925B4F"/>
    <w:rsid w:val="00931927"/>
    <w:rsid w:val="009323B6"/>
    <w:rsid w:val="00932B29"/>
    <w:rsid w:val="00934DD1"/>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9E3965"/>
    <w:rsid w:val="009F1A2E"/>
    <w:rsid w:val="00A00B51"/>
    <w:rsid w:val="00A00BA2"/>
    <w:rsid w:val="00A0693C"/>
    <w:rsid w:val="00A139F1"/>
    <w:rsid w:val="00A13C24"/>
    <w:rsid w:val="00A14D1E"/>
    <w:rsid w:val="00A1770F"/>
    <w:rsid w:val="00A23762"/>
    <w:rsid w:val="00A4213B"/>
    <w:rsid w:val="00A524E0"/>
    <w:rsid w:val="00A5686F"/>
    <w:rsid w:val="00A628C3"/>
    <w:rsid w:val="00A63519"/>
    <w:rsid w:val="00A66357"/>
    <w:rsid w:val="00A71B3F"/>
    <w:rsid w:val="00A80D0A"/>
    <w:rsid w:val="00A81A29"/>
    <w:rsid w:val="00AB1DA5"/>
    <w:rsid w:val="00AB275C"/>
    <w:rsid w:val="00AB533A"/>
    <w:rsid w:val="00AC7089"/>
    <w:rsid w:val="00AC72D5"/>
    <w:rsid w:val="00AD0391"/>
    <w:rsid w:val="00AD14CC"/>
    <w:rsid w:val="00AD4093"/>
    <w:rsid w:val="00AE68A9"/>
    <w:rsid w:val="00AE7200"/>
    <w:rsid w:val="00AF29B7"/>
    <w:rsid w:val="00AF7F40"/>
    <w:rsid w:val="00B01EF3"/>
    <w:rsid w:val="00B06F17"/>
    <w:rsid w:val="00B24959"/>
    <w:rsid w:val="00B24A61"/>
    <w:rsid w:val="00B26641"/>
    <w:rsid w:val="00B26862"/>
    <w:rsid w:val="00B37D1B"/>
    <w:rsid w:val="00B40F14"/>
    <w:rsid w:val="00B51E1C"/>
    <w:rsid w:val="00B532B7"/>
    <w:rsid w:val="00B56A69"/>
    <w:rsid w:val="00B65E84"/>
    <w:rsid w:val="00B72D0A"/>
    <w:rsid w:val="00B72ED3"/>
    <w:rsid w:val="00B7335D"/>
    <w:rsid w:val="00B8088B"/>
    <w:rsid w:val="00B87168"/>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86A"/>
    <w:rsid w:val="00BE6F92"/>
    <w:rsid w:val="00BF024B"/>
    <w:rsid w:val="00BF264C"/>
    <w:rsid w:val="00BF764F"/>
    <w:rsid w:val="00C004C8"/>
    <w:rsid w:val="00C00805"/>
    <w:rsid w:val="00C02420"/>
    <w:rsid w:val="00C04F71"/>
    <w:rsid w:val="00C073E6"/>
    <w:rsid w:val="00C23F14"/>
    <w:rsid w:val="00C259FB"/>
    <w:rsid w:val="00C36456"/>
    <w:rsid w:val="00C37023"/>
    <w:rsid w:val="00C4208A"/>
    <w:rsid w:val="00C42BA1"/>
    <w:rsid w:val="00C43D2E"/>
    <w:rsid w:val="00C43FFA"/>
    <w:rsid w:val="00C45AD3"/>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12A2"/>
    <w:rsid w:val="00CD26D3"/>
    <w:rsid w:val="00CD79B6"/>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2766"/>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6026"/>
    <w:rsid w:val="00E8286B"/>
    <w:rsid w:val="00EA2F65"/>
    <w:rsid w:val="00EB04CA"/>
    <w:rsid w:val="00EB3450"/>
    <w:rsid w:val="00ED7AB4"/>
    <w:rsid w:val="00ED7CDE"/>
    <w:rsid w:val="00EE1D3C"/>
    <w:rsid w:val="00EE6AAE"/>
    <w:rsid w:val="00F01CD2"/>
    <w:rsid w:val="00F14A05"/>
    <w:rsid w:val="00F15068"/>
    <w:rsid w:val="00F22068"/>
    <w:rsid w:val="00F26270"/>
    <w:rsid w:val="00F26403"/>
    <w:rsid w:val="00F32C1B"/>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947FA"/>
    <w:rsid w:val="00FA357D"/>
    <w:rsid w:val="00FA558C"/>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 w:type="paragraph" w:customStyle="1" w:styleId="IEEEParagraph">
    <w:name w:val="IEEE Paragraph"/>
    <w:basedOn w:val="Normal"/>
    <w:link w:val="IEEEParagraphChar"/>
    <w:rsid w:val="00745E8E"/>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745E8E"/>
    <w:rPr>
      <w:rFonts w:ascii="Times New Roman" w:eastAsia="SimSun" w:hAnsi="Times New Roman" w:cs="Times New Roman"/>
      <w:sz w:val="20"/>
      <w:szCs w:val="24"/>
      <w:lang w:val="en-AU" w:eastAsia="zh-CN"/>
    </w:r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35870499">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1815835020">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package" Target="embeddings/Hoja_de_c_lculo_de_Microsoft_Office_Excel2.xlsx"/><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package" Target="embeddings/Hoja_de_c_lculo_de_Microsoft_Office_Excel1.xlsx"/><Relationship Id="rId42" Type="http://schemas.openxmlformats.org/officeDocument/2006/relationships/package" Target="embeddings/Hoja_de_c_lculo_de_Microsoft_Office_Excel3.xlsx"/><Relationship Id="rId47" Type="http://schemas.openxmlformats.org/officeDocument/2006/relationships/image" Target="media/image33.emf"/><Relationship Id="rId50" Type="http://schemas.openxmlformats.org/officeDocument/2006/relationships/package" Target="embeddings/Hoja_de_c_lculo_de_Microsoft_Office_Excel6.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0.emf"/><Relationship Id="rId46"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chart" Target="charts/chart3.xml"/><Relationship Id="rId40" Type="http://schemas.openxmlformats.org/officeDocument/2006/relationships/chart" Target="charts/chart4.xml"/><Relationship Id="rId45"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2.xml"/><Relationship Id="rId49" Type="http://schemas.openxmlformats.org/officeDocument/2006/relationships/image" Target="media/image34.emf"/><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package" Target="embeddings/Hoja_de_c_lculo_de_Microsoft_Office_Excel4.xlsx"/><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1.xml"/><Relationship Id="rId43" Type="http://schemas.openxmlformats.org/officeDocument/2006/relationships/image" Target="media/image32.emf"/><Relationship Id="rId48" Type="http://schemas.openxmlformats.org/officeDocument/2006/relationships/package" Target="embeddings/Hoja_de_c_lculo_de_Microsoft_Office_Excel5.xlsx"/><Relationship Id="rId8" Type="http://schemas.openxmlformats.org/officeDocument/2006/relationships/image" Target="media/image4.emf"/><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0.39852800468603838</c:v>
                </c:pt>
                <c:pt idx="1">
                  <c:v>1.4728533228238401</c:v>
                </c:pt>
                <c:pt idx="2">
                  <c:v>3.1280106703440298</c:v>
                </c:pt>
                <c:pt idx="3">
                  <c:v>6.6454719702402745</c:v>
                </c:pt>
                <c:pt idx="4">
                  <c:v>9.1086398760477767</c:v>
                </c:pt>
                <c:pt idx="5">
                  <c:v>12.794666767120399</c:v>
                </c:pt>
                <c:pt idx="6">
                  <c:v>16.98371728261305</c:v>
                </c:pt>
                <c:pt idx="7">
                  <c:v>22.2352479298909</c:v>
                </c:pt>
                <c:pt idx="8">
                  <c:v>28.357056299845425</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0.98846399815132113</c:v>
                </c:pt>
                <c:pt idx="1">
                  <c:v>3.1051466654365272</c:v>
                </c:pt>
                <c:pt idx="2">
                  <c:v>6.7469173554951976</c:v>
                </c:pt>
                <c:pt idx="3">
                  <c:v>11.681327988083158</c:v>
                </c:pt>
                <c:pt idx="4">
                  <c:v>18.024410780519272</c:v>
                </c:pt>
                <c:pt idx="5">
                  <c:v>25.713775883428724</c:v>
                </c:pt>
                <c:pt idx="6">
                  <c:v>34.848746392255052</c:v>
                </c:pt>
                <c:pt idx="7">
                  <c:v>45.409663536896232</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c:v>
                </c:pt>
                <c:pt idx="2">
                  <c:v>7.5068373307585681</c:v>
                </c:pt>
                <c:pt idx="3">
                  <c:v>12.78790922462945</c:v>
                </c:pt>
                <c:pt idx="4">
                  <c:v>19.538592127462262</c:v>
                </c:pt>
                <c:pt idx="5">
                  <c:v>28.114005235334197</c:v>
                </c:pt>
                <c:pt idx="6">
                  <c:v>37.436608068644965</c:v>
                </c:pt>
                <c:pt idx="7">
                  <c:v>49.960858398427582</c:v>
                </c:pt>
                <c:pt idx="8">
                  <c:v>63.148906516532136</c:v>
                </c:pt>
                <c:pt idx="9">
                  <c:v>78.581157987316544</c:v>
                </c:pt>
              </c:numCache>
            </c:numRef>
          </c:yVal>
        </c:ser>
        <c:axId val="154792704"/>
        <c:axId val="154908928"/>
      </c:scatterChart>
      <c:valAx>
        <c:axId val="154792704"/>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54908928"/>
        <c:crosses val="autoZero"/>
        <c:crossBetween val="midCat"/>
        <c:dispUnits>
          <c:builtInUnit val="hundredThousands"/>
        </c:dispUnits>
      </c:valAx>
      <c:valAx>
        <c:axId val="154908928"/>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4792704"/>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66"/>
          <c:y val="0.2909962952961998"/>
          <c:w val="0.1448250805334663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0.19994133462508523</c:v>
                </c:pt>
                <c:pt idx="1">
                  <c:v>0.74397866924603795</c:v>
                </c:pt>
                <c:pt idx="2">
                  <c:v>1.6945120096206712</c:v>
                </c:pt>
                <c:pt idx="3">
                  <c:v>2.94945065180461</c:v>
                </c:pt>
                <c:pt idx="4">
                  <c:v>4.5946986675262451</c:v>
                </c:pt>
                <c:pt idx="5">
                  <c:v>6.5683252811431903</c:v>
                </c:pt>
                <c:pt idx="6">
                  <c:v>8.9457120895385689</c:v>
                </c:pt>
                <c:pt idx="7">
                  <c:v>11.666282494862909</c:v>
                </c:pt>
                <c:pt idx="8">
                  <c:v>14.749365488688191</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0.18363733589649248</c:v>
                </c:pt>
                <c:pt idx="1">
                  <c:v>0.63406933347384198</c:v>
                </c:pt>
                <c:pt idx="2">
                  <c:v>1.38041067123413</c:v>
                </c:pt>
                <c:pt idx="3">
                  <c:v>2.4235200087229449</c:v>
                </c:pt>
                <c:pt idx="4">
                  <c:v>3.7263785998026502</c:v>
                </c:pt>
                <c:pt idx="5">
                  <c:v>5.37580267588298</c:v>
                </c:pt>
                <c:pt idx="6">
                  <c:v>7.28230929374695</c:v>
                </c:pt>
                <c:pt idx="7">
                  <c:v>9.5365598996480418</c:v>
                </c:pt>
                <c:pt idx="8">
                  <c:v>12.0222134590149</c:v>
                </c:pt>
                <c:pt idx="9">
                  <c:v>14.823648134867408</c:v>
                </c:pt>
              </c:numCache>
            </c:numRef>
          </c:yVal>
        </c:ser>
        <c:axId val="168397440"/>
        <c:axId val="168422016"/>
      </c:scatterChart>
      <c:valAx>
        <c:axId val="168397440"/>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68422016"/>
        <c:crosses val="autoZero"/>
        <c:crossBetween val="midCat"/>
        <c:dispUnits>
          <c:builtInUnit val="hundredThousands"/>
        </c:dispUnits>
      </c:valAx>
      <c:valAx>
        <c:axId val="168422016"/>
        <c:scaling>
          <c:orientation val="minMax"/>
        </c:scaling>
        <c:axPos val="l"/>
        <c:majorGridlines/>
        <c:title>
          <c:tx>
            <c:rich>
              <a:bodyPr/>
              <a:lstStyle/>
              <a:p>
                <a:pPr>
                  <a:defRPr/>
                </a:pPr>
                <a:r>
                  <a:rPr lang="en-US"/>
                  <a:t>Time (ms)</a:t>
                </a:r>
              </a:p>
            </c:rich>
          </c:tx>
        </c:title>
        <c:numFmt formatCode="General" sourceLinked="1"/>
        <c:majorTickMark val="none"/>
        <c:tickLblPos val="nextTo"/>
        <c:crossAx val="168397440"/>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1.0455893278121888</c:v>
                </c:pt>
                <c:pt idx="1">
                  <c:v>3.1123893260955797</c:v>
                </c:pt>
                <c:pt idx="2">
                  <c:v>6.6388266881306999</c:v>
                </c:pt>
                <c:pt idx="3">
                  <c:v>11.5082295735677</c:v>
                </c:pt>
                <c:pt idx="4">
                  <c:v>17.544516881306976</c:v>
                </c:pt>
                <c:pt idx="5">
                  <c:v>24.973498344421376</c:v>
                </c:pt>
                <c:pt idx="6">
                  <c:v>33.758517583211294</c:v>
                </c:pt>
                <c:pt idx="7">
                  <c:v>43.950106302897098</c:v>
                </c:pt>
                <c:pt idx="8">
                  <c:v>55.477295557657847</c:v>
                </c:pt>
                <c:pt idx="9">
                  <c:v>68.460338592529126</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1.1361226638158211</c:v>
                </c:pt>
                <c:pt idx="1">
                  <c:v>3.5126613378524798</c:v>
                </c:pt>
                <c:pt idx="2">
                  <c:v>8.4346985816955495</c:v>
                </c:pt>
                <c:pt idx="3">
                  <c:v>14.380778789520299</c:v>
                </c:pt>
                <c:pt idx="4">
                  <c:v>22.426783879597959</c:v>
                </c:pt>
                <c:pt idx="5">
                  <c:v>33.080271402994804</c:v>
                </c:pt>
                <c:pt idx="6">
                  <c:v>45.967081705729164</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1.4719626704851783</c:v>
                </c:pt>
                <c:pt idx="1">
                  <c:v>5.5947626431783002</c:v>
                </c:pt>
                <c:pt idx="2">
                  <c:v>12.78854386011759</c:v>
                </c:pt>
                <c:pt idx="3">
                  <c:v>21.909599939982076</c:v>
                </c:pt>
                <c:pt idx="4">
                  <c:v>34.505861918131501</c:v>
                </c:pt>
                <c:pt idx="5">
                  <c:v>49.846378326416001</c:v>
                </c:pt>
                <c:pt idx="6">
                  <c:v>67.618069966634081</c:v>
                </c:pt>
                <c:pt idx="7">
                  <c:v>88.072297414143833</c:v>
                </c:pt>
                <c:pt idx="8">
                  <c:v>111.43354670206702</c:v>
                </c:pt>
                <c:pt idx="9">
                  <c:v>136.864751180013</c:v>
                </c:pt>
              </c:numCache>
            </c:numRef>
          </c:yVal>
        </c:ser>
        <c:axId val="169666816"/>
        <c:axId val="169992960"/>
      </c:scatterChart>
      <c:valAx>
        <c:axId val="169666816"/>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69992960"/>
        <c:crosses val="autoZero"/>
        <c:crossBetween val="midCat"/>
        <c:dispUnits>
          <c:builtInUnit val="hundredThousands"/>
        </c:dispUnits>
      </c:valAx>
      <c:valAx>
        <c:axId val="169992960"/>
        <c:scaling>
          <c:orientation val="minMax"/>
        </c:scaling>
        <c:axPos val="l"/>
        <c:majorGridlines/>
        <c:title>
          <c:tx>
            <c:rich>
              <a:bodyPr/>
              <a:lstStyle/>
              <a:p>
                <a:pPr>
                  <a:defRPr/>
                </a:pPr>
                <a:r>
                  <a:rPr lang="en-US"/>
                  <a:t>TIme (ms)</a:t>
                </a:r>
              </a:p>
            </c:rich>
          </c:tx>
        </c:title>
        <c:numFmt formatCode="0.000" sourceLinked="1"/>
        <c:majorTickMark val="none"/>
        <c:tickLblPos val="nextTo"/>
        <c:crossAx val="169666816"/>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40.023583730062001</c:v>
                </c:pt>
                <c:pt idx="4">
                  <c:v>62.6326510111491</c:v>
                </c:pt>
                <c:pt idx="5">
                  <c:v>89.989105224609403</c:v>
                </c:pt>
                <c:pt idx="6">
                  <c:v>122.48270034790001</c:v>
                </c:pt>
                <c:pt idx="7">
                  <c:v>159.974667867025</c:v>
                </c:pt>
                <c:pt idx="8">
                  <c:v>202.43680572509763</c:v>
                </c:pt>
                <c:pt idx="9">
                  <c:v>250.01820627848349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0302464"/>
        <c:axId val="171516288"/>
      </c:scatterChart>
      <c:valAx>
        <c:axId val="170302464"/>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1516288"/>
        <c:crosses val="autoZero"/>
        <c:crossBetween val="midCat"/>
        <c:dispUnits>
          <c:builtInUnit val="hundredThousands"/>
        </c:dispUnits>
      </c:valAx>
      <c:valAx>
        <c:axId val="171516288"/>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0302464"/>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1829504"/>
        <c:axId val="172137472"/>
      </c:scatterChart>
      <c:valAx>
        <c:axId val="171829504"/>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72137472"/>
        <c:crosses val="autoZero"/>
        <c:crossBetween val="midCat"/>
        <c:dispUnits>
          <c:builtInUnit val="hundredThousands"/>
        </c:dispUnits>
      </c:valAx>
      <c:valAx>
        <c:axId val="172137472"/>
        <c:scaling>
          <c:orientation val="minMax"/>
        </c:scaling>
        <c:axPos val="l"/>
        <c:majorGridlines/>
        <c:title>
          <c:tx>
            <c:rich>
              <a:bodyPr/>
              <a:lstStyle/>
              <a:p>
                <a:pPr>
                  <a:defRPr/>
                </a:pPr>
                <a:r>
                  <a:rPr lang="en-US"/>
                  <a:t>Time (ms)</a:t>
                </a:r>
              </a:p>
            </c:rich>
          </c:tx>
        </c:title>
        <c:numFmt formatCode="General" sourceLinked="1"/>
        <c:majorTickMark val="none"/>
        <c:tickLblPos val="nextTo"/>
        <c:crossAx val="171829504"/>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6BDBC-4944-4F9E-9810-EE034152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4023</TotalTime>
  <Pages>18</Pages>
  <Words>5687</Words>
  <Characters>26388</Characters>
  <Application>Microsoft Office Word</Application>
  <DocSecurity>0</DocSecurity>
  <Lines>599</Lines>
  <Paragraphs>199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427</cp:revision>
  <dcterms:created xsi:type="dcterms:W3CDTF">2010-04-19T16:39:00Z</dcterms:created>
  <dcterms:modified xsi:type="dcterms:W3CDTF">2010-04-24T14:25:00Z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