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51C62" w14:textId="2C4991D7" w:rsidR="00795C1C" w:rsidRDefault="00B0356B">
      <w:pPr>
        <w:pStyle w:val="Title"/>
        <w:spacing w:after="240"/>
        <w:rPr>
          <w:lang w:val="en-GB"/>
        </w:rPr>
      </w:pPr>
      <w:bookmarkStart w:id="0" w:name="_nuidyq4icfgm" w:colFirst="0" w:colLast="0"/>
      <w:bookmarkEnd w:id="0"/>
      <w:r w:rsidRPr="002C78CA">
        <w:rPr>
          <w:lang w:val="en-GB"/>
        </w:rPr>
        <w:t>Utilisation disease-modifying anti-rheumatic drugs (DMARDs) used for the treatment of rheumatoid arthritis: protocol for a multi-database real-world cohort study</w:t>
      </w:r>
    </w:p>
    <w:p w14:paraId="1D6CBBF3" w14:textId="6F7320C2" w:rsidR="006E58EB" w:rsidRDefault="006E58EB" w:rsidP="006E58EB">
      <w:pPr>
        <w:rPr>
          <w:lang w:val="en-GB"/>
        </w:rPr>
      </w:pPr>
    </w:p>
    <w:tbl>
      <w:tblPr>
        <w:tblW w:w="5000" w:type="pct"/>
        <w:tblInd w:w="-108" w:type="dxa"/>
        <w:tblCellMar>
          <w:left w:w="0" w:type="dxa"/>
          <w:right w:w="0" w:type="dxa"/>
        </w:tblCellMar>
        <w:tblLook w:val="0000" w:firstRow="0" w:lastRow="0" w:firstColumn="0" w:lastColumn="0" w:noHBand="0" w:noVBand="0"/>
      </w:tblPr>
      <w:tblGrid>
        <w:gridCol w:w="3039"/>
        <w:gridCol w:w="5990"/>
      </w:tblGrid>
      <w:tr w:rsidR="006E58EB" w:rsidRPr="00BE5D76" w14:paraId="6D08A4C7" w14:textId="77777777" w:rsidTr="00227A18">
        <w:tc>
          <w:tcPr>
            <w:tcW w:w="1683" w:type="pct"/>
          </w:tcPr>
          <w:p w14:paraId="6A424762" w14:textId="4324175D" w:rsidR="006E58EB" w:rsidRPr="00BE5D76" w:rsidRDefault="006E58EB" w:rsidP="00227A18">
            <w:pPr>
              <w:rPr>
                <w:lang w:val="en-GB"/>
              </w:rPr>
            </w:pPr>
            <w:r w:rsidRPr="00BE5D76">
              <w:rPr>
                <w:lang w:val="en-GB"/>
              </w:rPr>
              <w:t>Document Status</w:t>
            </w:r>
            <w:r>
              <w:rPr>
                <w:lang w:val="en-GB"/>
              </w:rPr>
              <w:t xml:space="preserve">: </w:t>
            </w:r>
          </w:p>
        </w:tc>
        <w:tc>
          <w:tcPr>
            <w:tcW w:w="3317" w:type="pct"/>
          </w:tcPr>
          <w:p w14:paraId="0BB96A40" w14:textId="07B838C3" w:rsidR="006E58EB" w:rsidRPr="00BE5D76" w:rsidRDefault="006E58EB" w:rsidP="00227A18">
            <w:pPr>
              <w:rPr>
                <w:lang w:val="en-GB"/>
              </w:rPr>
            </w:pPr>
            <w:r>
              <w:rPr>
                <w:lang w:val="en-GB"/>
              </w:rPr>
              <w:t>Final Version 1.0</w:t>
            </w:r>
          </w:p>
          <w:p w14:paraId="632DBF16" w14:textId="77777777" w:rsidR="006E58EB" w:rsidRPr="00BE5D76" w:rsidRDefault="006E58EB" w:rsidP="00227A18">
            <w:pPr>
              <w:rPr>
                <w:lang w:val="en-GB"/>
              </w:rPr>
            </w:pPr>
          </w:p>
        </w:tc>
      </w:tr>
      <w:tr w:rsidR="006E58EB" w:rsidRPr="00BE5D76" w14:paraId="271CCDFE" w14:textId="77777777" w:rsidTr="00227A18">
        <w:tc>
          <w:tcPr>
            <w:tcW w:w="1683" w:type="pct"/>
          </w:tcPr>
          <w:p w14:paraId="7FA654CF" w14:textId="752EC6F7" w:rsidR="006E58EB" w:rsidRPr="00BE5D76" w:rsidRDefault="006E58EB" w:rsidP="00227A18">
            <w:pPr>
              <w:rPr>
                <w:bCs/>
                <w:lang w:val="en-GB"/>
              </w:rPr>
            </w:pPr>
            <w:r w:rsidRPr="00BE5D76">
              <w:rPr>
                <w:bCs/>
                <w:lang w:val="en-GB"/>
              </w:rPr>
              <w:t>Date of final version of the study report</w:t>
            </w:r>
            <w:r>
              <w:rPr>
                <w:bCs/>
                <w:lang w:val="en-GB"/>
              </w:rPr>
              <w:t xml:space="preserve">: </w:t>
            </w:r>
          </w:p>
          <w:p w14:paraId="2B108668" w14:textId="77777777" w:rsidR="006E58EB" w:rsidRPr="00BE5D76" w:rsidRDefault="006E58EB" w:rsidP="00227A18">
            <w:pPr>
              <w:rPr>
                <w:lang w:val="en-GB"/>
              </w:rPr>
            </w:pPr>
          </w:p>
        </w:tc>
        <w:tc>
          <w:tcPr>
            <w:tcW w:w="3317" w:type="pct"/>
          </w:tcPr>
          <w:p w14:paraId="34010B57" w14:textId="1D1C965D" w:rsidR="006E58EB" w:rsidRPr="00BE5D76" w:rsidRDefault="006E58EB" w:rsidP="00227A18">
            <w:pPr>
              <w:rPr>
                <w:lang w:val="en-GB"/>
              </w:rPr>
            </w:pPr>
            <w:r>
              <w:rPr>
                <w:lang w:val="en-GB"/>
              </w:rPr>
              <w:t>17</w:t>
            </w:r>
            <w:r w:rsidRPr="006E58EB">
              <w:rPr>
                <w:vertAlign w:val="superscript"/>
                <w:lang w:val="en-GB"/>
              </w:rPr>
              <w:t>th</w:t>
            </w:r>
            <w:r>
              <w:rPr>
                <w:lang w:val="en-GB"/>
              </w:rPr>
              <w:t xml:space="preserve"> January 2019</w:t>
            </w:r>
          </w:p>
        </w:tc>
      </w:tr>
      <w:tr w:rsidR="006E58EB" w:rsidRPr="00BE5D76" w14:paraId="53BF601B" w14:textId="77777777" w:rsidTr="00227A18">
        <w:tc>
          <w:tcPr>
            <w:tcW w:w="1683" w:type="pct"/>
          </w:tcPr>
          <w:p w14:paraId="17174465" w14:textId="290C19BC" w:rsidR="006E58EB" w:rsidRPr="00BE5D76" w:rsidRDefault="006E58EB" w:rsidP="00227A18">
            <w:pPr>
              <w:rPr>
                <w:bCs/>
                <w:lang w:val="en-GB"/>
              </w:rPr>
            </w:pPr>
            <w:r w:rsidRPr="00BE5D76">
              <w:rPr>
                <w:bCs/>
                <w:lang w:val="en-GB"/>
              </w:rPr>
              <w:t>EU PAS register number</w:t>
            </w:r>
            <w:r>
              <w:rPr>
                <w:bCs/>
                <w:lang w:val="en-GB"/>
              </w:rPr>
              <w:t xml:space="preserve">: </w:t>
            </w:r>
            <w:r w:rsidRPr="00BE5D76">
              <w:rPr>
                <w:bCs/>
                <w:lang w:val="en-GB"/>
              </w:rPr>
              <w:t xml:space="preserve"> </w:t>
            </w:r>
          </w:p>
          <w:p w14:paraId="72A7963A" w14:textId="77777777" w:rsidR="006E58EB" w:rsidRPr="00BE5D76" w:rsidRDefault="006E58EB" w:rsidP="00227A18">
            <w:pPr>
              <w:rPr>
                <w:lang w:val="en-GB"/>
              </w:rPr>
            </w:pPr>
          </w:p>
        </w:tc>
        <w:tc>
          <w:tcPr>
            <w:tcW w:w="3317" w:type="pct"/>
          </w:tcPr>
          <w:p w14:paraId="223B3079" w14:textId="77777777" w:rsidR="006E58EB" w:rsidRPr="00BE5D76" w:rsidRDefault="006E58EB" w:rsidP="00227A18">
            <w:pPr>
              <w:rPr>
                <w:lang w:val="en-GB"/>
              </w:rPr>
            </w:pPr>
          </w:p>
        </w:tc>
      </w:tr>
    </w:tbl>
    <w:p w14:paraId="650EB271" w14:textId="77777777" w:rsidR="00795C1C" w:rsidRPr="002C78CA" w:rsidRDefault="00B0356B">
      <w:pPr>
        <w:spacing w:before="240" w:after="240"/>
        <w:rPr>
          <w:lang w:val="en-GB"/>
        </w:rPr>
      </w:pPr>
      <w:r w:rsidRPr="002C78CA">
        <w:rPr>
          <w:lang w:val="en-GB"/>
        </w:rPr>
        <w:t xml:space="preserve"> </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3555"/>
        <w:gridCol w:w="2790"/>
      </w:tblGrid>
      <w:tr w:rsidR="006E58EB" w14:paraId="2BDFC7A4" w14:textId="77777777" w:rsidTr="00D175B5">
        <w:tc>
          <w:tcPr>
            <w:tcW w:w="9015" w:type="dxa"/>
            <w:gridSpan w:val="3"/>
            <w:tcBorders>
              <w:bottom w:val="single" w:sz="8" w:space="0" w:color="000000"/>
            </w:tcBorders>
            <w:tcMar>
              <w:top w:w="100" w:type="dxa"/>
              <w:left w:w="100" w:type="dxa"/>
              <w:bottom w:w="100" w:type="dxa"/>
              <w:right w:w="100" w:type="dxa"/>
            </w:tcMar>
          </w:tcPr>
          <w:p w14:paraId="6CF270D7" w14:textId="6532C1A9" w:rsidR="006E58EB" w:rsidRDefault="006E58EB">
            <w:pPr>
              <w:widowControl w:val="0"/>
              <w:rPr>
                <w:b/>
              </w:rPr>
            </w:pPr>
            <w:r>
              <w:rPr>
                <w:b/>
              </w:rPr>
              <w:t>Principal Investigators</w:t>
            </w:r>
          </w:p>
        </w:tc>
      </w:tr>
      <w:tr w:rsidR="00795C1C" w14:paraId="01D82011" w14:textId="77777777">
        <w:tc>
          <w:tcPr>
            <w:tcW w:w="2670" w:type="dxa"/>
            <w:tcBorders>
              <w:bottom w:val="single" w:sz="8" w:space="0" w:color="000000"/>
            </w:tcBorders>
            <w:tcMar>
              <w:top w:w="100" w:type="dxa"/>
              <w:left w:w="100" w:type="dxa"/>
              <w:bottom w:w="100" w:type="dxa"/>
              <w:right w:w="100" w:type="dxa"/>
            </w:tcMar>
          </w:tcPr>
          <w:p w14:paraId="7FE086E4" w14:textId="77777777" w:rsidR="00795C1C" w:rsidRDefault="00B0356B">
            <w:pPr>
              <w:rPr>
                <w:b/>
              </w:rPr>
            </w:pPr>
            <w:r>
              <w:rPr>
                <w:b/>
              </w:rPr>
              <w:t>Name</w:t>
            </w:r>
          </w:p>
        </w:tc>
        <w:tc>
          <w:tcPr>
            <w:tcW w:w="3555" w:type="dxa"/>
            <w:tcBorders>
              <w:bottom w:val="single" w:sz="8" w:space="0" w:color="000000"/>
            </w:tcBorders>
            <w:tcMar>
              <w:top w:w="100" w:type="dxa"/>
              <w:left w:w="100" w:type="dxa"/>
              <w:bottom w:w="100" w:type="dxa"/>
              <w:right w:w="100" w:type="dxa"/>
            </w:tcMar>
          </w:tcPr>
          <w:p w14:paraId="63A3E3F8" w14:textId="77777777" w:rsidR="00795C1C" w:rsidRDefault="00B0356B">
            <w:pPr>
              <w:widowControl w:val="0"/>
              <w:rPr>
                <w:b/>
              </w:rPr>
            </w:pPr>
            <w:r>
              <w:rPr>
                <w:b/>
              </w:rPr>
              <w:t>Email address</w:t>
            </w:r>
          </w:p>
        </w:tc>
        <w:tc>
          <w:tcPr>
            <w:tcW w:w="2790" w:type="dxa"/>
            <w:tcBorders>
              <w:bottom w:val="single" w:sz="8" w:space="0" w:color="000000"/>
            </w:tcBorders>
            <w:tcMar>
              <w:top w:w="100" w:type="dxa"/>
              <w:left w:w="100" w:type="dxa"/>
              <w:bottom w:w="100" w:type="dxa"/>
              <w:right w:w="100" w:type="dxa"/>
            </w:tcMar>
          </w:tcPr>
          <w:p w14:paraId="216D86C6" w14:textId="77777777" w:rsidR="00795C1C" w:rsidRDefault="00B0356B">
            <w:pPr>
              <w:widowControl w:val="0"/>
              <w:rPr>
                <w:b/>
              </w:rPr>
            </w:pPr>
            <w:r>
              <w:rPr>
                <w:b/>
              </w:rPr>
              <w:t>Affiliation</w:t>
            </w:r>
          </w:p>
        </w:tc>
      </w:tr>
      <w:tr w:rsidR="00795C1C" w:rsidRPr="006E58EB" w14:paraId="26000BC8" w14:textId="77777777">
        <w:tc>
          <w:tcPr>
            <w:tcW w:w="2670" w:type="dxa"/>
            <w:shd w:val="clear" w:color="auto" w:fill="auto"/>
            <w:tcMar>
              <w:top w:w="100" w:type="dxa"/>
              <w:left w:w="100" w:type="dxa"/>
              <w:bottom w:w="100" w:type="dxa"/>
              <w:right w:w="100" w:type="dxa"/>
            </w:tcMar>
          </w:tcPr>
          <w:p w14:paraId="5B52E040" w14:textId="77777777" w:rsidR="00795C1C" w:rsidRDefault="00B0356B">
            <w:pPr>
              <w:spacing w:before="240" w:after="240"/>
            </w:pPr>
            <w:r>
              <w:t xml:space="preserve">Edward Burn </w:t>
            </w:r>
          </w:p>
        </w:tc>
        <w:tc>
          <w:tcPr>
            <w:tcW w:w="3555" w:type="dxa"/>
            <w:shd w:val="clear" w:color="auto" w:fill="auto"/>
            <w:tcMar>
              <w:top w:w="100" w:type="dxa"/>
              <w:left w:w="100" w:type="dxa"/>
              <w:bottom w:w="100" w:type="dxa"/>
              <w:right w:w="100" w:type="dxa"/>
            </w:tcMar>
          </w:tcPr>
          <w:p w14:paraId="1571DA4F" w14:textId="77777777" w:rsidR="00795C1C" w:rsidRDefault="00B0356B">
            <w:pPr>
              <w:widowControl w:val="0"/>
              <w:spacing w:line="240" w:lineRule="auto"/>
            </w:pPr>
            <w:r>
              <w:t>edward.burn@ndorms.ox.ac.uk</w:t>
            </w:r>
          </w:p>
        </w:tc>
        <w:tc>
          <w:tcPr>
            <w:tcW w:w="2790" w:type="dxa"/>
            <w:shd w:val="clear" w:color="auto" w:fill="auto"/>
            <w:tcMar>
              <w:top w:w="100" w:type="dxa"/>
              <w:left w:w="100" w:type="dxa"/>
              <w:bottom w:w="100" w:type="dxa"/>
              <w:right w:w="100" w:type="dxa"/>
            </w:tcMar>
          </w:tcPr>
          <w:p w14:paraId="4BD0D81F" w14:textId="77777777" w:rsidR="00795C1C" w:rsidRPr="002C78CA" w:rsidRDefault="00B0356B">
            <w:pPr>
              <w:widowControl w:val="0"/>
              <w:pBdr>
                <w:top w:val="nil"/>
                <w:left w:val="nil"/>
                <w:bottom w:val="nil"/>
                <w:right w:val="nil"/>
                <w:between w:val="nil"/>
              </w:pBdr>
              <w:spacing w:line="240" w:lineRule="auto"/>
              <w:rPr>
                <w:lang w:val="en-GB"/>
              </w:rPr>
            </w:pPr>
            <w:r w:rsidRPr="002C78CA">
              <w:rPr>
                <w:lang w:val="en-GB"/>
              </w:rPr>
              <w:t xml:space="preserve">1) NDORMS, University of Oxford, Oxford, UK, 2) </w:t>
            </w:r>
            <w:proofErr w:type="spellStart"/>
            <w:r w:rsidRPr="002C78CA">
              <w:rPr>
                <w:lang w:val="en-GB"/>
              </w:rPr>
              <w:t>Fundació</w:t>
            </w:r>
            <w:proofErr w:type="spellEnd"/>
            <w:r w:rsidRPr="002C78CA">
              <w:rPr>
                <w:lang w:val="en-GB"/>
              </w:rPr>
              <w:t xml:space="preserve"> </w:t>
            </w:r>
            <w:proofErr w:type="spellStart"/>
            <w:r w:rsidRPr="002C78CA">
              <w:rPr>
                <w:lang w:val="en-GB"/>
              </w:rPr>
              <w:t>Institut</w:t>
            </w:r>
            <w:proofErr w:type="spellEnd"/>
            <w:r w:rsidRPr="002C78CA">
              <w:rPr>
                <w:lang w:val="en-GB"/>
              </w:rPr>
              <w:t xml:space="preserve"> </w:t>
            </w:r>
            <w:proofErr w:type="spellStart"/>
            <w:r w:rsidRPr="002C78CA">
              <w:rPr>
                <w:lang w:val="en-GB"/>
              </w:rPr>
              <w:t>Universitari</w:t>
            </w:r>
            <w:proofErr w:type="spellEnd"/>
            <w:r w:rsidRPr="002C78CA">
              <w:rPr>
                <w:lang w:val="en-GB"/>
              </w:rPr>
              <w:t xml:space="preserve"> per a la </w:t>
            </w:r>
            <w:proofErr w:type="spellStart"/>
            <w:r w:rsidRPr="002C78CA">
              <w:rPr>
                <w:lang w:val="en-GB"/>
              </w:rPr>
              <w:t>recerca</w:t>
            </w:r>
            <w:proofErr w:type="spellEnd"/>
            <w:r w:rsidRPr="002C78CA">
              <w:rPr>
                <w:lang w:val="en-GB"/>
              </w:rPr>
              <w:t xml:space="preserve"> a </w:t>
            </w:r>
            <w:proofErr w:type="spellStart"/>
            <w:r w:rsidRPr="002C78CA">
              <w:rPr>
                <w:lang w:val="en-GB"/>
              </w:rPr>
              <w:t>l'Atenció</w:t>
            </w:r>
            <w:proofErr w:type="spellEnd"/>
            <w:r w:rsidRPr="002C78CA">
              <w:rPr>
                <w:lang w:val="en-GB"/>
              </w:rPr>
              <w:t xml:space="preserve"> </w:t>
            </w:r>
            <w:proofErr w:type="spellStart"/>
            <w:r w:rsidRPr="002C78CA">
              <w:rPr>
                <w:lang w:val="en-GB"/>
              </w:rPr>
              <w:t>Primària</w:t>
            </w:r>
            <w:proofErr w:type="spellEnd"/>
            <w:r w:rsidRPr="002C78CA">
              <w:rPr>
                <w:lang w:val="en-GB"/>
              </w:rPr>
              <w:t xml:space="preserve"> de Salut Jordi Gol i </w:t>
            </w:r>
            <w:proofErr w:type="spellStart"/>
            <w:r w:rsidRPr="002C78CA">
              <w:rPr>
                <w:lang w:val="en-GB"/>
              </w:rPr>
              <w:t>Gurina</w:t>
            </w:r>
            <w:proofErr w:type="spellEnd"/>
            <w:r w:rsidRPr="002C78CA">
              <w:rPr>
                <w:lang w:val="en-GB"/>
              </w:rPr>
              <w:t xml:space="preserve"> (</w:t>
            </w:r>
            <w:proofErr w:type="spellStart"/>
            <w:r w:rsidRPr="002C78CA">
              <w:rPr>
                <w:lang w:val="en-GB"/>
              </w:rPr>
              <w:t>IDIAPJGol</w:t>
            </w:r>
            <w:proofErr w:type="spellEnd"/>
            <w:r w:rsidRPr="002C78CA">
              <w:rPr>
                <w:lang w:val="en-GB"/>
              </w:rPr>
              <w:t xml:space="preserve">), Barcelona, Spain </w:t>
            </w:r>
          </w:p>
        </w:tc>
      </w:tr>
      <w:tr w:rsidR="00795C1C" w:rsidRPr="006E58EB" w14:paraId="286392A4" w14:textId="77777777">
        <w:tc>
          <w:tcPr>
            <w:tcW w:w="2670" w:type="dxa"/>
            <w:shd w:val="clear" w:color="auto" w:fill="auto"/>
            <w:tcMar>
              <w:top w:w="100" w:type="dxa"/>
              <w:left w:w="100" w:type="dxa"/>
              <w:bottom w:w="100" w:type="dxa"/>
              <w:right w:w="100" w:type="dxa"/>
            </w:tcMar>
          </w:tcPr>
          <w:p w14:paraId="6AD0CE6C" w14:textId="77777777" w:rsidR="00795C1C" w:rsidRDefault="00B0356B">
            <w:pPr>
              <w:widowControl w:val="0"/>
              <w:pBdr>
                <w:top w:val="nil"/>
                <w:left w:val="nil"/>
                <w:bottom w:val="nil"/>
                <w:right w:val="nil"/>
                <w:between w:val="nil"/>
              </w:pBdr>
              <w:spacing w:line="240" w:lineRule="auto"/>
            </w:pPr>
            <w:r>
              <w:t>Anthony Sena</w:t>
            </w:r>
          </w:p>
        </w:tc>
        <w:tc>
          <w:tcPr>
            <w:tcW w:w="3555" w:type="dxa"/>
            <w:shd w:val="clear" w:color="auto" w:fill="auto"/>
            <w:tcMar>
              <w:top w:w="100" w:type="dxa"/>
              <w:left w:w="100" w:type="dxa"/>
              <w:bottom w:w="100" w:type="dxa"/>
              <w:right w:w="100" w:type="dxa"/>
            </w:tcMar>
          </w:tcPr>
          <w:p w14:paraId="678BEC1C" w14:textId="77777777" w:rsidR="00795C1C" w:rsidRDefault="00B0356B">
            <w:pPr>
              <w:widowControl w:val="0"/>
              <w:pBdr>
                <w:top w:val="nil"/>
                <w:left w:val="nil"/>
                <w:bottom w:val="nil"/>
                <w:right w:val="nil"/>
                <w:between w:val="nil"/>
              </w:pBdr>
              <w:spacing w:line="240" w:lineRule="auto"/>
            </w:pPr>
            <w:r>
              <w:t xml:space="preserve">asena5@its.jnj.com </w:t>
            </w:r>
          </w:p>
        </w:tc>
        <w:tc>
          <w:tcPr>
            <w:tcW w:w="2790" w:type="dxa"/>
            <w:shd w:val="clear" w:color="auto" w:fill="auto"/>
            <w:tcMar>
              <w:top w:w="100" w:type="dxa"/>
              <w:left w:w="100" w:type="dxa"/>
              <w:bottom w:w="100" w:type="dxa"/>
              <w:right w:w="100" w:type="dxa"/>
            </w:tcMar>
          </w:tcPr>
          <w:p w14:paraId="7DEDD725" w14:textId="77777777" w:rsidR="00795C1C" w:rsidRPr="002C78CA" w:rsidRDefault="00B0356B">
            <w:pPr>
              <w:widowControl w:val="0"/>
              <w:rPr>
                <w:lang w:val="en-GB"/>
              </w:rPr>
            </w:pPr>
            <w:r w:rsidRPr="002C78CA">
              <w:rPr>
                <w:lang w:val="en-GB"/>
              </w:rPr>
              <w:t>1) Janssen Research and Development, Titusville, NJ, USA</w:t>
            </w:r>
          </w:p>
        </w:tc>
      </w:tr>
      <w:tr w:rsidR="00795C1C" w:rsidRPr="006E58EB" w14:paraId="671B1EE2" w14:textId="77777777">
        <w:tc>
          <w:tcPr>
            <w:tcW w:w="2670" w:type="dxa"/>
            <w:shd w:val="clear" w:color="auto" w:fill="auto"/>
            <w:tcMar>
              <w:top w:w="100" w:type="dxa"/>
              <w:left w:w="100" w:type="dxa"/>
              <w:bottom w:w="100" w:type="dxa"/>
              <w:right w:w="100" w:type="dxa"/>
            </w:tcMar>
          </w:tcPr>
          <w:p w14:paraId="0EFD5C26" w14:textId="77777777" w:rsidR="00795C1C" w:rsidRDefault="00B0356B">
            <w:pPr>
              <w:widowControl w:val="0"/>
              <w:pBdr>
                <w:top w:val="nil"/>
                <w:left w:val="nil"/>
                <w:bottom w:val="nil"/>
                <w:right w:val="nil"/>
                <w:between w:val="nil"/>
              </w:pBdr>
              <w:spacing w:line="240" w:lineRule="auto"/>
            </w:pPr>
            <w:r>
              <w:t>Talita Duarte-Salles</w:t>
            </w:r>
          </w:p>
        </w:tc>
        <w:tc>
          <w:tcPr>
            <w:tcW w:w="3555" w:type="dxa"/>
            <w:shd w:val="clear" w:color="auto" w:fill="auto"/>
            <w:tcMar>
              <w:top w:w="100" w:type="dxa"/>
              <w:left w:w="100" w:type="dxa"/>
              <w:bottom w:w="100" w:type="dxa"/>
              <w:right w:w="100" w:type="dxa"/>
            </w:tcMar>
          </w:tcPr>
          <w:p w14:paraId="28C4C49F" w14:textId="77777777" w:rsidR="00795C1C" w:rsidRDefault="00B0356B">
            <w:pPr>
              <w:widowControl w:val="0"/>
              <w:pBdr>
                <w:top w:val="nil"/>
                <w:left w:val="nil"/>
                <w:bottom w:val="nil"/>
                <w:right w:val="nil"/>
                <w:between w:val="nil"/>
              </w:pBdr>
              <w:spacing w:line="240" w:lineRule="auto"/>
            </w:pPr>
            <w:r>
              <w:t>tduarte@idiapjgol.org</w:t>
            </w:r>
          </w:p>
        </w:tc>
        <w:tc>
          <w:tcPr>
            <w:tcW w:w="2790" w:type="dxa"/>
            <w:shd w:val="clear" w:color="auto" w:fill="auto"/>
            <w:tcMar>
              <w:top w:w="100" w:type="dxa"/>
              <w:left w:w="100" w:type="dxa"/>
              <w:bottom w:w="100" w:type="dxa"/>
              <w:right w:w="100" w:type="dxa"/>
            </w:tcMar>
          </w:tcPr>
          <w:p w14:paraId="1FB7BEB0" w14:textId="77777777" w:rsidR="00795C1C" w:rsidRPr="002C78CA" w:rsidRDefault="00B0356B">
            <w:pPr>
              <w:widowControl w:val="0"/>
              <w:pBdr>
                <w:top w:val="nil"/>
                <w:left w:val="nil"/>
                <w:bottom w:val="nil"/>
                <w:right w:val="nil"/>
                <w:between w:val="nil"/>
              </w:pBdr>
              <w:rPr>
                <w:lang w:val="en-GB"/>
              </w:rPr>
            </w:pPr>
            <w:r w:rsidRPr="002C78CA">
              <w:rPr>
                <w:lang w:val="en-GB"/>
              </w:rPr>
              <w:t xml:space="preserve">1) </w:t>
            </w:r>
            <w:proofErr w:type="spellStart"/>
            <w:r w:rsidRPr="002C78CA">
              <w:rPr>
                <w:lang w:val="en-GB"/>
              </w:rPr>
              <w:t>Fundació</w:t>
            </w:r>
            <w:proofErr w:type="spellEnd"/>
            <w:r w:rsidRPr="002C78CA">
              <w:rPr>
                <w:lang w:val="en-GB"/>
              </w:rPr>
              <w:t xml:space="preserve"> </w:t>
            </w:r>
            <w:proofErr w:type="spellStart"/>
            <w:r w:rsidRPr="002C78CA">
              <w:rPr>
                <w:lang w:val="en-GB"/>
              </w:rPr>
              <w:t>Institut</w:t>
            </w:r>
            <w:proofErr w:type="spellEnd"/>
            <w:r w:rsidRPr="002C78CA">
              <w:rPr>
                <w:lang w:val="en-GB"/>
              </w:rPr>
              <w:t xml:space="preserve"> </w:t>
            </w:r>
            <w:proofErr w:type="spellStart"/>
            <w:r w:rsidRPr="002C78CA">
              <w:rPr>
                <w:lang w:val="en-GB"/>
              </w:rPr>
              <w:t>Universitari</w:t>
            </w:r>
            <w:proofErr w:type="spellEnd"/>
            <w:r w:rsidRPr="002C78CA">
              <w:rPr>
                <w:lang w:val="en-GB"/>
              </w:rPr>
              <w:t xml:space="preserve"> per a la </w:t>
            </w:r>
            <w:proofErr w:type="spellStart"/>
            <w:r w:rsidRPr="002C78CA">
              <w:rPr>
                <w:lang w:val="en-GB"/>
              </w:rPr>
              <w:t>recerca</w:t>
            </w:r>
            <w:proofErr w:type="spellEnd"/>
            <w:r w:rsidRPr="002C78CA">
              <w:rPr>
                <w:lang w:val="en-GB"/>
              </w:rPr>
              <w:t xml:space="preserve"> a </w:t>
            </w:r>
            <w:proofErr w:type="spellStart"/>
            <w:r w:rsidRPr="002C78CA">
              <w:rPr>
                <w:lang w:val="en-GB"/>
              </w:rPr>
              <w:t>l'Atenció</w:t>
            </w:r>
            <w:proofErr w:type="spellEnd"/>
            <w:r w:rsidRPr="002C78CA">
              <w:rPr>
                <w:lang w:val="en-GB"/>
              </w:rPr>
              <w:t xml:space="preserve"> </w:t>
            </w:r>
            <w:proofErr w:type="spellStart"/>
            <w:r w:rsidRPr="002C78CA">
              <w:rPr>
                <w:lang w:val="en-GB"/>
              </w:rPr>
              <w:t>Primària</w:t>
            </w:r>
            <w:proofErr w:type="spellEnd"/>
            <w:r w:rsidRPr="002C78CA">
              <w:rPr>
                <w:lang w:val="en-GB"/>
              </w:rPr>
              <w:t xml:space="preserve"> de Salut Jordi Gol i </w:t>
            </w:r>
            <w:proofErr w:type="spellStart"/>
            <w:r w:rsidRPr="002C78CA">
              <w:rPr>
                <w:lang w:val="en-GB"/>
              </w:rPr>
              <w:t>Gurina</w:t>
            </w:r>
            <w:proofErr w:type="spellEnd"/>
            <w:r w:rsidRPr="002C78CA">
              <w:rPr>
                <w:lang w:val="en-GB"/>
              </w:rPr>
              <w:t xml:space="preserve"> (</w:t>
            </w:r>
            <w:proofErr w:type="spellStart"/>
            <w:r w:rsidRPr="002C78CA">
              <w:rPr>
                <w:lang w:val="en-GB"/>
              </w:rPr>
              <w:t>IDIAPJGol</w:t>
            </w:r>
            <w:proofErr w:type="spellEnd"/>
            <w:r w:rsidRPr="002C78CA">
              <w:rPr>
                <w:lang w:val="en-GB"/>
              </w:rPr>
              <w:t xml:space="preserve">), Barcelona, Spain </w:t>
            </w:r>
          </w:p>
        </w:tc>
      </w:tr>
      <w:tr w:rsidR="00795C1C" w:rsidRPr="006E58EB" w14:paraId="6ACB1E2C" w14:textId="77777777">
        <w:tc>
          <w:tcPr>
            <w:tcW w:w="2670" w:type="dxa"/>
            <w:shd w:val="clear" w:color="auto" w:fill="auto"/>
            <w:tcMar>
              <w:top w:w="100" w:type="dxa"/>
              <w:left w:w="100" w:type="dxa"/>
              <w:bottom w:w="100" w:type="dxa"/>
              <w:right w:w="100" w:type="dxa"/>
            </w:tcMar>
          </w:tcPr>
          <w:p w14:paraId="167C9FBE" w14:textId="77777777" w:rsidR="00795C1C" w:rsidRDefault="00B0356B">
            <w:pPr>
              <w:widowControl w:val="0"/>
              <w:pBdr>
                <w:top w:val="nil"/>
                <w:left w:val="nil"/>
                <w:bottom w:val="nil"/>
                <w:right w:val="nil"/>
                <w:between w:val="nil"/>
              </w:pBdr>
              <w:spacing w:line="240" w:lineRule="auto"/>
            </w:pPr>
            <w:r>
              <w:t>Meghna Jani</w:t>
            </w:r>
          </w:p>
        </w:tc>
        <w:tc>
          <w:tcPr>
            <w:tcW w:w="3555" w:type="dxa"/>
            <w:shd w:val="clear" w:color="auto" w:fill="auto"/>
            <w:tcMar>
              <w:top w:w="100" w:type="dxa"/>
              <w:left w:w="100" w:type="dxa"/>
              <w:bottom w:w="100" w:type="dxa"/>
              <w:right w:w="100" w:type="dxa"/>
            </w:tcMar>
          </w:tcPr>
          <w:p w14:paraId="4608F51E" w14:textId="77777777" w:rsidR="00795C1C" w:rsidRDefault="00B0356B">
            <w:pPr>
              <w:widowControl w:val="0"/>
              <w:pBdr>
                <w:top w:val="nil"/>
                <w:left w:val="nil"/>
                <w:bottom w:val="nil"/>
                <w:right w:val="nil"/>
                <w:between w:val="nil"/>
              </w:pBdr>
              <w:spacing w:line="240" w:lineRule="auto"/>
            </w:pPr>
            <w:r>
              <w:t>meghna.jani@manchester.ac.uk</w:t>
            </w:r>
          </w:p>
        </w:tc>
        <w:tc>
          <w:tcPr>
            <w:tcW w:w="2790" w:type="dxa"/>
            <w:shd w:val="clear" w:color="auto" w:fill="auto"/>
            <w:tcMar>
              <w:top w:w="100" w:type="dxa"/>
              <w:left w:w="100" w:type="dxa"/>
              <w:bottom w:w="100" w:type="dxa"/>
              <w:right w:w="100" w:type="dxa"/>
            </w:tcMar>
          </w:tcPr>
          <w:p w14:paraId="60B06979" w14:textId="77777777" w:rsidR="00795C1C" w:rsidRPr="002C78CA" w:rsidRDefault="00B0356B">
            <w:pPr>
              <w:widowControl w:val="0"/>
              <w:pBdr>
                <w:top w:val="nil"/>
                <w:left w:val="nil"/>
                <w:bottom w:val="nil"/>
                <w:right w:val="nil"/>
                <w:between w:val="nil"/>
              </w:pBdr>
              <w:spacing w:line="240" w:lineRule="auto"/>
              <w:rPr>
                <w:lang w:val="en-GB"/>
              </w:rPr>
            </w:pPr>
            <w:r w:rsidRPr="002C78CA">
              <w:rPr>
                <w:lang w:val="en-GB"/>
              </w:rPr>
              <w:t xml:space="preserve">1) Centre for Epidemiology Versus </w:t>
            </w:r>
            <w:r w:rsidRPr="002C78CA">
              <w:rPr>
                <w:lang w:val="en-GB"/>
              </w:rPr>
              <w:lastRenderedPageBreak/>
              <w:t>Arthritis, University of Manchester, Manchester, UK</w:t>
            </w:r>
          </w:p>
        </w:tc>
      </w:tr>
      <w:tr w:rsidR="00795C1C" w14:paraId="30252139" w14:textId="77777777">
        <w:tc>
          <w:tcPr>
            <w:tcW w:w="2670" w:type="dxa"/>
            <w:shd w:val="clear" w:color="auto" w:fill="auto"/>
            <w:tcMar>
              <w:top w:w="100" w:type="dxa"/>
              <w:left w:w="100" w:type="dxa"/>
              <w:bottom w:w="100" w:type="dxa"/>
              <w:right w:w="100" w:type="dxa"/>
            </w:tcMar>
          </w:tcPr>
          <w:p w14:paraId="0D516850" w14:textId="77777777" w:rsidR="00795C1C" w:rsidRDefault="00B0356B">
            <w:pPr>
              <w:widowControl w:val="0"/>
              <w:pBdr>
                <w:top w:val="nil"/>
                <w:left w:val="nil"/>
                <w:bottom w:val="nil"/>
                <w:right w:val="nil"/>
                <w:between w:val="nil"/>
              </w:pBdr>
              <w:spacing w:line="240" w:lineRule="auto"/>
            </w:pPr>
            <w:r>
              <w:lastRenderedPageBreak/>
              <w:t>….</w:t>
            </w:r>
          </w:p>
        </w:tc>
        <w:tc>
          <w:tcPr>
            <w:tcW w:w="3555" w:type="dxa"/>
            <w:shd w:val="clear" w:color="auto" w:fill="auto"/>
            <w:tcMar>
              <w:top w:w="100" w:type="dxa"/>
              <w:left w:w="100" w:type="dxa"/>
              <w:bottom w:w="100" w:type="dxa"/>
              <w:right w:w="100" w:type="dxa"/>
            </w:tcMar>
          </w:tcPr>
          <w:p w14:paraId="071B6EF4" w14:textId="77777777" w:rsidR="00795C1C" w:rsidRDefault="00B0356B">
            <w:pPr>
              <w:widowControl w:val="0"/>
              <w:pBdr>
                <w:top w:val="nil"/>
                <w:left w:val="nil"/>
                <w:bottom w:val="nil"/>
                <w:right w:val="nil"/>
                <w:between w:val="nil"/>
              </w:pBdr>
              <w:spacing w:line="240" w:lineRule="auto"/>
            </w:pPr>
            <w:r>
              <w:t>….</w:t>
            </w:r>
          </w:p>
        </w:tc>
        <w:tc>
          <w:tcPr>
            <w:tcW w:w="2790" w:type="dxa"/>
            <w:shd w:val="clear" w:color="auto" w:fill="auto"/>
            <w:tcMar>
              <w:top w:w="100" w:type="dxa"/>
              <w:left w:w="100" w:type="dxa"/>
              <w:bottom w:w="100" w:type="dxa"/>
              <w:right w:w="100" w:type="dxa"/>
            </w:tcMar>
          </w:tcPr>
          <w:p w14:paraId="427C285C" w14:textId="77777777" w:rsidR="00795C1C" w:rsidRDefault="00B0356B">
            <w:pPr>
              <w:widowControl w:val="0"/>
              <w:pBdr>
                <w:top w:val="nil"/>
                <w:left w:val="nil"/>
                <w:bottom w:val="nil"/>
                <w:right w:val="nil"/>
                <w:between w:val="nil"/>
              </w:pBdr>
              <w:spacing w:line="240" w:lineRule="auto"/>
            </w:pPr>
            <w:r>
              <w:t>….</w:t>
            </w:r>
          </w:p>
        </w:tc>
      </w:tr>
      <w:tr w:rsidR="00795C1C" w:rsidRPr="006E58EB" w14:paraId="3CC3DA1A" w14:textId="77777777">
        <w:tc>
          <w:tcPr>
            <w:tcW w:w="2670" w:type="dxa"/>
            <w:shd w:val="clear" w:color="auto" w:fill="auto"/>
            <w:tcMar>
              <w:top w:w="100" w:type="dxa"/>
              <w:left w:w="100" w:type="dxa"/>
              <w:bottom w:w="100" w:type="dxa"/>
              <w:right w:w="100" w:type="dxa"/>
            </w:tcMar>
          </w:tcPr>
          <w:p w14:paraId="1B784C58" w14:textId="77777777" w:rsidR="00795C1C" w:rsidRDefault="00B0356B">
            <w:pPr>
              <w:widowControl w:val="0"/>
              <w:pBdr>
                <w:top w:val="nil"/>
                <w:left w:val="nil"/>
                <w:bottom w:val="nil"/>
                <w:right w:val="nil"/>
                <w:between w:val="nil"/>
              </w:pBdr>
              <w:spacing w:line="240" w:lineRule="auto"/>
            </w:pPr>
            <w:r>
              <w:t>João Rafael Almeida</w:t>
            </w:r>
          </w:p>
        </w:tc>
        <w:tc>
          <w:tcPr>
            <w:tcW w:w="3555" w:type="dxa"/>
            <w:shd w:val="clear" w:color="auto" w:fill="auto"/>
            <w:tcMar>
              <w:top w:w="100" w:type="dxa"/>
              <w:left w:w="100" w:type="dxa"/>
              <w:bottom w:w="100" w:type="dxa"/>
              <w:right w:w="100" w:type="dxa"/>
            </w:tcMar>
          </w:tcPr>
          <w:p w14:paraId="71158E21" w14:textId="77777777" w:rsidR="00795C1C" w:rsidRDefault="00B0356B">
            <w:pPr>
              <w:widowControl w:val="0"/>
              <w:spacing w:line="240" w:lineRule="auto"/>
            </w:pPr>
            <w:r>
              <w:t>joao.rafael.almeida@ua.pt</w:t>
            </w:r>
          </w:p>
        </w:tc>
        <w:tc>
          <w:tcPr>
            <w:tcW w:w="2790" w:type="dxa"/>
            <w:shd w:val="clear" w:color="auto" w:fill="auto"/>
            <w:tcMar>
              <w:top w:w="100" w:type="dxa"/>
              <w:left w:w="100" w:type="dxa"/>
              <w:bottom w:w="100" w:type="dxa"/>
              <w:right w:w="100" w:type="dxa"/>
            </w:tcMar>
          </w:tcPr>
          <w:p w14:paraId="62FA70BC" w14:textId="77777777" w:rsidR="00795C1C" w:rsidRPr="002C78CA" w:rsidRDefault="00B0356B">
            <w:pPr>
              <w:widowControl w:val="0"/>
              <w:spacing w:line="240" w:lineRule="auto"/>
              <w:rPr>
                <w:lang w:val="en-GB"/>
              </w:rPr>
            </w:pPr>
            <w:r w:rsidRPr="002C78CA">
              <w:rPr>
                <w:lang w:val="en-GB"/>
              </w:rPr>
              <w:t>1) IEETA/DETI, University of Aveiro, Aveiro, Portugal</w:t>
            </w:r>
          </w:p>
        </w:tc>
      </w:tr>
      <w:tr w:rsidR="00795C1C" w:rsidRPr="006E58EB" w14:paraId="05D7E765" w14:textId="77777777">
        <w:tc>
          <w:tcPr>
            <w:tcW w:w="2670" w:type="dxa"/>
            <w:tcMar>
              <w:top w:w="100" w:type="dxa"/>
              <w:left w:w="100" w:type="dxa"/>
              <w:bottom w:w="100" w:type="dxa"/>
              <w:right w:w="100" w:type="dxa"/>
            </w:tcMar>
          </w:tcPr>
          <w:p w14:paraId="4092F050" w14:textId="77777777" w:rsidR="00795C1C" w:rsidRDefault="00B0356B">
            <w:pPr>
              <w:widowControl w:val="0"/>
            </w:pPr>
            <w:r>
              <w:t>Peter Rijnbeek</w:t>
            </w:r>
          </w:p>
        </w:tc>
        <w:tc>
          <w:tcPr>
            <w:tcW w:w="3555" w:type="dxa"/>
            <w:tcMar>
              <w:top w:w="100" w:type="dxa"/>
              <w:left w:w="100" w:type="dxa"/>
              <w:bottom w:w="100" w:type="dxa"/>
              <w:right w:w="100" w:type="dxa"/>
            </w:tcMar>
          </w:tcPr>
          <w:p w14:paraId="6019F0DF" w14:textId="77777777" w:rsidR="00795C1C" w:rsidRDefault="00B0356B">
            <w:pPr>
              <w:widowControl w:val="0"/>
            </w:pPr>
            <w:r>
              <w:t>p.rijnbeek@erasmusmc.nl</w:t>
            </w:r>
          </w:p>
        </w:tc>
        <w:tc>
          <w:tcPr>
            <w:tcW w:w="2790" w:type="dxa"/>
            <w:tcMar>
              <w:top w:w="100" w:type="dxa"/>
              <w:left w:w="100" w:type="dxa"/>
              <w:bottom w:w="100" w:type="dxa"/>
              <w:right w:w="100" w:type="dxa"/>
            </w:tcMar>
          </w:tcPr>
          <w:p w14:paraId="5E3A839C" w14:textId="77777777" w:rsidR="00795C1C" w:rsidRPr="002C78CA" w:rsidRDefault="00B0356B">
            <w:pPr>
              <w:widowControl w:val="0"/>
              <w:rPr>
                <w:lang w:val="en-GB"/>
              </w:rPr>
            </w:pPr>
            <w:r w:rsidRPr="002C78CA">
              <w:rPr>
                <w:lang w:val="en-GB"/>
              </w:rPr>
              <w:t>1) Erasmus University Medical Center, NL</w:t>
            </w:r>
          </w:p>
        </w:tc>
      </w:tr>
      <w:tr w:rsidR="00795C1C" w:rsidRPr="006E58EB" w14:paraId="0427B766" w14:textId="77777777">
        <w:tc>
          <w:tcPr>
            <w:tcW w:w="2670" w:type="dxa"/>
            <w:tcBorders>
              <w:bottom w:val="single" w:sz="8" w:space="0" w:color="000000"/>
            </w:tcBorders>
            <w:tcMar>
              <w:top w:w="100" w:type="dxa"/>
              <w:left w:w="100" w:type="dxa"/>
              <w:bottom w:w="100" w:type="dxa"/>
              <w:right w:w="100" w:type="dxa"/>
            </w:tcMar>
          </w:tcPr>
          <w:p w14:paraId="46D4BA80" w14:textId="77777777" w:rsidR="00795C1C" w:rsidRDefault="00B0356B">
            <w:pPr>
              <w:widowControl w:val="0"/>
            </w:pPr>
            <w:r>
              <w:t>Patrick Ryan</w:t>
            </w:r>
          </w:p>
        </w:tc>
        <w:tc>
          <w:tcPr>
            <w:tcW w:w="3555" w:type="dxa"/>
            <w:tcBorders>
              <w:bottom w:val="single" w:sz="8" w:space="0" w:color="000000"/>
            </w:tcBorders>
            <w:tcMar>
              <w:top w:w="100" w:type="dxa"/>
              <w:left w:w="100" w:type="dxa"/>
              <w:bottom w:w="100" w:type="dxa"/>
              <w:right w:w="100" w:type="dxa"/>
            </w:tcMar>
          </w:tcPr>
          <w:p w14:paraId="6A038BCD" w14:textId="77777777" w:rsidR="00795C1C" w:rsidRDefault="00B0356B">
            <w:pPr>
              <w:widowControl w:val="0"/>
            </w:pPr>
            <w:r>
              <w:t>PRyan4@its.jnj.com</w:t>
            </w:r>
          </w:p>
        </w:tc>
        <w:tc>
          <w:tcPr>
            <w:tcW w:w="2790" w:type="dxa"/>
            <w:tcBorders>
              <w:bottom w:val="single" w:sz="8" w:space="0" w:color="000000"/>
            </w:tcBorders>
            <w:tcMar>
              <w:top w:w="100" w:type="dxa"/>
              <w:left w:w="100" w:type="dxa"/>
              <w:bottom w:w="100" w:type="dxa"/>
              <w:right w:w="100" w:type="dxa"/>
            </w:tcMar>
          </w:tcPr>
          <w:p w14:paraId="2517265E" w14:textId="77777777" w:rsidR="00795C1C" w:rsidRPr="002C78CA" w:rsidRDefault="00B0356B">
            <w:pPr>
              <w:widowControl w:val="0"/>
              <w:rPr>
                <w:lang w:val="en-GB"/>
              </w:rPr>
            </w:pPr>
            <w:r w:rsidRPr="002C78CA">
              <w:rPr>
                <w:lang w:val="en-GB"/>
              </w:rPr>
              <w:t>1) Janssen Research and Development, Titusville, NJ, USA, 2) Columbia University, New York, NY, USA</w:t>
            </w:r>
          </w:p>
        </w:tc>
      </w:tr>
      <w:tr w:rsidR="00795C1C" w:rsidRPr="006E58EB" w14:paraId="310D43C8" w14:textId="77777777">
        <w:tc>
          <w:tcPr>
            <w:tcW w:w="2670" w:type="dxa"/>
            <w:tcMar>
              <w:top w:w="100" w:type="dxa"/>
              <w:left w:w="100" w:type="dxa"/>
              <w:bottom w:w="100" w:type="dxa"/>
              <w:right w:w="100" w:type="dxa"/>
            </w:tcMar>
          </w:tcPr>
          <w:p w14:paraId="02B36FF7" w14:textId="77777777" w:rsidR="00795C1C" w:rsidRDefault="00B0356B">
            <w:pPr>
              <w:widowControl w:val="0"/>
            </w:pPr>
            <w:r>
              <w:t>Daniel Prieto-Alhambra</w:t>
            </w:r>
          </w:p>
        </w:tc>
        <w:tc>
          <w:tcPr>
            <w:tcW w:w="3555" w:type="dxa"/>
            <w:tcMar>
              <w:top w:w="100" w:type="dxa"/>
              <w:left w:w="100" w:type="dxa"/>
              <w:bottom w:w="100" w:type="dxa"/>
              <w:right w:w="100" w:type="dxa"/>
            </w:tcMar>
          </w:tcPr>
          <w:p w14:paraId="38DB1B24" w14:textId="77777777" w:rsidR="00795C1C" w:rsidRDefault="00B0356B">
            <w:pPr>
              <w:widowControl w:val="0"/>
            </w:pPr>
            <w:r>
              <w:t>daniel.prietoalhambra@ndorms.ox.ac.uk</w:t>
            </w:r>
          </w:p>
        </w:tc>
        <w:tc>
          <w:tcPr>
            <w:tcW w:w="2790" w:type="dxa"/>
            <w:tcMar>
              <w:top w:w="100" w:type="dxa"/>
              <w:left w:w="100" w:type="dxa"/>
              <w:bottom w:w="100" w:type="dxa"/>
              <w:right w:w="100" w:type="dxa"/>
            </w:tcMar>
          </w:tcPr>
          <w:p w14:paraId="48AD07B3" w14:textId="77777777" w:rsidR="00795C1C" w:rsidRPr="002C78CA" w:rsidRDefault="00B0356B">
            <w:pPr>
              <w:widowControl w:val="0"/>
              <w:rPr>
                <w:lang w:val="en-GB"/>
              </w:rPr>
            </w:pPr>
            <w:r w:rsidRPr="002C78CA">
              <w:rPr>
                <w:lang w:val="en-GB"/>
              </w:rPr>
              <w:t xml:space="preserve">1) NDORMS, University of Oxford, Oxford, UK, 2) GREMPAL Research Group, </w:t>
            </w:r>
            <w:proofErr w:type="spellStart"/>
            <w:r w:rsidRPr="002C78CA">
              <w:rPr>
                <w:lang w:val="en-GB"/>
              </w:rPr>
              <w:t>Idiap</w:t>
            </w:r>
            <w:proofErr w:type="spellEnd"/>
            <w:r w:rsidRPr="002C78CA">
              <w:rPr>
                <w:lang w:val="en-GB"/>
              </w:rPr>
              <w:t xml:space="preserve"> Jordi Gol and </w:t>
            </w:r>
            <w:proofErr w:type="spellStart"/>
            <w:r w:rsidRPr="002C78CA">
              <w:rPr>
                <w:lang w:val="en-GB"/>
              </w:rPr>
              <w:t>CIBERFes</w:t>
            </w:r>
            <w:proofErr w:type="spellEnd"/>
            <w:r w:rsidRPr="002C78CA">
              <w:rPr>
                <w:lang w:val="en-GB"/>
              </w:rPr>
              <w:t xml:space="preserve">, </w:t>
            </w:r>
            <w:proofErr w:type="spellStart"/>
            <w:r w:rsidRPr="002C78CA">
              <w:rPr>
                <w:lang w:val="en-GB"/>
              </w:rPr>
              <w:t>Universitat</w:t>
            </w:r>
            <w:proofErr w:type="spellEnd"/>
            <w:r w:rsidRPr="002C78CA">
              <w:rPr>
                <w:lang w:val="en-GB"/>
              </w:rPr>
              <w:t xml:space="preserve"> </w:t>
            </w:r>
            <w:proofErr w:type="spellStart"/>
            <w:r w:rsidRPr="002C78CA">
              <w:rPr>
                <w:lang w:val="en-GB"/>
              </w:rPr>
              <w:t>Autonoma</w:t>
            </w:r>
            <w:proofErr w:type="spellEnd"/>
            <w:r w:rsidRPr="002C78CA">
              <w:rPr>
                <w:lang w:val="en-GB"/>
              </w:rPr>
              <w:t xml:space="preserve"> de Barcelona and Instituto de </w:t>
            </w:r>
            <w:proofErr w:type="spellStart"/>
            <w:r w:rsidRPr="002C78CA">
              <w:rPr>
                <w:lang w:val="en-GB"/>
              </w:rPr>
              <w:t>Salud</w:t>
            </w:r>
            <w:proofErr w:type="spellEnd"/>
            <w:r w:rsidRPr="002C78CA">
              <w:rPr>
                <w:lang w:val="en-GB"/>
              </w:rPr>
              <w:t xml:space="preserve"> Carlos III, Barcelona, Spain</w:t>
            </w:r>
          </w:p>
        </w:tc>
      </w:tr>
    </w:tbl>
    <w:p w14:paraId="64EE1CC1" w14:textId="77777777" w:rsidR="00795C1C" w:rsidRPr="002C78CA" w:rsidRDefault="00B0356B">
      <w:pPr>
        <w:pStyle w:val="Heading1"/>
        <w:rPr>
          <w:lang w:val="en-GB"/>
        </w:rPr>
      </w:pPr>
      <w:bookmarkStart w:id="1" w:name="_ettr6upefk90" w:colFirst="0" w:colLast="0"/>
      <w:bookmarkEnd w:id="1"/>
      <w:r w:rsidRPr="002C78CA">
        <w:rPr>
          <w:lang w:val="en-GB"/>
        </w:rPr>
        <w:br w:type="page"/>
      </w:r>
    </w:p>
    <w:p w14:paraId="1DD214CC" w14:textId="77777777" w:rsidR="00795C1C" w:rsidRPr="002C78CA" w:rsidRDefault="00B0356B">
      <w:pPr>
        <w:pStyle w:val="Heading1"/>
        <w:rPr>
          <w:lang w:val="en-GB"/>
        </w:rPr>
      </w:pPr>
      <w:bookmarkStart w:id="2" w:name="_xb2rw8l2jamq" w:colFirst="0" w:colLast="0"/>
      <w:bookmarkEnd w:id="2"/>
      <w:r w:rsidRPr="002C78CA">
        <w:rPr>
          <w:lang w:val="en-GB"/>
        </w:rPr>
        <w:lastRenderedPageBreak/>
        <w:t>Background</w:t>
      </w:r>
    </w:p>
    <w:p w14:paraId="1F74932E" w14:textId="77777777" w:rsidR="00795C1C" w:rsidRPr="002C78CA" w:rsidRDefault="00B0356B">
      <w:pPr>
        <w:pStyle w:val="Heading2"/>
        <w:rPr>
          <w:lang w:val="en-GB"/>
        </w:rPr>
      </w:pPr>
      <w:bookmarkStart w:id="3" w:name="_1o8w06ieip3v" w:colFirst="0" w:colLast="0"/>
      <w:bookmarkEnd w:id="3"/>
      <w:r w:rsidRPr="002C78CA">
        <w:rPr>
          <w:lang w:val="en-GB"/>
        </w:rPr>
        <w:t>Rationale</w:t>
      </w:r>
    </w:p>
    <w:p w14:paraId="563F009C" w14:textId="77777777" w:rsidR="00795C1C" w:rsidRPr="002C78CA" w:rsidRDefault="00B0356B">
      <w:pPr>
        <w:spacing w:before="240" w:after="240" w:line="360" w:lineRule="auto"/>
        <w:jc w:val="both"/>
        <w:rPr>
          <w:lang w:val="en-GB"/>
        </w:rPr>
      </w:pPr>
      <w:r w:rsidRPr="002C78CA">
        <w:rPr>
          <w:lang w:val="en-GB"/>
        </w:rPr>
        <w:t xml:space="preserve">Rheumatoid Arthritis (RA) is a common musculoskeletal disease, affecting approximately 0.5-1.0% of the adult population in Europe and North America. The management for the condition has changed considerably over the last 35 years, with </w:t>
      </w:r>
      <w:proofErr w:type="gramStart"/>
      <w:r w:rsidRPr="002C78CA">
        <w:rPr>
          <w:lang w:val="en-GB"/>
        </w:rPr>
        <w:t>a number of</w:t>
      </w:r>
      <w:proofErr w:type="gramEnd"/>
      <w:r w:rsidRPr="002C78CA">
        <w:rPr>
          <w:lang w:val="en-GB"/>
        </w:rPr>
        <w:t xml:space="preserve"> therapeutic options available including short and long-term disease modification. However, all medicines for RA are associated with adverse events (AEs), and therefore selecting the right therapy for the right patient is challenging, as treatment decisions constantly require trade-offs between benefits and risks.</w:t>
      </w:r>
    </w:p>
    <w:p w14:paraId="4A0743A7" w14:textId="77777777" w:rsidR="00795C1C" w:rsidRPr="002C78CA" w:rsidRDefault="00B0356B">
      <w:pPr>
        <w:spacing w:before="240" w:after="240" w:line="360" w:lineRule="auto"/>
        <w:jc w:val="both"/>
        <w:rPr>
          <w:lang w:val="en-GB"/>
        </w:rPr>
      </w:pPr>
      <w:r w:rsidRPr="002C78CA">
        <w:rPr>
          <w:lang w:val="en-GB"/>
        </w:rPr>
        <w:t xml:space="preserve">Several efficacious agents are currently available for RA, with </w:t>
      </w:r>
      <w:r w:rsidRPr="002C78CA">
        <w:rPr>
          <w:color w:val="222222"/>
          <w:highlight w:val="white"/>
          <w:lang w:val="en-GB"/>
        </w:rPr>
        <w:t>conventional synthetic</w:t>
      </w:r>
      <w:r w:rsidRPr="002C78CA">
        <w:rPr>
          <w:lang w:val="en-GB"/>
        </w:rPr>
        <w:t xml:space="preserve"> disease modifying anti-rheumatic drugs (</w:t>
      </w:r>
      <w:proofErr w:type="spellStart"/>
      <w:r w:rsidRPr="002C78CA">
        <w:rPr>
          <w:lang w:val="en-GB"/>
        </w:rPr>
        <w:t>csDMARDs</w:t>
      </w:r>
      <w:proofErr w:type="spellEnd"/>
      <w:r w:rsidRPr="002C78CA">
        <w:rPr>
          <w:lang w:val="en-GB"/>
        </w:rPr>
        <w:t xml:space="preserve">) usually the first line of treatment in newly diagnosed RA. Among the </w:t>
      </w:r>
      <w:proofErr w:type="spellStart"/>
      <w:r w:rsidRPr="002C78CA">
        <w:rPr>
          <w:lang w:val="en-GB"/>
        </w:rPr>
        <w:t>csDMARDs</w:t>
      </w:r>
      <w:proofErr w:type="spellEnd"/>
      <w:r w:rsidRPr="002C78CA">
        <w:rPr>
          <w:lang w:val="en-GB"/>
        </w:rPr>
        <w:t xml:space="preserve">, methotrexate is currently adopted as the “anchor drug” (1) either for use as monotherapy or in combination with another </w:t>
      </w:r>
      <w:proofErr w:type="spellStart"/>
      <w:r w:rsidRPr="002C78CA">
        <w:rPr>
          <w:lang w:val="en-GB"/>
        </w:rPr>
        <w:t>csDMARDs</w:t>
      </w:r>
      <w:proofErr w:type="spellEnd"/>
      <w:r w:rsidRPr="002C78CA">
        <w:rPr>
          <w:lang w:val="en-GB"/>
        </w:rPr>
        <w:t xml:space="preserve"> such as hydroxychloroquine, leflunomide or sulfasalazine. Biological DMARDs (</w:t>
      </w:r>
      <w:proofErr w:type="spellStart"/>
      <w:r w:rsidRPr="002C78CA">
        <w:rPr>
          <w:lang w:val="en-GB"/>
        </w:rPr>
        <w:t>bDMARDs</w:t>
      </w:r>
      <w:proofErr w:type="spellEnd"/>
      <w:r w:rsidRPr="002C78CA">
        <w:rPr>
          <w:lang w:val="en-GB"/>
        </w:rPr>
        <w:t>) such as tumour necrosis factor inhibitors (</w:t>
      </w:r>
      <w:proofErr w:type="spellStart"/>
      <w:r w:rsidRPr="002C78CA">
        <w:rPr>
          <w:lang w:val="en-GB"/>
        </w:rPr>
        <w:t>TNFi</w:t>
      </w:r>
      <w:proofErr w:type="spellEnd"/>
      <w:r w:rsidRPr="002C78CA">
        <w:rPr>
          <w:lang w:val="en-GB"/>
        </w:rPr>
        <w:t>) have transformed the management of RA, however are generally reserved for more severe disease due to their high financial costs and associated AEs. More recently targeted synthetic DMARDs (</w:t>
      </w:r>
      <w:proofErr w:type="spellStart"/>
      <w:r w:rsidRPr="002C78CA">
        <w:rPr>
          <w:lang w:val="en-GB"/>
        </w:rPr>
        <w:t>tsDMARDs</w:t>
      </w:r>
      <w:proofErr w:type="spellEnd"/>
      <w:r w:rsidRPr="002C78CA">
        <w:rPr>
          <w:lang w:val="en-GB"/>
        </w:rPr>
        <w:t xml:space="preserve">) have been introduced, including tofacitinib, </w:t>
      </w:r>
      <w:proofErr w:type="spellStart"/>
      <w:r w:rsidRPr="002C78CA">
        <w:rPr>
          <w:lang w:val="en-GB"/>
        </w:rPr>
        <w:t>baricitinib</w:t>
      </w:r>
      <w:proofErr w:type="spellEnd"/>
      <w:r w:rsidRPr="002C78CA">
        <w:rPr>
          <w:lang w:val="en-GB"/>
        </w:rPr>
        <w:t xml:space="preserve"> and </w:t>
      </w:r>
      <w:proofErr w:type="spellStart"/>
      <w:r w:rsidRPr="002C78CA">
        <w:rPr>
          <w:lang w:val="en-GB"/>
        </w:rPr>
        <w:t>upadacitinib</w:t>
      </w:r>
      <w:proofErr w:type="spellEnd"/>
      <w:r w:rsidRPr="002C78CA">
        <w:rPr>
          <w:lang w:val="en-GB"/>
        </w:rPr>
        <w:t>, as additional treatment options for patients with moderate to severe RA.</w:t>
      </w:r>
    </w:p>
    <w:p w14:paraId="13BB357D" w14:textId="77777777" w:rsidR="00795C1C" w:rsidRPr="002C78CA" w:rsidRDefault="00B0356B">
      <w:pPr>
        <w:spacing w:before="240" w:after="240" w:line="360" w:lineRule="auto"/>
        <w:jc w:val="both"/>
        <w:rPr>
          <w:lang w:val="en-GB"/>
        </w:rPr>
      </w:pPr>
      <w:r w:rsidRPr="002C78CA">
        <w:rPr>
          <w:lang w:val="en-GB"/>
        </w:rPr>
        <w:t xml:space="preserve">Guidance for use for all DMARDs has evolved with time </w:t>
      </w:r>
      <w:proofErr w:type="gramStart"/>
      <w:r w:rsidRPr="002C78CA">
        <w:rPr>
          <w:lang w:val="en-GB"/>
        </w:rPr>
        <w:t>and also</w:t>
      </w:r>
      <w:proofErr w:type="gramEnd"/>
      <w:r w:rsidRPr="002C78CA">
        <w:rPr>
          <w:lang w:val="en-GB"/>
        </w:rPr>
        <w:t xml:space="preserve"> differ internationally between North America and Europe (2-4). </w:t>
      </w:r>
      <w:proofErr w:type="gramStart"/>
      <w:r w:rsidRPr="002C78CA">
        <w:rPr>
          <w:lang w:val="en-GB"/>
        </w:rPr>
        <w:t>Additionally</w:t>
      </w:r>
      <w:proofErr w:type="gramEnd"/>
      <w:r w:rsidRPr="002C78CA">
        <w:rPr>
          <w:lang w:val="en-GB"/>
        </w:rPr>
        <w:t xml:space="preserve"> European countries individually have different guidelines for use, especially for high cost drugs such as </w:t>
      </w:r>
      <w:proofErr w:type="spellStart"/>
      <w:r w:rsidRPr="002C78CA">
        <w:rPr>
          <w:lang w:val="en-GB"/>
        </w:rPr>
        <w:t>bDMARDs</w:t>
      </w:r>
      <w:proofErr w:type="spellEnd"/>
      <w:r w:rsidRPr="002C78CA">
        <w:rPr>
          <w:lang w:val="en-GB"/>
        </w:rPr>
        <w:t xml:space="preserve"> and </w:t>
      </w:r>
      <w:proofErr w:type="spellStart"/>
      <w:r w:rsidRPr="002C78CA">
        <w:rPr>
          <w:lang w:val="en-GB"/>
        </w:rPr>
        <w:t>tsDMARDs</w:t>
      </w:r>
      <w:proofErr w:type="spellEnd"/>
      <w:r w:rsidRPr="002C78CA">
        <w:rPr>
          <w:lang w:val="en-GB"/>
        </w:rPr>
        <w:t xml:space="preserve">. In the UK for instance, these are prescribed as per the National Institute for Health and Care Excellence and are reserved for patients who have failed at least two </w:t>
      </w:r>
      <w:proofErr w:type="spellStart"/>
      <w:r w:rsidRPr="002C78CA">
        <w:rPr>
          <w:lang w:val="en-GB"/>
        </w:rPr>
        <w:t>csDMARDs</w:t>
      </w:r>
      <w:proofErr w:type="spellEnd"/>
      <w:r w:rsidRPr="002C78CA">
        <w:rPr>
          <w:lang w:val="en-GB"/>
        </w:rPr>
        <w:t xml:space="preserve"> and continue to experience persistently high disease activity (5). Despite guidelines, there is considerable heterogeneity in choice of DMARD that may be both physician and patient choice driven. </w:t>
      </w:r>
      <w:proofErr w:type="gramStart"/>
      <w:r w:rsidRPr="002C78CA">
        <w:rPr>
          <w:lang w:val="en-GB"/>
        </w:rPr>
        <w:t>Additionally</w:t>
      </w:r>
      <w:proofErr w:type="gramEnd"/>
      <w:r w:rsidRPr="002C78CA">
        <w:rPr>
          <w:lang w:val="en-GB"/>
        </w:rPr>
        <w:t xml:space="preserve"> in the last three years, biosimilar agents have been introduced to the market, however uptake of these </w:t>
      </w:r>
      <w:proofErr w:type="spellStart"/>
      <w:r w:rsidRPr="002C78CA">
        <w:rPr>
          <w:lang w:val="en-GB"/>
        </w:rPr>
        <w:t>bDMARDs</w:t>
      </w:r>
      <w:proofErr w:type="spellEnd"/>
      <w:r w:rsidRPr="002C78CA">
        <w:rPr>
          <w:lang w:val="en-GB"/>
        </w:rPr>
        <w:t xml:space="preserve"> has been inconsistent across Europe and North America. There are no studies to date that have compared international drug utilisation of RA patients receiving DMARDs and long-term sequential prescribing following initial prescription. </w:t>
      </w:r>
      <w:r w:rsidRPr="002C78CA">
        <w:rPr>
          <w:sz w:val="23"/>
          <w:szCs w:val="23"/>
          <w:lang w:val="en-GB"/>
        </w:rPr>
        <w:t>A drug utilisation study (DUS) on the use of DMARDs would therefore provide insights into real-world practice in RA.</w:t>
      </w:r>
    </w:p>
    <w:p w14:paraId="5E5EF0E5" w14:textId="77777777" w:rsidR="00795C1C" w:rsidRPr="002C78CA" w:rsidRDefault="00B0356B">
      <w:pPr>
        <w:pStyle w:val="Heading2"/>
        <w:rPr>
          <w:lang w:val="en-GB"/>
        </w:rPr>
      </w:pPr>
      <w:bookmarkStart w:id="4" w:name="_fz7w9e9qtr8h" w:colFirst="0" w:colLast="0"/>
      <w:bookmarkEnd w:id="4"/>
      <w:r w:rsidRPr="002C78CA">
        <w:rPr>
          <w:lang w:val="en-GB"/>
        </w:rPr>
        <w:lastRenderedPageBreak/>
        <w:t>Research objectives</w:t>
      </w:r>
    </w:p>
    <w:p w14:paraId="3EFDE7CC" w14:textId="2DB24664" w:rsidR="007C78D9" w:rsidRDefault="007C78D9" w:rsidP="007C78D9">
      <w:pPr>
        <w:spacing w:before="240" w:after="240" w:line="360" w:lineRule="auto"/>
        <w:rPr>
          <w:color w:val="000000"/>
          <w:lang w:val="en-GB"/>
        </w:rPr>
      </w:pPr>
      <w:r>
        <w:rPr>
          <w:lang w:val="en-GB"/>
        </w:rPr>
        <w:t xml:space="preserve">With this study, we aim to </w:t>
      </w:r>
      <w:r w:rsidR="00B0356B" w:rsidRPr="002C78CA">
        <w:rPr>
          <w:lang w:val="en-GB"/>
        </w:rPr>
        <w:t xml:space="preserve">characterise </w:t>
      </w:r>
      <w:r w:rsidR="00E80E86" w:rsidRPr="00E80E86">
        <w:rPr>
          <w:lang w:val="en-GB"/>
        </w:rPr>
        <w:t>th</w:t>
      </w:r>
      <w:r w:rsidR="00E80E86">
        <w:rPr>
          <w:lang w:val="en-GB"/>
        </w:rPr>
        <w:t xml:space="preserve">e </w:t>
      </w:r>
      <w:r w:rsidR="00E80E86" w:rsidRPr="002C78CA">
        <w:rPr>
          <w:color w:val="000000"/>
          <w:lang w:val="en-GB"/>
        </w:rPr>
        <w:t>prescribing/dispensing of first line DMARDs</w:t>
      </w:r>
      <w:r w:rsidRPr="007C78D9">
        <w:rPr>
          <w:color w:val="000000"/>
          <w:lang w:val="en-GB"/>
        </w:rPr>
        <w:t xml:space="preserve"> </w:t>
      </w:r>
      <w:proofErr w:type="gramStart"/>
      <w:r>
        <w:rPr>
          <w:color w:val="000000"/>
          <w:lang w:val="en-GB"/>
        </w:rPr>
        <w:t>with regard to</w:t>
      </w:r>
      <w:proofErr w:type="gramEnd"/>
      <w:r>
        <w:rPr>
          <w:color w:val="000000"/>
          <w:lang w:val="en-GB"/>
        </w:rPr>
        <w:t>:</w:t>
      </w:r>
    </w:p>
    <w:p w14:paraId="66C59C25" w14:textId="76D75EDC" w:rsidR="00795C1C" w:rsidRPr="002C78CA" w:rsidRDefault="002625C8" w:rsidP="007C78D9">
      <w:pPr>
        <w:pStyle w:val="ListParagraph"/>
        <w:numPr>
          <w:ilvl w:val="0"/>
          <w:numId w:val="3"/>
        </w:numPr>
        <w:spacing w:before="240" w:after="240" w:line="360" w:lineRule="auto"/>
        <w:rPr>
          <w:lang w:val="en-GB"/>
        </w:rPr>
      </w:pPr>
      <w:r w:rsidRPr="002625C8">
        <w:rPr>
          <w:color w:val="000000"/>
          <w:lang w:val="en-GB"/>
        </w:rPr>
        <w:t>t</w:t>
      </w:r>
      <w:r w:rsidR="007C78D9">
        <w:rPr>
          <w:color w:val="000000"/>
          <w:lang w:val="en-GB"/>
        </w:rPr>
        <w:t xml:space="preserve">ype of first DMARD being prescribed during the </w:t>
      </w:r>
      <w:proofErr w:type="spellStart"/>
      <w:r w:rsidR="00E80E86" w:rsidRPr="002C78CA">
        <w:rPr>
          <w:color w:val="000000"/>
          <w:lang w:val="en-GB"/>
        </w:rPr>
        <w:t>the</w:t>
      </w:r>
      <w:proofErr w:type="spellEnd"/>
      <w:r w:rsidR="00E80E86" w:rsidRPr="002C78CA">
        <w:rPr>
          <w:color w:val="000000"/>
          <w:lang w:val="en-GB"/>
        </w:rPr>
        <w:t xml:space="preserve"> first year and during the first five years following the diagnosis of RA</w:t>
      </w:r>
    </w:p>
    <w:p w14:paraId="51EF8F72" w14:textId="618687AC" w:rsidR="007C78D9" w:rsidRPr="002C78CA" w:rsidRDefault="002C78CA" w:rsidP="007C78D9">
      <w:pPr>
        <w:pStyle w:val="ListParagraph"/>
        <w:numPr>
          <w:ilvl w:val="0"/>
          <w:numId w:val="3"/>
        </w:numPr>
        <w:spacing w:before="240" w:after="240" w:line="360" w:lineRule="auto"/>
        <w:rPr>
          <w:lang w:val="en-GB"/>
        </w:rPr>
      </w:pPr>
      <w:r>
        <w:rPr>
          <w:color w:val="000000"/>
          <w:lang w:val="en-GB"/>
        </w:rPr>
        <w:t xml:space="preserve">utilisation of second line </w:t>
      </w:r>
      <w:r w:rsidR="007C78D9" w:rsidRPr="007C78D9">
        <w:rPr>
          <w:color w:val="000000"/>
          <w:lang w:val="en-GB"/>
        </w:rPr>
        <w:t>DMARD</w:t>
      </w:r>
      <w:r>
        <w:rPr>
          <w:color w:val="000000"/>
          <w:lang w:val="en-GB"/>
        </w:rPr>
        <w:t>s</w:t>
      </w:r>
      <w:r w:rsidR="007C78D9" w:rsidRPr="007C78D9">
        <w:rPr>
          <w:color w:val="000000"/>
          <w:lang w:val="en-GB"/>
        </w:rPr>
        <w:t xml:space="preserve"> d</w:t>
      </w:r>
      <w:r w:rsidR="007C78D9">
        <w:rPr>
          <w:color w:val="000000"/>
          <w:lang w:val="en-GB"/>
        </w:rPr>
        <w:t>uring the first year and during the first five years following RA diagnosis</w:t>
      </w:r>
    </w:p>
    <w:p w14:paraId="4E9F01E8" w14:textId="329923B0" w:rsidR="007C78D9" w:rsidRPr="002C78CA" w:rsidRDefault="007C78D9" w:rsidP="007C78D9">
      <w:pPr>
        <w:pStyle w:val="ListParagraph"/>
        <w:numPr>
          <w:ilvl w:val="0"/>
          <w:numId w:val="3"/>
        </w:numPr>
        <w:spacing w:before="240" w:after="240" w:line="360" w:lineRule="auto"/>
        <w:rPr>
          <w:lang w:val="en-GB"/>
        </w:rPr>
      </w:pPr>
      <w:r>
        <w:rPr>
          <w:color w:val="000000"/>
          <w:lang w:val="en-GB"/>
        </w:rPr>
        <w:t>Proportion of patients not being treated with first line DMARDs</w:t>
      </w:r>
      <w:r w:rsidR="00385A73">
        <w:rPr>
          <w:color w:val="000000"/>
          <w:lang w:val="en-GB"/>
        </w:rPr>
        <w:t xml:space="preserve"> following RA diagnosis</w:t>
      </w:r>
    </w:p>
    <w:p w14:paraId="789F0538" w14:textId="083663F7" w:rsidR="009C7AB4" w:rsidRPr="002C78CA" w:rsidRDefault="002C78CA" w:rsidP="00E80E86">
      <w:pPr>
        <w:pStyle w:val="ListParagraph"/>
        <w:numPr>
          <w:ilvl w:val="0"/>
          <w:numId w:val="3"/>
        </w:numPr>
        <w:spacing w:before="240" w:after="240" w:line="360" w:lineRule="auto"/>
        <w:rPr>
          <w:lang w:val="en-GB"/>
        </w:rPr>
      </w:pPr>
      <w:r>
        <w:rPr>
          <w:color w:val="000000"/>
          <w:lang w:val="en-GB"/>
        </w:rPr>
        <w:t>Characterize use of DMARDs over calendar time</w:t>
      </w:r>
    </w:p>
    <w:p w14:paraId="460420A4" w14:textId="77777777" w:rsidR="00795C1C" w:rsidRPr="002C78CA" w:rsidRDefault="00B0356B">
      <w:pPr>
        <w:pStyle w:val="Heading1"/>
        <w:rPr>
          <w:lang w:val="en-GB"/>
        </w:rPr>
      </w:pPr>
      <w:bookmarkStart w:id="5" w:name="_q6jre3qcf94t" w:colFirst="0" w:colLast="0"/>
      <w:bookmarkEnd w:id="5"/>
      <w:r w:rsidRPr="002C78CA">
        <w:rPr>
          <w:lang w:val="en-GB"/>
        </w:rPr>
        <w:t>Methods</w:t>
      </w:r>
    </w:p>
    <w:p w14:paraId="27650E51" w14:textId="77777777" w:rsidR="00795C1C" w:rsidRPr="002C78CA" w:rsidRDefault="00B0356B">
      <w:pPr>
        <w:pStyle w:val="Heading2"/>
        <w:rPr>
          <w:lang w:val="en-GB"/>
        </w:rPr>
      </w:pPr>
      <w:bookmarkStart w:id="6" w:name="_xs8iyv9fb546" w:colFirst="0" w:colLast="0"/>
      <w:bookmarkEnd w:id="6"/>
      <w:r w:rsidRPr="002C78CA">
        <w:rPr>
          <w:lang w:val="en-GB"/>
        </w:rPr>
        <w:t>Study design</w:t>
      </w:r>
    </w:p>
    <w:p w14:paraId="538C1F43" w14:textId="51038975" w:rsidR="002C78CA" w:rsidRDefault="00B0356B">
      <w:pPr>
        <w:spacing w:line="360" w:lineRule="auto"/>
        <w:rPr>
          <w:lang w:val="en-GB"/>
        </w:rPr>
      </w:pPr>
      <w:r w:rsidRPr="002C78CA">
        <w:rPr>
          <w:lang w:val="en-GB"/>
        </w:rPr>
        <w:t xml:space="preserve">The study will be a </w:t>
      </w:r>
      <w:r w:rsidR="008F3111">
        <w:rPr>
          <w:lang w:val="en-GB"/>
        </w:rPr>
        <w:t xml:space="preserve">retrospective </w:t>
      </w:r>
      <w:r w:rsidRPr="002C78CA">
        <w:rPr>
          <w:lang w:val="en-GB"/>
        </w:rPr>
        <w:t xml:space="preserve">cohort study based on routine-collected health care data which has been mapped to the Observational Medical Outcomes Partnership (OMOP) Common Data Model (CDM). </w:t>
      </w:r>
    </w:p>
    <w:p w14:paraId="53958347" w14:textId="4BC49769" w:rsidR="008F3111" w:rsidRDefault="008F3111" w:rsidP="008F3111">
      <w:pPr>
        <w:pStyle w:val="Heading2"/>
        <w:rPr>
          <w:lang w:val="en-GB"/>
        </w:rPr>
      </w:pPr>
      <w:r>
        <w:rPr>
          <w:lang w:val="en-GB"/>
        </w:rPr>
        <w:t>Data Sources</w:t>
      </w:r>
    </w:p>
    <w:p w14:paraId="736D24DA" w14:textId="69466736" w:rsidR="008F3111" w:rsidRDefault="008F3111" w:rsidP="008F3111">
      <w:pPr>
        <w:spacing w:line="360" w:lineRule="auto"/>
        <w:rPr>
          <w:lang w:val="en-GB"/>
        </w:rPr>
      </w:pPr>
      <w:r>
        <w:rPr>
          <w:lang w:val="en-GB"/>
        </w:rPr>
        <w:t>R</w:t>
      </w:r>
      <w:r w:rsidRPr="002C78CA">
        <w:rPr>
          <w:lang w:val="en-GB"/>
        </w:rPr>
        <w:t xml:space="preserve">outine-collected health care data which has been mapped to the Observational Medical Outcomes Partnership (OMOP) Common Data Model (CDM). </w:t>
      </w:r>
    </w:p>
    <w:p w14:paraId="0696B0B4" w14:textId="5806F579" w:rsidR="002C78CA" w:rsidRDefault="002C78CA" w:rsidP="002C78CA">
      <w:pPr>
        <w:pStyle w:val="Heading2"/>
        <w:rPr>
          <w:lang w:val="en-GB"/>
        </w:rPr>
      </w:pPr>
      <w:r>
        <w:rPr>
          <w:lang w:val="en-GB"/>
        </w:rPr>
        <w:t>Study Period</w:t>
      </w:r>
    </w:p>
    <w:p w14:paraId="6AE311FD" w14:textId="033E925E" w:rsidR="00795C1C" w:rsidRPr="002C78CA" w:rsidRDefault="00B0356B">
      <w:pPr>
        <w:spacing w:line="360" w:lineRule="auto"/>
        <w:rPr>
          <w:lang w:val="en-GB"/>
        </w:rPr>
      </w:pPr>
      <w:r w:rsidRPr="002C78CA">
        <w:rPr>
          <w:lang w:val="en-GB"/>
        </w:rPr>
        <w:t xml:space="preserve">The study period, </w:t>
      </w:r>
      <w:r w:rsidR="002C78CA">
        <w:rPr>
          <w:lang w:val="en-GB"/>
        </w:rPr>
        <w:t>when</w:t>
      </w:r>
      <w:r w:rsidRPr="002C78CA">
        <w:rPr>
          <w:lang w:val="en-GB"/>
        </w:rPr>
        <w:t xml:space="preserve"> index events</w:t>
      </w:r>
      <w:r w:rsidR="002C78CA">
        <w:rPr>
          <w:lang w:val="en-GB"/>
        </w:rPr>
        <w:t xml:space="preserve"> </w:t>
      </w:r>
      <w:r w:rsidRPr="002C78CA">
        <w:rPr>
          <w:lang w:val="en-GB"/>
        </w:rPr>
        <w:t>can be observed, will end at the latest on 31/12/201</w:t>
      </w:r>
      <w:r w:rsidR="00FB5A7E">
        <w:rPr>
          <w:lang w:val="en-GB"/>
        </w:rPr>
        <w:t>8</w:t>
      </w:r>
      <w:r w:rsidRPr="002C78CA">
        <w:rPr>
          <w:lang w:val="en-GB"/>
        </w:rPr>
        <w:t xml:space="preserve"> for all data sources. The start date for the study period will be </w:t>
      </w:r>
      <w:r w:rsidR="00FB5A7E">
        <w:rPr>
          <w:lang w:val="en-GB"/>
        </w:rPr>
        <w:t xml:space="preserve">from 01/01/2000 or </w:t>
      </w:r>
      <w:r w:rsidRPr="002C78CA">
        <w:rPr>
          <w:lang w:val="en-GB"/>
        </w:rPr>
        <w:t xml:space="preserve">from the start of the first available observation periods in the data source with </w:t>
      </w:r>
      <w:proofErr w:type="gramStart"/>
      <w:r w:rsidRPr="002C78CA">
        <w:rPr>
          <w:lang w:val="en-GB"/>
        </w:rPr>
        <w:t>sufficient</w:t>
      </w:r>
      <w:proofErr w:type="gramEnd"/>
      <w:r w:rsidRPr="002C78CA">
        <w:rPr>
          <w:lang w:val="en-GB"/>
        </w:rPr>
        <w:t xml:space="preserve"> data quality to address the study questions</w:t>
      </w:r>
      <w:r w:rsidR="00FB5A7E">
        <w:rPr>
          <w:lang w:val="en-GB"/>
        </w:rPr>
        <w:t xml:space="preserve"> whichever comes last</w:t>
      </w:r>
      <w:r w:rsidRPr="002C78CA">
        <w:rPr>
          <w:lang w:val="en-GB"/>
        </w:rPr>
        <w:t>.</w:t>
      </w:r>
    </w:p>
    <w:p w14:paraId="2BDC3682" w14:textId="2DD6F203" w:rsidR="00FB5A7E" w:rsidRDefault="00B0356B" w:rsidP="00FB5A7E">
      <w:pPr>
        <w:pStyle w:val="Heading2"/>
        <w:rPr>
          <w:lang w:val="en-GB"/>
        </w:rPr>
      </w:pPr>
      <w:bookmarkStart w:id="7" w:name="_qhj50070p6pg" w:colFirst="0" w:colLast="0"/>
      <w:bookmarkEnd w:id="7"/>
      <w:r w:rsidRPr="002C78CA">
        <w:rPr>
          <w:lang w:val="en-GB"/>
        </w:rPr>
        <w:t>Study participants</w:t>
      </w:r>
    </w:p>
    <w:p w14:paraId="3DE48871" w14:textId="70F73937" w:rsidR="00FB5A7E" w:rsidRPr="00FB5A7E" w:rsidRDefault="00FB5A7E" w:rsidP="00FB5A7E">
      <w:pPr>
        <w:spacing w:line="360" w:lineRule="auto"/>
        <w:jc w:val="both"/>
        <w:rPr>
          <w:lang w:val="en-GB"/>
        </w:rPr>
      </w:pPr>
      <w:r w:rsidRPr="00FB5A7E">
        <w:rPr>
          <w:lang w:val="en-GB"/>
        </w:rPr>
        <w:t>The study population consists of DMARD naive rheumatoid arthritis (RA) patients. Patients are indexed</w:t>
      </w:r>
      <w:r w:rsidR="00A7302C">
        <w:rPr>
          <w:lang w:val="en-GB"/>
        </w:rPr>
        <w:t xml:space="preserve"> (= index date)</w:t>
      </w:r>
      <w:r w:rsidRPr="00FB5A7E">
        <w:rPr>
          <w:lang w:val="en-GB"/>
        </w:rPr>
        <w:t xml:space="preserve"> based on the earlier of their first RA diagnosis </w:t>
      </w:r>
      <w:r w:rsidR="00DA269D">
        <w:rPr>
          <w:lang w:val="en-GB"/>
        </w:rPr>
        <w:t>(see appendix</w:t>
      </w:r>
      <w:r w:rsidR="00053B7A">
        <w:rPr>
          <w:lang w:val="en-GB"/>
        </w:rPr>
        <w:t xml:space="preserve"> – table 2</w:t>
      </w:r>
      <w:r w:rsidR="00DA269D">
        <w:rPr>
          <w:lang w:val="en-GB"/>
        </w:rPr>
        <w:t xml:space="preserve">) </w:t>
      </w:r>
      <w:r w:rsidRPr="00FB5A7E">
        <w:rPr>
          <w:lang w:val="en-GB"/>
        </w:rPr>
        <w:t xml:space="preserve">in their history or the initiation of a DMARD with an RA diagnosis within 30 days of the drug exposure. Patients are required to be ≥ 18 years at index, have no inflammatory </w:t>
      </w:r>
      <w:r w:rsidRPr="00FB5A7E">
        <w:rPr>
          <w:lang w:val="en-GB"/>
        </w:rPr>
        <w:lastRenderedPageBreak/>
        <w:t>arthropathies</w:t>
      </w:r>
      <w:r w:rsidR="00DA269D">
        <w:rPr>
          <w:lang w:val="en-GB"/>
        </w:rPr>
        <w:t xml:space="preserve"> (see appendix</w:t>
      </w:r>
      <w:r w:rsidR="00053B7A">
        <w:rPr>
          <w:lang w:val="en-GB"/>
        </w:rPr>
        <w:t xml:space="preserve"> table 3</w:t>
      </w:r>
      <w:r w:rsidR="00DA269D">
        <w:rPr>
          <w:lang w:val="en-GB"/>
        </w:rPr>
        <w:t xml:space="preserve">) </w:t>
      </w:r>
      <w:r w:rsidRPr="00FB5A7E">
        <w:rPr>
          <w:lang w:val="en-GB"/>
        </w:rPr>
        <w:t>in any time prior (</w:t>
      </w:r>
      <w:r w:rsidRPr="002C78CA">
        <w:rPr>
          <w:lang w:val="en-GB"/>
        </w:rPr>
        <w:t>psoriatic arthritis, ankylosing spondylitis, reactive arthritis, and any axial spondyloarthropathy</w:t>
      </w:r>
      <w:r w:rsidRPr="00FB5A7E">
        <w:rPr>
          <w:lang w:val="en-GB"/>
        </w:rPr>
        <w:t xml:space="preserve">), have ≥ 365 days of prior continuous observation and 365 days post-index time. </w:t>
      </w:r>
    </w:p>
    <w:p w14:paraId="438A7AE9" w14:textId="77777777" w:rsidR="00795C1C" w:rsidRPr="002C78CA" w:rsidRDefault="00B0356B">
      <w:pPr>
        <w:pStyle w:val="Heading2"/>
        <w:rPr>
          <w:lang w:val="en-GB"/>
        </w:rPr>
      </w:pPr>
      <w:bookmarkStart w:id="8" w:name="_5mjmnhpnklne" w:colFirst="0" w:colLast="0"/>
      <w:bookmarkEnd w:id="8"/>
      <w:r w:rsidRPr="002C78CA">
        <w:rPr>
          <w:lang w:val="en-GB"/>
        </w:rPr>
        <w:t>Variables</w:t>
      </w:r>
    </w:p>
    <w:p w14:paraId="329A2219" w14:textId="77777777" w:rsidR="00795C1C" w:rsidRPr="002C78CA" w:rsidRDefault="00B0356B">
      <w:pPr>
        <w:pStyle w:val="Heading3"/>
        <w:rPr>
          <w:lang w:val="en-GB"/>
        </w:rPr>
      </w:pPr>
      <w:bookmarkStart w:id="9" w:name="_yx8pmk7p95m3" w:colFirst="0" w:colLast="0"/>
      <w:bookmarkEnd w:id="9"/>
      <w:r w:rsidRPr="002C78CA">
        <w:rPr>
          <w:lang w:val="en-GB"/>
        </w:rPr>
        <w:t>Exposure of interest</w:t>
      </w:r>
    </w:p>
    <w:p w14:paraId="5C3B8F10" w14:textId="0F097117" w:rsidR="00A7302C" w:rsidRDefault="00B0356B" w:rsidP="00FB5A7E">
      <w:pPr>
        <w:spacing w:line="360" w:lineRule="auto"/>
        <w:jc w:val="both"/>
        <w:rPr>
          <w:lang w:val="en-GB"/>
        </w:rPr>
      </w:pPr>
      <w:r w:rsidRPr="002C78CA">
        <w:rPr>
          <w:lang w:val="en-GB"/>
        </w:rPr>
        <w:t>A drug utilisation record of a DMARD (</w:t>
      </w:r>
      <w:bookmarkStart w:id="10" w:name="_GoBack"/>
      <w:r w:rsidRPr="002C78CA">
        <w:rPr>
          <w:lang w:val="en-GB"/>
        </w:rPr>
        <w:t>biologic</w:t>
      </w:r>
      <w:bookmarkEnd w:id="10"/>
      <w:r w:rsidRPr="002C78CA">
        <w:rPr>
          <w:lang w:val="en-GB"/>
        </w:rPr>
        <w:t xml:space="preserve"> DMARD, </w:t>
      </w:r>
      <w:proofErr w:type="spellStart"/>
      <w:r w:rsidRPr="002C78CA">
        <w:rPr>
          <w:lang w:val="en-GB"/>
        </w:rPr>
        <w:t>tsDMARD</w:t>
      </w:r>
      <w:proofErr w:type="spellEnd"/>
      <w:r w:rsidRPr="002C78CA">
        <w:rPr>
          <w:lang w:val="en-GB"/>
        </w:rPr>
        <w:t xml:space="preserve">, or </w:t>
      </w:r>
      <w:proofErr w:type="spellStart"/>
      <w:r w:rsidRPr="002C78CA">
        <w:rPr>
          <w:lang w:val="en-GB"/>
        </w:rPr>
        <w:t>csDMARD</w:t>
      </w:r>
      <w:proofErr w:type="spellEnd"/>
      <w:r w:rsidRPr="002C78CA">
        <w:rPr>
          <w:lang w:val="en-GB"/>
        </w:rPr>
        <w:t xml:space="preserve">) will be identified </w:t>
      </w:r>
      <w:proofErr w:type="gramStart"/>
      <w:r w:rsidRPr="002C78CA">
        <w:rPr>
          <w:lang w:val="en-GB"/>
        </w:rPr>
        <w:t>on the basis of</w:t>
      </w:r>
      <w:proofErr w:type="gramEnd"/>
      <w:r w:rsidRPr="002C78CA">
        <w:rPr>
          <w:lang w:val="en-GB"/>
        </w:rPr>
        <w:t xml:space="preserve"> the records in the drug exposure table in the CDM. </w:t>
      </w:r>
      <w:r w:rsidR="00A7302C">
        <w:rPr>
          <w:lang w:val="en-GB"/>
        </w:rPr>
        <w:t>(see appendix</w:t>
      </w:r>
      <w:r w:rsidR="00053B7A">
        <w:rPr>
          <w:lang w:val="en-GB"/>
        </w:rPr>
        <w:t xml:space="preserve"> – table 1</w:t>
      </w:r>
      <w:r w:rsidR="00A7302C">
        <w:rPr>
          <w:lang w:val="en-GB"/>
        </w:rPr>
        <w:t xml:space="preserve">). </w:t>
      </w:r>
      <w:r w:rsidR="00A7302C" w:rsidRPr="00A7302C">
        <w:rPr>
          <w:lang w:val="en-GB"/>
        </w:rPr>
        <w:t>Minocycline was also included in the analysis since this drug is approved for treatment of RA in Japan.</w:t>
      </w:r>
    </w:p>
    <w:p w14:paraId="5E1AF0AC" w14:textId="35019DE7" w:rsidR="00795C1C" w:rsidRPr="00053B7A" w:rsidRDefault="00A7302C" w:rsidP="00FB5A7E">
      <w:pPr>
        <w:spacing w:line="360" w:lineRule="auto"/>
        <w:jc w:val="both"/>
        <w:rPr>
          <w:lang w:val="en-GB"/>
        </w:rPr>
      </w:pPr>
      <w:r>
        <w:rPr>
          <w:lang w:val="en-GB"/>
        </w:rPr>
        <w:t xml:space="preserve">The drug exposure table </w:t>
      </w:r>
      <w:r w:rsidR="00B0356B" w:rsidRPr="002C78CA">
        <w:rPr>
          <w:lang w:val="en-GB"/>
        </w:rPr>
        <w:t>contains records about the utilisation of drugs, which depending on the data source</w:t>
      </w:r>
      <w:r w:rsidR="007A6188" w:rsidRPr="007A6188">
        <w:rPr>
          <w:lang w:val="en-GB"/>
        </w:rPr>
        <w:t>,</w:t>
      </w:r>
      <w:r w:rsidR="00B0356B" w:rsidRPr="002C78CA">
        <w:rPr>
          <w:lang w:val="en-GB"/>
        </w:rPr>
        <w:t xml:space="preserve"> may be inferred from a range of concepts, such as prescriptions written, pharmacy dispensations, or patient recollection.</w:t>
      </w:r>
      <w:r w:rsidR="00053B7A">
        <w:rPr>
          <w:lang w:val="en-GB"/>
        </w:rPr>
        <w:t xml:space="preserve"> </w:t>
      </w:r>
      <w:r w:rsidR="00053B7A" w:rsidRPr="00053B7A">
        <w:rPr>
          <w:lang w:val="en-GB"/>
        </w:rPr>
        <w:t>Drug exposure in the CDM is standardised to RxNorm concepts. This has as advantage that the drug exposure contains details of ingredients, strength, and formulation (Clinical Drug Level), which is not directly available from the ATC code.</w:t>
      </w:r>
    </w:p>
    <w:p w14:paraId="4A8FDD49" w14:textId="574D1614" w:rsidR="00795C1C" w:rsidRDefault="00B0356B" w:rsidP="00FB5A7E">
      <w:pPr>
        <w:spacing w:line="360" w:lineRule="auto"/>
        <w:jc w:val="both"/>
        <w:rPr>
          <w:lang w:val="en-GB"/>
        </w:rPr>
      </w:pPr>
      <w:r w:rsidRPr="002C78CA">
        <w:rPr>
          <w:lang w:val="en-GB"/>
        </w:rPr>
        <w:t xml:space="preserve">For the </w:t>
      </w:r>
      <w:r w:rsidRPr="002C78CA">
        <w:rPr>
          <w:i/>
          <w:lang w:val="en-GB"/>
        </w:rPr>
        <w:t>DMARD cohort for DUS</w:t>
      </w:r>
      <w:r w:rsidRPr="002C78CA">
        <w:rPr>
          <w:lang w:val="en-GB"/>
        </w:rPr>
        <w:t xml:space="preserve">, the first drug utilisation record for a biologic DMARD, a </w:t>
      </w:r>
      <w:proofErr w:type="spellStart"/>
      <w:r w:rsidRPr="002C78CA">
        <w:rPr>
          <w:lang w:val="en-GB"/>
        </w:rPr>
        <w:t>tsDMARD</w:t>
      </w:r>
      <w:proofErr w:type="spellEnd"/>
      <w:r w:rsidRPr="002C78CA">
        <w:rPr>
          <w:lang w:val="en-GB"/>
        </w:rPr>
        <w:t xml:space="preserve"> or a </w:t>
      </w:r>
      <w:proofErr w:type="spellStart"/>
      <w:r w:rsidRPr="002C78CA">
        <w:rPr>
          <w:lang w:val="en-GB"/>
        </w:rPr>
        <w:t>csDMARD</w:t>
      </w:r>
      <w:proofErr w:type="spellEnd"/>
      <w:r w:rsidRPr="002C78CA">
        <w:rPr>
          <w:lang w:val="en-GB"/>
        </w:rPr>
        <w:t xml:space="preserve"> will be identified. </w:t>
      </w:r>
    </w:p>
    <w:p w14:paraId="4354EF15" w14:textId="711B91A8" w:rsidR="00734A30" w:rsidRDefault="00734A30" w:rsidP="00734A30">
      <w:pPr>
        <w:pStyle w:val="Heading4"/>
        <w:rPr>
          <w:lang w:val="en-GB"/>
        </w:rPr>
      </w:pPr>
      <w:r>
        <w:rPr>
          <w:lang w:val="en-GB"/>
        </w:rPr>
        <w:t>Creation of drug eras</w:t>
      </w:r>
    </w:p>
    <w:p w14:paraId="141B42EF" w14:textId="47792633" w:rsidR="00734A30" w:rsidRPr="00734A30" w:rsidRDefault="00734A30" w:rsidP="00734A30">
      <w:pPr>
        <w:spacing w:line="360" w:lineRule="auto"/>
        <w:jc w:val="both"/>
        <w:rPr>
          <w:lang w:val="en-GB"/>
        </w:rPr>
      </w:pPr>
      <w:r w:rsidRPr="00734A30">
        <w:rPr>
          <w:lang w:val="en-GB"/>
        </w:rPr>
        <w:t xml:space="preserve">From the individual drug exposures, drug eras will be created. A Drug Era is defined as a span of time when the person is assumed to be exposed to a </w:t>
      </w:r>
      <w:proofErr w:type="gramStart"/>
      <w:r w:rsidRPr="00734A30">
        <w:rPr>
          <w:lang w:val="en-GB"/>
        </w:rPr>
        <w:t>particular active</w:t>
      </w:r>
      <w:proofErr w:type="gramEnd"/>
      <w:r w:rsidRPr="00734A30">
        <w:rPr>
          <w:lang w:val="en-GB"/>
        </w:rPr>
        <w:t xml:space="preserve"> ingredient. A Drug Era is not the same as a Drug Exposure: Exposures are individual records corresponding to the source when the drug was delivered to the person, while successive periods of Drug Exposure are combined under certain rules to produce continuous Drug Eras.</w:t>
      </w:r>
    </w:p>
    <w:p w14:paraId="0C291B74" w14:textId="77777777" w:rsidR="00795C1C" w:rsidRPr="002C78CA" w:rsidRDefault="00B0356B">
      <w:pPr>
        <w:pStyle w:val="Heading3"/>
        <w:rPr>
          <w:lang w:val="en-GB"/>
        </w:rPr>
      </w:pPr>
      <w:bookmarkStart w:id="11" w:name="_75psbmfqoze9" w:colFirst="0" w:colLast="0"/>
      <w:bookmarkEnd w:id="11"/>
      <w:r w:rsidRPr="002C78CA">
        <w:rPr>
          <w:lang w:val="en-GB"/>
        </w:rPr>
        <w:t>Patient characteristics at index date</w:t>
      </w:r>
    </w:p>
    <w:p w14:paraId="200EF421" w14:textId="44D4C7D2" w:rsidR="00795C1C" w:rsidRDefault="00B0356B" w:rsidP="00A7302C">
      <w:pPr>
        <w:spacing w:line="360" w:lineRule="auto"/>
        <w:jc w:val="both"/>
        <w:rPr>
          <w:lang w:val="en-GB"/>
        </w:rPr>
      </w:pPr>
      <w:r w:rsidRPr="002C78CA">
        <w:rPr>
          <w:lang w:val="en-GB"/>
        </w:rPr>
        <w:t xml:space="preserve">Diagnosis of rheumatoid arthritis will be required for defining the study cohorts. These will be identified </w:t>
      </w:r>
      <w:proofErr w:type="gramStart"/>
      <w:r w:rsidRPr="002C78CA">
        <w:rPr>
          <w:lang w:val="en-GB"/>
        </w:rPr>
        <w:t>on the basis of</w:t>
      </w:r>
      <w:proofErr w:type="gramEnd"/>
      <w:r w:rsidRPr="002C78CA">
        <w:rPr>
          <w:lang w:val="en-GB"/>
        </w:rPr>
        <w:t xml:space="preserve"> records in the condition occurrence table in the CDM. </w:t>
      </w:r>
      <w:r w:rsidR="00A7302C">
        <w:rPr>
          <w:lang w:val="en-GB"/>
        </w:rPr>
        <w:t xml:space="preserve">(see appendix) </w:t>
      </w:r>
      <w:r w:rsidRPr="002C78CA">
        <w:rPr>
          <w:lang w:val="en-GB"/>
        </w:rPr>
        <w:t xml:space="preserve">This table includes records which indicate the presence of a medical condition, typically based on the presence of diagnosis codes. </w:t>
      </w:r>
    </w:p>
    <w:p w14:paraId="78B8584C" w14:textId="3202A8D1" w:rsidR="00795C1C" w:rsidRPr="002C78CA" w:rsidRDefault="00B0356B" w:rsidP="00A7302C">
      <w:pPr>
        <w:spacing w:line="360" w:lineRule="auto"/>
        <w:jc w:val="both"/>
        <w:rPr>
          <w:lang w:val="en-GB"/>
        </w:rPr>
      </w:pPr>
      <w:r w:rsidRPr="002C78CA">
        <w:rPr>
          <w:lang w:val="en-GB"/>
        </w:rPr>
        <w:t xml:space="preserve">Study participants demographics (gender, age, observation time prior to their index date, and their index year and month) will be identified. Prior diagnoses, procedures, measurements and measurement values, and devices will be identified up to, and including, their index date. </w:t>
      </w:r>
    </w:p>
    <w:p w14:paraId="1AE51BA7" w14:textId="341FFF14" w:rsidR="00795C1C" w:rsidRPr="002C78CA" w:rsidRDefault="00E91C8B">
      <w:pPr>
        <w:pStyle w:val="Heading2"/>
        <w:rPr>
          <w:lang w:val="en-GB"/>
        </w:rPr>
      </w:pPr>
      <w:bookmarkStart w:id="12" w:name="_mc6pbn8nmpke" w:colFirst="0" w:colLast="0"/>
      <w:bookmarkStart w:id="13" w:name="_be6eicicdwmr" w:colFirst="0" w:colLast="0"/>
      <w:bookmarkStart w:id="14" w:name="_6f2vmfr8avgs" w:colFirst="0" w:colLast="0"/>
      <w:bookmarkEnd w:id="12"/>
      <w:bookmarkEnd w:id="13"/>
      <w:bookmarkEnd w:id="14"/>
      <w:r>
        <w:rPr>
          <w:lang w:val="en-GB"/>
        </w:rPr>
        <w:lastRenderedPageBreak/>
        <w:t>Follow-up time</w:t>
      </w:r>
    </w:p>
    <w:p w14:paraId="2BF3C6F0" w14:textId="40286A80" w:rsidR="0033711C" w:rsidRPr="002C78CA" w:rsidRDefault="00E91C8B">
      <w:pPr>
        <w:spacing w:before="240" w:after="240" w:line="360" w:lineRule="auto"/>
        <w:rPr>
          <w:lang w:val="en-GB"/>
        </w:rPr>
      </w:pPr>
      <w:r>
        <w:rPr>
          <w:lang w:val="en-GB"/>
        </w:rPr>
        <w:t xml:space="preserve">Follow-up will </w:t>
      </w:r>
      <w:r w:rsidR="00B0356B" w:rsidRPr="002C78CA">
        <w:rPr>
          <w:lang w:val="en-GB"/>
        </w:rPr>
        <w:t xml:space="preserve">start from the day of the index </w:t>
      </w:r>
      <w:r>
        <w:rPr>
          <w:lang w:val="en-GB"/>
        </w:rPr>
        <w:t xml:space="preserve">date up to 1 or 5 years. </w:t>
      </w:r>
      <w:r w:rsidR="00B0356B" w:rsidRPr="002C78CA">
        <w:rPr>
          <w:lang w:val="en-GB"/>
        </w:rPr>
        <w:t xml:space="preserve"> </w:t>
      </w:r>
    </w:p>
    <w:p w14:paraId="23261C3C" w14:textId="77777777" w:rsidR="00795C1C" w:rsidRPr="002C78CA" w:rsidRDefault="00B0356B">
      <w:pPr>
        <w:pStyle w:val="Heading2"/>
        <w:rPr>
          <w:lang w:val="en-GB"/>
        </w:rPr>
      </w:pPr>
      <w:bookmarkStart w:id="15" w:name="_yajeth2n3wak" w:colFirst="0" w:colLast="0"/>
      <w:bookmarkEnd w:id="15"/>
      <w:r w:rsidRPr="002C78CA">
        <w:rPr>
          <w:lang w:val="en-GB"/>
        </w:rPr>
        <w:t>Analytic methods</w:t>
      </w:r>
    </w:p>
    <w:p w14:paraId="081601FE" w14:textId="77777777" w:rsidR="00795C1C" w:rsidRPr="002C78CA" w:rsidRDefault="00B0356B">
      <w:pPr>
        <w:pStyle w:val="Heading3"/>
        <w:rPr>
          <w:lang w:val="en-GB"/>
        </w:rPr>
      </w:pPr>
      <w:bookmarkStart w:id="16" w:name="_q88rfhaqgqza" w:colFirst="0" w:colLast="0"/>
      <w:bookmarkEnd w:id="16"/>
      <w:r w:rsidRPr="002C78CA">
        <w:rPr>
          <w:lang w:val="en-GB"/>
        </w:rPr>
        <w:t>Drug utilisation study</w:t>
      </w:r>
    </w:p>
    <w:p w14:paraId="61287908" w14:textId="1A8EFEFB" w:rsidR="00E91C8B" w:rsidRDefault="00B0356B" w:rsidP="000B295A">
      <w:pPr>
        <w:spacing w:after="120" w:line="360" w:lineRule="auto"/>
        <w:jc w:val="both"/>
        <w:rPr>
          <w:lang w:val="en-GB"/>
        </w:rPr>
      </w:pPr>
      <w:r w:rsidRPr="002C78CA">
        <w:rPr>
          <w:lang w:val="en-GB"/>
        </w:rPr>
        <w:t xml:space="preserve">This study will describe the treatment pathways (13) of </w:t>
      </w:r>
      <w:r w:rsidR="007A6188" w:rsidRPr="007A6188">
        <w:rPr>
          <w:lang w:val="en-GB"/>
        </w:rPr>
        <w:t>patient</w:t>
      </w:r>
      <w:r w:rsidR="007A6188">
        <w:rPr>
          <w:lang w:val="en-GB"/>
        </w:rPr>
        <w:t>s diagnosed with RA</w:t>
      </w:r>
      <w:r w:rsidRPr="002C78CA">
        <w:rPr>
          <w:lang w:val="en-GB"/>
        </w:rPr>
        <w:t xml:space="preserve">. The analysis will calculate the aggregate summary statistics for each </w:t>
      </w:r>
      <w:r w:rsidR="00E91C8B">
        <w:rPr>
          <w:lang w:val="en-GB"/>
        </w:rPr>
        <w:t xml:space="preserve">RA cohort </w:t>
      </w:r>
      <w:r w:rsidRPr="002C78CA">
        <w:rPr>
          <w:lang w:val="en-GB"/>
        </w:rPr>
        <w:t>to d</w:t>
      </w:r>
      <w:r w:rsidR="00E91C8B">
        <w:rPr>
          <w:lang w:val="en-GB"/>
        </w:rPr>
        <w:t>e</w:t>
      </w:r>
      <w:r w:rsidRPr="002C78CA">
        <w:rPr>
          <w:lang w:val="en-GB"/>
        </w:rPr>
        <w:t xml:space="preserve">termine the treatment pathway for each of the DMARDs in the study (see </w:t>
      </w:r>
      <w:r w:rsidR="00E91C8B">
        <w:rPr>
          <w:lang w:val="en-GB"/>
        </w:rPr>
        <w:t>Appendix</w:t>
      </w:r>
      <w:r w:rsidRPr="002C78CA">
        <w:rPr>
          <w:lang w:val="en-GB"/>
        </w:rPr>
        <w:t xml:space="preserve">). </w:t>
      </w:r>
    </w:p>
    <w:p w14:paraId="330FC6F3" w14:textId="3CF8734F" w:rsidR="00E91C8B" w:rsidRDefault="00E91C8B" w:rsidP="000B295A">
      <w:pPr>
        <w:spacing w:after="120" w:line="360" w:lineRule="auto"/>
        <w:jc w:val="both"/>
        <w:rPr>
          <w:lang w:val="en-GB"/>
        </w:rPr>
      </w:pPr>
      <w:r>
        <w:rPr>
          <w:lang w:val="en-GB"/>
        </w:rPr>
        <w:t xml:space="preserve">Both the incidence and prevalence of RA will be calculated for each database in the study and expressed as number of new patients diagnosed with RA/1,000 individuals (for incident) or the number of patients with RA (prevalent)/1,000 individuals. This will be done by year, stratified by age and gender. We will also investigate the incidence and prevalence of other drugs commonly used in patients with RA such as NSAIDs and use of systemic steroids. </w:t>
      </w:r>
    </w:p>
    <w:p w14:paraId="4F5718BB" w14:textId="5B4E2D30" w:rsidR="00795C1C" w:rsidRPr="002C78CA" w:rsidRDefault="00B0356B" w:rsidP="00E91C8B">
      <w:pPr>
        <w:spacing w:line="360" w:lineRule="auto"/>
        <w:jc w:val="both"/>
        <w:rPr>
          <w:lang w:val="en-GB"/>
        </w:rPr>
      </w:pPr>
      <w:r w:rsidRPr="002C78CA">
        <w:rPr>
          <w:lang w:val="en-GB"/>
        </w:rPr>
        <w:t xml:space="preserve">For each of the cohorts, a sunburst diagram (14) is produced to describe the proportion of DMARD treatments for each treatment sequence observed in the target population. The sunburst diagram will have a maximum of 10 levels. </w:t>
      </w:r>
    </w:p>
    <w:p w14:paraId="5B5CA542" w14:textId="7318E887" w:rsidR="00795C1C" w:rsidRPr="002C78CA" w:rsidRDefault="00B0356B" w:rsidP="00E91C8B">
      <w:pPr>
        <w:spacing w:line="360" w:lineRule="auto"/>
        <w:jc w:val="both"/>
        <w:rPr>
          <w:lang w:val="en-GB"/>
        </w:rPr>
      </w:pPr>
      <w:r w:rsidRPr="002C78CA">
        <w:rPr>
          <w:lang w:val="en-GB"/>
        </w:rPr>
        <w:t xml:space="preserve">Each DMARD drug exposure will be calculated using a </w:t>
      </w:r>
      <w:proofErr w:type="gramStart"/>
      <w:r w:rsidR="00E91C8B">
        <w:rPr>
          <w:lang w:val="en-GB"/>
        </w:rPr>
        <w:t>9</w:t>
      </w:r>
      <w:r w:rsidRPr="002C78CA">
        <w:rPr>
          <w:lang w:val="en-GB"/>
        </w:rPr>
        <w:t>0 day</w:t>
      </w:r>
      <w:proofErr w:type="gramEnd"/>
      <w:r w:rsidRPr="002C78CA">
        <w:rPr>
          <w:lang w:val="en-GB"/>
        </w:rPr>
        <w:t xml:space="preserve"> window to combine exposures into a single continuous era of exposure. When different DMARD exposures overlap for 30 days or longer, the analysis will combine these drug exposures into a single combination. We will censor any DMARD exposure that has less than 10 people.</w:t>
      </w:r>
    </w:p>
    <w:p w14:paraId="27B3B537" w14:textId="343BC57D" w:rsidR="00E91C8B" w:rsidRDefault="00B0356B" w:rsidP="00E91C8B">
      <w:pPr>
        <w:spacing w:line="360" w:lineRule="auto"/>
        <w:jc w:val="both"/>
        <w:rPr>
          <w:lang w:val="en-GB"/>
        </w:rPr>
      </w:pPr>
      <w:r w:rsidRPr="002C78CA">
        <w:rPr>
          <w:lang w:val="en-GB"/>
        </w:rPr>
        <w:t xml:space="preserve">This analysis will provide information about the utilisation of all DMARDs as available in the contributing data source/s, allowing us to summarise the most prevalent first-line therapies utilised, the proportion of individuals that discontinue treatment, switch treatments or augment their therapy. </w:t>
      </w:r>
    </w:p>
    <w:p w14:paraId="0C3CC154" w14:textId="7BDEA6D8" w:rsidR="00795C1C" w:rsidRPr="002C78CA" w:rsidRDefault="00B0356B" w:rsidP="000B295A">
      <w:pPr>
        <w:spacing w:after="120" w:line="360" w:lineRule="auto"/>
        <w:jc w:val="both"/>
        <w:rPr>
          <w:lang w:val="en-GB"/>
        </w:rPr>
      </w:pPr>
      <w:r w:rsidRPr="002C78CA">
        <w:rPr>
          <w:lang w:val="en-GB"/>
        </w:rPr>
        <w:t>The way in which drug utilisation has changed over time will also be considered.</w:t>
      </w:r>
    </w:p>
    <w:p w14:paraId="5928ABF0" w14:textId="4B9A38F9" w:rsidR="00E91C8B" w:rsidRDefault="00B0356B" w:rsidP="00E91C8B">
      <w:pPr>
        <w:spacing w:line="360" w:lineRule="auto"/>
        <w:jc w:val="both"/>
        <w:rPr>
          <w:lang w:val="en-GB"/>
        </w:rPr>
      </w:pPr>
      <w:bookmarkStart w:id="17" w:name="_7mjmu376zk56" w:colFirst="0" w:colLast="0"/>
      <w:bookmarkEnd w:id="17"/>
      <w:r w:rsidRPr="002C78CA">
        <w:rPr>
          <w:lang w:val="en-GB"/>
        </w:rPr>
        <w:t>Analyses will be performed separately for each data source. Where results are acceptably consistent across databases, meta-analysis will be performed.</w:t>
      </w:r>
      <w:bookmarkStart w:id="18" w:name="_Toc29223470"/>
      <w:r w:rsidR="00E91C8B" w:rsidRPr="00E91C8B">
        <w:rPr>
          <w:lang w:val="en-GB"/>
        </w:rPr>
        <w:t xml:space="preserve"> </w:t>
      </w:r>
    </w:p>
    <w:p w14:paraId="6DE4EC76" w14:textId="77777777" w:rsidR="00174801" w:rsidRPr="00174801" w:rsidRDefault="00174801" w:rsidP="00174801">
      <w:pPr>
        <w:pStyle w:val="Heading1"/>
        <w:rPr>
          <w:lang w:val="en-GB"/>
        </w:rPr>
      </w:pPr>
      <w:bookmarkStart w:id="19" w:name="_Toc28956984"/>
      <w:r w:rsidRPr="00174801">
        <w:rPr>
          <w:lang w:val="en-GB"/>
        </w:rPr>
        <w:t>Study size</w:t>
      </w:r>
      <w:bookmarkEnd w:id="19"/>
    </w:p>
    <w:p w14:paraId="02505319" w14:textId="2E84CA5E" w:rsidR="00174801" w:rsidRPr="00BE5D76" w:rsidRDefault="00174801" w:rsidP="00174801">
      <w:pPr>
        <w:spacing w:line="360" w:lineRule="auto"/>
        <w:jc w:val="both"/>
        <w:rPr>
          <w:lang w:val="en-GB"/>
        </w:rPr>
      </w:pPr>
      <w:r w:rsidRPr="00BE5D76">
        <w:rPr>
          <w:lang w:val="en-GB"/>
        </w:rPr>
        <w:t xml:space="preserve">This study is a characterisation of all patient data captured in the data assets and meeting inclusion criteria for exposure to </w:t>
      </w:r>
      <w:r>
        <w:rPr>
          <w:lang w:val="en-GB"/>
        </w:rPr>
        <w:t>DMARDs</w:t>
      </w:r>
      <w:r w:rsidRPr="00BE5D76">
        <w:rPr>
          <w:lang w:val="en-GB"/>
        </w:rPr>
        <w:t xml:space="preserve">. No hypothesis will be tested. Therefore, sample size calculation for the ability to reject the null hypothesis </w:t>
      </w:r>
      <w:r w:rsidRPr="00174801">
        <w:rPr>
          <w:lang w:val="en-GB"/>
        </w:rPr>
        <w:t xml:space="preserve">given an effect size </w:t>
      </w:r>
      <w:r w:rsidRPr="00BE5D76">
        <w:rPr>
          <w:lang w:val="en-GB"/>
        </w:rPr>
        <w:t xml:space="preserve">will not be conducted. </w:t>
      </w:r>
    </w:p>
    <w:p w14:paraId="5DFA1DB4" w14:textId="77777777" w:rsidR="00734A30" w:rsidRDefault="00734A30" w:rsidP="00734A30">
      <w:pPr>
        <w:pStyle w:val="Heading1"/>
        <w:rPr>
          <w:lang w:val="en-GB"/>
        </w:rPr>
      </w:pPr>
      <w:bookmarkStart w:id="20" w:name="_Toc24459607"/>
      <w:bookmarkStart w:id="21" w:name="_Toc29223465"/>
      <w:r w:rsidRPr="00734A30">
        <w:rPr>
          <w:lang w:val="en-GB"/>
        </w:rPr>
        <w:lastRenderedPageBreak/>
        <w:t>Data Quality Checks</w:t>
      </w:r>
      <w:bookmarkEnd w:id="20"/>
      <w:bookmarkEnd w:id="21"/>
    </w:p>
    <w:p w14:paraId="74FB15D6" w14:textId="25A8F635" w:rsidR="00734A30" w:rsidRPr="00BE5D76" w:rsidRDefault="00734A30" w:rsidP="00734A30">
      <w:pPr>
        <w:spacing w:line="360" w:lineRule="auto"/>
        <w:jc w:val="both"/>
        <w:rPr>
          <w:lang w:val="en-GB"/>
        </w:rPr>
      </w:pPr>
      <w:r w:rsidRPr="00BE5D76">
        <w:rPr>
          <w:lang w:val="en-GB"/>
        </w:rPr>
        <w:t>OHDSI and EHDEN have developed multiple quality control mechanisms for the Common Data Model. These are described in high detail in Chapter 15 of The Book of OHDSI (</w:t>
      </w:r>
      <w:hyperlink r:id="rId8" w:history="1">
        <w:r w:rsidRPr="00734A30">
          <w:rPr>
            <w:lang w:val="en-GB"/>
          </w:rPr>
          <w:t>http://book.ohdsi.org/DataQuality.html</w:t>
        </w:r>
      </w:hyperlink>
      <w:r w:rsidRPr="00BE5D76">
        <w:rPr>
          <w:lang w:val="en-GB"/>
        </w:rPr>
        <w:t xml:space="preserve">). </w:t>
      </w:r>
      <w:r>
        <w:rPr>
          <w:lang w:val="en-GB"/>
        </w:rPr>
        <w:t>These quality control mechanisms are standard applied.</w:t>
      </w:r>
    </w:p>
    <w:p w14:paraId="2D6F2C1E" w14:textId="387CFE32" w:rsidR="00734A30" w:rsidRPr="00E91C8B" w:rsidRDefault="00734A30" w:rsidP="00E91C8B">
      <w:pPr>
        <w:spacing w:line="360" w:lineRule="auto"/>
        <w:jc w:val="both"/>
        <w:rPr>
          <w:lang w:val="en-GB"/>
        </w:rPr>
      </w:pPr>
      <w:r w:rsidRPr="00BE5D76">
        <w:rPr>
          <w:lang w:val="en-GB"/>
        </w:rPr>
        <w:t>To assure the proper functionality of the software we will follow the best practices described in Chapter 17 of The Book of OHDSI (</w:t>
      </w:r>
      <w:hyperlink r:id="rId9" w:history="1">
        <w:r w:rsidRPr="00734A30">
          <w:t>http://book.ohdsi.org/SoftwareValidity.html</w:t>
        </w:r>
      </w:hyperlink>
      <w:r w:rsidRPr="00BE5D76">
        <w:rPr>
          <w:lang w:val="en-GB"/>
        </w:rPr>
        <w:t>)</w:t>
      </w:r>
      <w:r>
        <w:rPr>
          <w:lang w:val="en-GB"/>
        </w:rPr>
        <w:t>.</w:t>
      </w:r>
      <w:r w:rsidRPr="00BE5D76">
        <w:rPr>
          <w:lang w:val="en-GB"/>
        </w:rPr>
        <w:t xml:space="preserve"> This includes code review, the addition of unit tests where applicable, source code management, and full code documentation. The analytical pipeline of this study will be made available in opensource for full transparency and replicability. </w:t>
      </w:r>
    </w:p>
    <w:p w14:paraId="1971C3B5" w14:textId="3EA849EC" w:rsidR="00E91C8B" w:rsidRPr="00E91C8B" w:rsidRDefault="00E91C8B" w:rsidP="008F3111">
      <w:pPr>
        <w:pStyle w:val="Heading1"/>
        <w:rPr>
          <w:lang w:val="en-GB"/>
        </w:rPr>
      </w:pPr>
      <w:r w:rsidRPr="00E91C8B">
        <w:rPr>
          <w:lang w:val="en-GB"/>
        </w:rPr>
        <w:t>Limitations of the research methods</w:t>
      </w:r>
      <w:bookmarkEnd w:id="18"/>
    </w:p>
    <w:p w14:paraId="20C5B525" w14:textId="671CDC00" w:rsidR="006E506B" w:rsidRDefault="006E506B" w:rsidP="000B295A">
      <w:pPr>
        <w:spacing w:after="120" w:line="360" w:lineRule="auto"/>
        <w:jc w:val="both"/>
        <w:rPr>
          <w:lang w:val="en-GB"/>
        </w:rPr>
      </w:pPr>
      <w:r>
        <w:rPr>
          <w:lang w:val="en-GB"/>
        </w:rPr>
        <w:t>First our study population consist of patients diagnosed on RA disease codes. This is susceptible to selection/information bias in case of suboptimal coding or use of codes with less granularity.</w:t>
      </w:r>
    </w:p>
    <w:p w14:paraId="3C6DA549" w14:textId="21D55ABE" w:rsidR="00E91C8B" w:rsidRDefault="006E506B" w:rsidP="000B295A">
      <w:pPr>
        <w:spacing w:after="120" w:line="360" w:lineRule="auto"/>
        <w:jc w:val="both"/>
        <w:rPr>
          <w:lang w:val="en-GB"/>
        </w:rPr>
      </w:pPr>
      <w:r>
        <w:rPr>
          <w:lang w:val="en-GB"/>
        </w:rPr>
        <w:t>Second</w:t>
      </w:r>
      <w:r w:rsidR="00E91C8B" w:rsidRPr="00BE5D76">
        <w:rPr>
          <w:lang w:val="en-GB"/>
        </w:rPr>
        <w:t>, for this study we will use real world data from electronic health care records</w:t>
      </w:r>
      <w:r>
        <w:rPr>
          <w:lang w:val="en-GB"/>
        </w:rPr>
        <w:t xml:space="preserve"> or claims data</w:t>
      </w:r>
      <w:r w:rsidR="00E91C8B" w:rsidRPr="00BE5D76">
        <w:rPr>
          <w:lang w:val="en-GB"/>
        </w:rPr>
        <w:t xml:space="preserve">. There might exist differences between the databases </w:t>
      </w:r>
      <w:proofErr w:type="gramStart"/>
      <w:r w:rsidR="00E91C8B" w:rsidRPr="00BE5D76">
        <w:rPr>
          <w:lang w:val="en-GB"/>
        </w:rPr>
        <w:t>with regard to</w:t>
      </w:r>
      <w:proofErr w:type="gramEnd"/>
      <w:r w:rsidR="00E91C8B" w:rsidRPr="00BE5D76">
        <w:rPr>
          <w:lang w:val="en-GB"/>
        </w:rPr>
        <w:t xml:space="preserve"> availability of certain data. </w:t>
      </w:r>
    </w:p>
    <w:p w14:paraId="1106E6D2" w14:textId="24A378C5" w:rsidR="000B295A" w:rsidRDefault="000B295A" w:rsidP="00174801">
      <w:pPr>
        <w:spacing w:line="360" w:lineRule="auto"/>
        <w:jc w:val="both"/>
        <w:rPr>
          <w:lang w:val="en-GB"/>
        </w:rPr>
      </w:pPr>
      <w:r>
        <w:rPr>
          <w:lang w:val="en-GB"/>
        </w:rPr>
        <w:t xml:space="preserve">Third, for those countries where patients are referred to a specialist for the treatment of RA, use of DMARDs in primary care databases might be underrepresented. </w:t>
      </w:r>
    </w:p>
    <w:p w14:paraId="5C9A274A" w14:textId="77777777" w:rsidR="00174801" w:rsidRPr="00BE5D76" w:rsidRDefault="00174801" w:rsidP="00174801">
      <w:pPr>
        <w:pStyle w:val="Heading1"/>
        <w:rPr>
          <w:lang w:val="en-GB"/>
        </w:rPr>
      </w:pPr>
      <w:bookmarkStart w:id="22" w:name="_Toc29223473"/>
      <w:r w:rsidRPr="00174801">
        <w:rPr>
          <w:lang w:val="en-GB"/>
        </w:rPr>
        <w:t xml:space="preserve">Regulatory and ethical compliance </w:t>
      </w:r>
    </w:p>
    <w:p w14:paraId="20E237E6" w14:textId="39B136F6" w:rsidR="00174801" w:rsidRPr="00BE5D76" w:rsidRDefault="00174801" w:rsidP="00174801">
      <w:pPr>
        <w:spacing w:after="120" w:line="360" w:lineRule="auto"/>
        <w:jc w:val="both"/>
        <w:rPr>
          <w:lang w:val="en-GB"/>
        </w:rPr>
      </w:pPr>
      <w:r w:rsidRPr="00BE5D76">
        <w:rPr>
          <w:lang w:val="en-GB"/>
        </w:rPr>
        <w:t xml:space="preserve">This study was designed and shall be implemented and reported in accordance with the Guidelines for Good Pharmacoepidemiology Practices (GPP) of the International Society for Pharmacoepidemiology </w:t>
      </w:r>
      <w:r w:rsidRPr="00174801">
        <w:rPr>
          <w:lang w:val="en-GB"/>
        </w:rPr>
        <w:fldChar w:fldCharType="begin"/>
      </w:r>
      <w:r w:rsidRPr="00174801">
        <w:rPr>
          <w:lang w:val="en-GB"/>
        </w:rPr>
        <w:instrText xml:space="preserve"> ADDIN EN.CITE &lt;EndNote&gt;&lt;Cite&gt;&lt;Year&gt;2016&lt;/Year&gt;&lt;RecNum&gt;23&lt;/RecNum&gt;&lt;DisplayText&gt;(2016)&lt;/DisplayText&gt;&lt;record&gt;&lt;rec-number&gt;23&lt;/rec-number&gt;&lt;foreign-keys&gt;&lt;key app="EN" db-id="v9zwsdwdtzt2zyee5fuprzt5xd2xadzxxr5a"&gt;23&lt;/key&gt;&lt;/foreign-keys&gt;&lt;ref-type name="Journal Article"&gt;17&lt;/ref-type&gt;&lt;contributors&gt;&lt;/contributors&gt;&lt;titles&gt;&lt;title&gt;Guidelines for good pharmacoepidemiology practice (GPP)&lt;/title&gt;&lt;secondary-title&gt;Pharmacoepidemiol Drug Saf&lt;/secondary-title&gt;&lt;/titles&gt;&lt;periodical&gt;&lt;full-title&gt;Pharmacoepidemiol Drug Saf&lt;/full-title&gt;&lt;abbr-1&gt;Pharmacoepidemiology and drug safety&lt;/abbr-1&gt;&lt;/periodical&gt;&lt;pages&gt;2-10&lt;/pages&gt;&lt;volume&gt;25&lt;/volume&gt;&lt;number&gt;1&lt;/number&gt;&lt;edition&gt;2015/11/06&lt;/edition&gt;&lt;keywords&gt;&lt;keyword&gt;Data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www.ncbi.nlm.nih.gov/entrez/query.fcgi?cmd=Retrieve&amp;amp;db=PubMed&amp;amp;dopt=Citation&amp;amp;list_uids=26537534&lt;/url&gt;&lt;/related-urls&gt;&lt;/urls&gt;&lt;electronic-resource-num&gt;10.1002/pds.3891&lt;/electronic-resource-num&gt;&lt;language&gt;eng&lt;/language&gt;&lt;/record&gt;&lt;/Cite&gt;&lt;/EndNote&gt;</w:instrText>
      </w:r>
      <w:r w:rsidRPr="00174801">
        <w:rPr>
          <w:lang w:val="en-GB"/>
        </w:rPr>
        <w:fldChar w:fldCharType="separate"/>
      </w:r>
      <w:r w:rsidRPr="00174801">
        <w:rPr>
          <w:lang w:val="en-GB"/>
        </w:rPr>
        <w:t>(</w:t>
      </w:r>
      <w:hyperlink w:anchor="_ENREF_2" w:tooltip=", 2016 #23" w:history="1">
        <w:r w:rsidRPr="00174801">
          <w:rPr>
            <w:lang w:val="en-GB"/>
          </w:rPr>
          <w:t>2016</w:t>
        </w:r>
      </w:hyperlink>
      <w:r w:rsidRPr="00174801">
        <w:rPr>
          <w:lang w:val="en-GB"/>
        </w:rPr>
        <w:t>)</w:t>
      </w:r>
      <w:r w:rsidRPr="00174801">
        <w:rPr>
          <w:lang w:val="en-GB"/>
        </w:rPr>
        <w:fldChar w:fldCharType="end"/>
      </w:r>
      <w:r w:rsidRPr="00BE5D76">
        <w:rPr>
          <w:lang w:val="en-GB"/>
        </w:rPr>
        <w:t xml:space="preserve">, the STROBE (Strengthening the Reporting of Observational Studies in Epidemiology) guidelines, and with the ethical principles laid down in the Declaration of Helsinki. </w:t>
      </w:r>
    </w:p>
    <w:p w14:paraId="21872941" w14:textId="2D6E283C" w:rsidR="00174801" w:rsidRDefault="00174801" w:rsidP="00174801">
      <w:pPr>
        <w:spacing w:after="120" w:line="360" w:lineRule="auto"/>
        <w:jc w:val="both"/>
        <w:rPr>
          <w:lang w:val="en-GB"/>
        </w:rPr>
      </w:pPr>
      <w:r w:rsidRPr="00BE5D76">
        <w:rPr>
          <w:lang w:val="en-GB"/>
        </w:rPr>
        <w:t>This study is fulfilling the criteria of a ‘European Network of Centres for Pharmacoepidemiology and Pharmacovigilance (</w:t>
      </w:r>
      <w:proofErr w:type="spellStart"/>
      <w:r w:rsidRPr="00BE5D76">
        <w:rPr>
          <w:lang w:val="en-GB"/>
        </w:rPr>
        <w:t>ENCePP</w:t>
      </w:r>
      <w:proofErr w:type="spellEnd"/>
      <w:r w:rsidRPr="00BE5D76">
        <w:rPr>
          <w:lang w:val="en-GB"/>
        </w:rPr>
        <w:t>) study’ and follows the ‘</w:t>
      </w:r>
      <w:proofErr w:type="spellStart"/>
      <w:r w:rsidRPr="00BE5D76">
        <w:rPr>
          <w:lang w:val="en-GB"/>
        </w:rPr>
        <w:t>ENCePP</w:t>
      </w:r>
      <w:proofErr w:type="spellEnd"/>
      <w:r w:rsidRPr="00BE5D76">
        <w:rPr>
          <w:lang w:val="en-GB"/>
        </w:rPr>
        <w:t xml:space="preserve"> Code of Conduct’. </w:t>
      </w:r>
    </w:p>
    <w:p w14:paraId="0404446C" w14:textId="77777777" w:rsidR="00A52408" w:rsidRPr="00BE5D76" w:rsidRDefault="00A52408" w:rsidP="00A52408">
      <w:pPr>
        <w:pStyle w:val="Heading1"/>
        <w:rPr>
          <w:lang w:val="en-GB"/>
        </w:rPr>
      </w:pPr>
      <w:bookmarkStart w:id="23" w:name="_Toc28956995"/>
      <w:r w:rsidRPr="00BE5D76">
        <w:rPr>
          <w:lang w:val="en-GB"/>
        </w:rPr>
        <w:t>Protection of human subjects</w:t>
      </w:r>
      <w:bookmarkEnd w:id="23"/>
    </w:p>
    <w:p w14:paraId="32C18A20" w14:textId="77777777" w:rsidR="00A52408" w:rsidRPr="00BE5D76" w:rsidRDefault="00A52408" w:rsidP="00A52408">
      <w:pPr>
        <w:spacing w:after="120" w:line="360" w:lineRule="auto"/>
        <w:jc w:val="both"/>
        <w:rPr>
          <w:lang w:val="en-GB"/>
        </w:rPr>
      </w:pPr>
      <w:r w:rsidRPr="00BE5D76">
        <w:rPr>
          <w:lang w:val="en-GB"/>
        </w:rPr>
        <w:t xml:space="preserve">For this study, participants from various EU member states will process personal data from individuals which is collected in national/regional electronic health record databases. Due to </w:t>
      </w:r>
      <w:r w:rsidRPr="00BE5D76">
        <w:rPr>
          <w:lang w:val="en-GB"/>
        </w:rPr>
        <w:lastRenderedPageBreak/>
        <w:t xml:space="preserve">the sensitive nature of this personal medical data, it is important to be fully aware of ethical and regulatory aspects and to strive to take all reasonable measures to ensure compliance with ethical and regulatory issues on privacy. </w:t>
      </w:r>
    </w:p>
    <w:p w14:paraId="45DCAB84" w14:textId="77777777" w:rsidR="00A52408" w:rsidRPr="00BE5D76" w:rsidRDefault="00A52408" w:rsidP="00A52408">
      <w:pPr>
        <w:spacing w:after="120" w:line="360" w:lineRule="auto"/>
        <w:jc w:val="both"/>
        <w:rPr>
          <w:lang w:val="en-GB"/>
        </w:rPr>
      </w:pPr>
      <w:r w:rsidRPr="00BE5D76">
        <w:rPr>
          <w:lang w:val="en-GB"/>
        </w:rPr>
        <w:t xml:space="preserve">All the databases used in this study are already used for pharmaco-epidemiological research and have a well-developed mechanism to ensure that European and local regulations dealing with ethical use of the data and adequate privacy control are adhered to. </w:t>
      </w:r>
    </w:p>
    <w:p w14:paraId="3DACC224" w14:textId="77777777" w:rsidR="00A52408" w:rsidRPr="00BE5D76" w:rsidRDefault="00A52408" w:rsidP="00A52408">
      <w:pPr>
        <w:spacing w:after="120" w:line="360" w:lineRule="auto"/>
        <w:jc w:val="both"/>
        <w:rPr>
          <w:lang w:val="en-GB"/>
        </w:rPr>
      </w:pPr>
      <w:r w:rsidRPr="00BE5D76">
        <w:rPr>
          <w:lang w:val="en-GB"/>
        </w:rPr>
        <w:t xml:space="preserve">In agreement with these regulations, rather than combining person level data and performing only a central analysis, local analyses will be run, which generate non-identifiable aggregate summary results. </w:t>
      </w:r>
    </w:p>
    <w:p w14:paraId="760A4BA1" w14:textId="7A1E8611" w:rsidR="00A52408" w:rsidRPr="00174801" w:rsidRDefault="00A52408" w:rsidP="00174801">
      <w:pPr>
        <w:spacing w:after="120" w:line="360" w:lineRule="auto"/>
        <w:jc w:val="both"/>
        <w:rPr>
          <w:lang w:val="en-GB"/>
        </w:rPr>
      </w:pPr>
      <w:r w:rsidRPr="00BE5D76">
        <w:rPr>
          <w:lang w:val="en-GB"/>
        </w:rPr>
        <w:t xml:space="preserve">The protocols will be reviewed by </w:t>
      </w:r>
      <w:bookmarkStart w:id="24" w:name="_Hlk27267054"/>
      <w:r w:rsidRPr="00BE5D76">
        <w:rPr>
          <w:lang w:val="en-GB"/>
        </w:rPr>
        <w:t xml:space="preserve">the Institutional Review Boards </w:t>
      </w:r>
      <w:bookmarkEnd w:id="24"/>
      <w:r w:rsidRPr="00BE5D76">
        <w:rPr>
          <w:lang w:val="en-GB"/>
        </w:rPr>
        <w:t>of the respective databases.</w:t>
      </w:r>
    </w:p>
    <w:p w14:paraId="2C4DFAF8" w14:textId="583B056D" w:rsidR="008F3111" w:rsidRPr="00BE5D76" w:rsidRDefault="008F3111" w:rsidP="008F3111">
      <w:pPr>
        <w:pStyle w:val="Heading1"/>
        <w:rPr>
          <w:lang w:val="en-GB"/>
        </w:rPr>
      </w:pPr>
      <w:r w:rsidRPr="00BE5D76">
        <w:rPr>
          <w:lang w:val="en-GB"/>
        </w:rPr>
        <w:t>Management and reporting of adverse events/adverse reactions</w:t>
      </w:r>
      <w:bookmarkEnd w:id="22"/>
    </w:p>
    <w:p w14:paraId="46A1D436" w14:textId="77777777" w:rsidR="008F3111" w:rsidRPr="00BE5D76" w:rsidRDefault="008F3111" w:rsidP="008F3111">
      <w:pPr>
        <w:spacing w:line="152" w:lineRule="exact"/>
        <w:rPr>
          <w:lang w:val="en-GB"/>
        </w:rPr>
      </w:pPr>
    </w:p>
    <w:p w14:paraId="14166833" w14:textId="050CC082" w:rsidR="008F3111" w:rsidRDefault="008F3111" w:rsidP="008F3111">
      <w:pPr>
        <w:spacing w:after="120" w:line="360" w:lineRule="auto"/>
        <w:jc w:val="both"/>
        <w:rPr>
          <w:lang w:val="en-GB"/>
        </w:rPr>
      </w:pPr>
      <w:r w:rsidRPr="00BE5D76">
        <w:rPr>
          <w:lang w:val="en-GB"/>
        </w:rPr>
        <w:t>According to the new guideline on good pharmacovigilance practice (EMA/873138/2011) there is no requirement for expedited reporting of adverse drug reactions from studies with secondary use of data (such as electronic health care databases).</w:t>
      </w:r>
    </w:p>
    <w:p w14:paraId="7C3283EF" w14:textId="77777777" w:rsidR="006E58EB" w:rsidRPr="00BE5D76" w:rsidRDefault="006E58EB" w:rsidP="006E58EB">
      <w:pPr>
        <w:pStyle w:val="Heading2"/>
        <w:rPr>
          <w:lang w:val="en-GB"/>
        </w:rPr>
      </w:pPr>
      <w:bookmarkStart w:id="25" w:name="_Toc29223474"/>
      <w:r w:rsidRPr="00BE5D76">
        <w:rPr>
          <w:lang w:val="en-GB"/>
        </w:rPr>
        <w:t>Plans for disseminating and communicating study results</w:t>
      </w:r>
      <w:bookmarkEnd w:id="25"/>
    </w:p>
    <w:p w14:paraId="38FC56DE" w14:textId="77777777" w:rsidR="006E58EB" w:rsidRPr="00BE5D76" w:rsidRDefault="006E58EB" w:rsidP="006E58EB">
      <w:pPr>
        <w:spacing w:after="120" w:line="360" w:lineRule="auto"/>
        <w:jc w:val="both"/>
        <w:rPr>
          <w:lang w:val="en-GB"/>
        </w:rPr>
      </w:pPr>
      <w:r w:rsidRPr="00BE5D76">
        <w:rPr>
          <w:lang w:val="en-GB"/>
        </w:rPr>
        <w:t xml:space="preserve">Dissemination activities to be undertaken will have mainly, although not exclusively, a scientific nature (articles, presentations at conferences, etc.). </w:t>
      </w:r>
    </w:p>
    <w:p w14:paraId="627CDB8E" w14:textId="77777777" w:rsidR="00795C1C" w:rsidRPr="002C78CA" w:rsidRDefault="00B0356B">
      <w:pPr>
        <w:pStyle w:val="Heading1"/>
        <w:rPr>
          <w:lang w:val="en-GB"/>
        </w:rPr>
      </w:pPr>
      <w:bookmarkStart w:id="26" w:name="_kj7pj7lxjrnp" w:colFirst="0" w:colLast="0"/>
      <w:bookmarkEnd w:id="26"/>
      <w:r w:rsidRPr="002C78CA">
        <w:rPr>
          <w:lang w:val="en-GB"/>
        </w:rPr>
        <w:br w:type="page"/>
      </w:r>
    </w:p>
    <w:p w14:paraId="6AFFC5ED" w14:textId="77777777" w:rsidR="00795C1C" w:rsidRPr="002C78CA" w:rsidRDefault="00B0356B">
      <w:pPr>
        <w:pStyle w:val="Heading1"/>
        <w:rPr>
          <w:lang w:val="en-GB"/>
        </w:rPr>
      </w:pPr>
      <w:bookmarkStart w:id="27" w:name="_yiewe925giyf" w:colFirst="0" w:colLast="0"/>
      <w:bookmarkEnd w:id="27"/>
      <w:r w:rsidRPr="002C78CA">
        <w:rPr>
          <w:lang w:val="en-GB"/>
        </w:rPr>
        <w:lastRenderedPageBreak/>
        <w:t>References</w:t>
      </w:r>
    </w:p>
    <w:p w14:paraId="71591226" w14:textId="77777777" w:rsidR="00795C1C" w:rsidRDefault="00B0356B">
      <w:pPr>
        <w:spacing w:before="240" w:after="240"/>
        <w:ind w:left="1080" w:hanging="360"/>
        <w:rPr>
          <w:rFonts w:ascii="Times New Roman" w:eastAsia="Times New Roman" w:hAnsi="Times New Roman" w:cs="Times New Roman"/>
          <w:sz w:val="24"/>
          <w:szCs w:val="24"/>
        </w:rPr>
      </w:pPr>
      <w:r w:rsidRPr="002C78CA">
        <w:rPr>
          <w:rFonts w:ascii="Times New Roman" w:eastAsia="Times New Roman" w:hAnsi="Times New Roman" w:cs="Times New Roman"/>
          <w:sz w:val="20"/>
          <w:szCs w:val="20"/>
          <w:lang w:val="en-GB"/>
        </w:rPr>
        <w:t>1.</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 xml:space="preserve">Visser K, van der </w:t>
      </w:r>
      <w:proofErr w:type="spellStart"/>
      <w:r w:rsidRPr="002C78CA">
        <w:rPr>
          <w:rFonts w:ascii="Times New Roman" w:eastAsia="Times New Roman" w:hAnsi="Times New Roman" w:cs="Times New Roman"/>
          <w:sz w:val="24"/>
          <w:szCs w:val="24"/>
          <w:lang w:val="en-GB"/>
        </w:rPr>
        <w:t>Heijde</w:t>
      </w:r>
      <w:proofErr w:type="spellEnd"/>
      <w:r w:rsidRPr="002C78CA">
        <w:rPr>
          <w:rFonts w:ascii="Times New Roman" w:eastAsia="Times New Roman" w:hAnsi="Times New Roman" w:cs="Times New Roman"/>
          <w:sz w:val="24"/>
          <w:szCs w:val="24"/>
          <w:lang w:val="en-GB"/>
        </w:rPr>
        <w:t xml:space="preserve"> D. Optimal dosage and route of administration of methotrexate in rheumatoid arthritis: a systematic review of the literature. </w:t>
      </w:r>
      <w:r>
        <w:rPr>
          <w:rFonts w:ascii="Times New Roman" w:eastAsia="Times New Roman" w:hAnsi="Times New Roman" w:cs="Times New Roman"/>
          <w:sz w:val="24"/>
          <w:szCs w:val="24"/>
        </w:rPr>
        <w:t>Ann Rheum Dis 2009;68:1094–9.</w:t>
      </w:r>
    </w:p>
    <w:p w14:paraId="011A4228"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Smolen JS, Landewé R, Breedveld FC, Buch M, Burmester G, Dougados M, et al. </w:t>
      </w:r>
      <w:r w:rsidRPr="002C78CA">
        <w:rPr>
          <w:rFonts w:ascii="Times New Roman" w:eastAsia="Times New Roman" w:hAnsi="Times New Roman" w:cs="Times New Roman"/>
          <w:sz w:val="24"/>
          <w:szCs w:val="24"/>
          <w:lang w:val="en-GB"/>
        </w:rPr>
        <w:t>EULAR recommendations for the management of rheumatoid arthritis with synthetic and biological disease-modifying antirheumatic drugs: 2013 update. Ann Rheum Dis. 2014 Mar;73(3):492–509.</w:t>
      </w:r>
    </w:p>
    <w:p w14:paraId="67689FDE"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3.</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 xml:space="preserve">Smolen JS, </w:t>
      </w:r>
      <w:proofErr w:type="spellStart"/>
      <w:r w:rsidRPr="002C78CA">
        <w:rPr>
          <w:rFonts w:ascii="Times New Roman" w:eastAsia="Times New Roman" w:hAnsi="Times New Roman" w:cs="Times New Roman"/>
          <w:sz w:val="24"/>
          <w:szCs w:val="24"/>
          <w:lang w:val="en-GB"/>
        </w:rPr>
        <w:t>Landewé</w:t>
      </w:r>
      <w:proofErr w:type="spellEnd"/>
      <w:r w:rsidRPr="002C78CA">
        <w:rPr>
          <w:rFonts w:ascii="Times New Roman" w:eastAsia="Times New Roman" w:hAnsi="Times New Roman" w:cs="Times New Roman"/>
          <w:sz w:val="24"/>
          <w:szCs w:val="24"/>
          <w:lang w:val="en-GB"/>
        </w:rPr>
        <w:t xml:space="preserve"> R, </w:t>
      </w:r>
      <w:proofErr w:type="spellStart"/>
      <w:r w:rsidRPr="002C78CA">
        <w:rPr>
          <w:rFonts w:ascii="Times New Roman" w:eastAsia="Times New Roman" w:hAnsi="Times New Roman" w:cs="Times New Roman"/>
          <w:sz w:val="24"/>
          <w:szCs w:val="24"/>
          <w:lang w:val="en-GB"/>
        </w:rPr>
        <w:t>Breedveld</w:t>
      </w:r>
      <w:proofErr w:type="spellEnd"/>
      <w:r w:rsidRPr="002C78CA">
        <w:rPr>
          <w:rFonts w:ascii="Times New Roman" w:eastAsia="Times New Roman" w:hAnsi="Times New Roman" w:cs="Times New Roman"/>
          <w:sz w:val="24"/>
          <w:szCs w:val="24"/>
          <w:lang w:val="en-GB"/>
        </w:rPr>
        <w:t xml:space="preserve"> FC, </w:t>
      </w:r>
      <w:proofErr w:type="spellStart"/>
      <w:r w:rsidRPr="002C78CA">
        <w:rPr>
          <w:rFonts w:ascii="Times New Roman" w:eastAsia="Times New Roman" w:hAnsi="Times New Roman" w:cs="Times New Roman"/>
          <w:sz w:val="24"/>
          <w:szCs w:val="24"/>
          <w:lang w:val="en-GB"/>
        </w:rPr>
        <w:t>Dougados</w:t>
      </w:r>
      <w:proofErr w:type="spellEnd"/>
      <w:r w:rsidRPr="002C78CA">
        <w:rPr>
          <w:rFonts w:ascii="Times New Roman" w:eastAsia="Times New Roman" w:hAnsi="Times New Roman" w:cs="Times New Roman"/>
          <w:sz w:val="24"/>
          <w:szCs w:val="24"/>
          <w:lang w:val="en-GB"/>
        </w:rPr>
        <w:t xml:space="preserve"> M, Emery P, </w:t>
      </w:r>
      <w:proofErr w:type="spellStart"/>
      <w:r w:rsidRPr="002C78CA">
        <w:rPr>
          <w:rFonts w:ascii="Times New Roman" w:eastAsia="Times New Roman" w:hAnsi="Times New Roman" w:cs="Times New Roman"/>
          <w:sz w:val="24"/>
          <w:szCs w:val="24"/>
          <w:lang w:val="en-GB"/>
        </w:rPr>
        <w:t>Gaujoux-Viala</w:t>
      </w:r>
      <w:proofErr w:type="spellEnd"/>
      <w:r w:rsidRPr="002C78CA">
        <w:rPr>
          <w:rFonts w:ascii="Times New Roman" w:eastAsia="Times New Roman" w:hAnsi="Times New Roman" w:cs="Times New Roman"/>
          <w:sz w:val="24"/>
          <w:szCs w:val="24"/>
          <w:lang w:val="en-GB"/>
        </w:rPr>
        <w:t xml:space="preserve"> C, et al. EULAR recommendations for the management of rheumatoid arthritis with synthetic and biological disease-modifying antirheumatic drugs: 2016 update. Ann Rheum Dis. </w:t>
      </w:r>
      <w:proofErr w:type="gramStart"/>
      <w:r w:rsidRPr="002C78CA">
        <w:rPr>
          <w:rFonts w:ascii="Times New Roman" w:eastAsia="Times New Roman" w:hAnsi="Times New Roman" w:cs="Times New Roman"/>
          <w:sz w:val="24"/>
          <w:szCs w:val="24"/>
          <w:lang w:val="en-GB"/>
        </w:rPr>
        <w:t>2017;0:1</w:t>
      </w:r>
      <w:proofErr w:type="gramEnd"/>
      <w:r w:rsidRPr="002C78CA">
        <w:rPr>
          <w:rFonts w:ascii="Times New Roman" w:eastAsia="Times New Roman" w:hAnsi="Times New Roman" w:cs="Times New Roman"/>
          <w:sz w:val="24"/>
          <w:szCs w:val="24"/>
          <w:lang w:val="en-GB"/>
        </w:rPr>
        <w:t>–18.</w:t>
      </w:r>
    </w:p>
    <w:p w14:paraId="33C9EF5A"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4.</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 xml:space="preserve">Singh JA, Saag KG, Bridges SL, </w:t>
      </w:r>
      <w:proofErr w:type="spellStart"/>
      <w:r w:rsidRPr="002C78CA">
        <w:rPr>
          <w:rFonts w:ascii="Times New Roman" w:eastAsia="Times New Roman" w:hAnsi="Times New Roman" w:cs="Times New Roman"/>
          <w:sz w:val="24"/>
          <w:szCs w:val="24"/>
          <w:lang w:val="en-GB"/>
        </w:rPr>
        <w:t>Akl</w:t>
      </w:r>
      <w:proofErr w:type="spellEnd"/>
      <w:r w:rsidRPr="002C78CA">
        <w:rPr>
          <w:rFonts w:ascii="Times New Roman" w:eastAsia="Times New Roman" w:hAnsi="Times New Roman" w:cs="Times New Roman"/>
          <w:sz w:val="24"/>
          <w:szCs w:val="24"/>
          <w:lang w:val="en-GB"/>
        </w:rPr>
        <w:t xml:space="preserve"> EA, </w:t>
      </w:r>
      <w:proofErr w:type="spellStart"/>
      <w:r w:rsidRPr="002C78CA">
        <w:rPr>
          <w:rFonts w:ascii="Times New Roman" w:eastAsia="Times New Roman" w:hAnsi="Times New Roman" w:cs="Times New Roman"/>
          <w:sz w:val="24"/>
          <w:szCs w:val="24"/>
          <w:lang w:val="en-GB"/>
        </w:rPr>
        <w:t>Bannuru</w:t>
      </w:r>
      <w:proofErr w:type="spellEnd"/>
      <w:r w:rsidRPr="002C78CA">
        <w:rPr>
          <w:rFonts w:ascii="Times New Roman" w:eastAsia="Times New Roman" w:hAnsi="Times New Roman" w:cs="Times New Roman"/>
          <w:sz w:val="24"/>
          <w:szCs w:val="24"/>
          <w:lang w:val="en-GB"/>
        </w:rPr>
        <w:t xml:space="preserve"> RR, Sullivan MC, et al. 2015 American College of Rheumatology Guideline for the Treatment of Rheumatoid Arthritis. Arthritis </w:t>
      </w:r>
      <w:proofErr w:type="spellStart"/>
      <w:r w:rsidRPr="002C78CA">
        <w:rPr>
          <w:rFonts w:ascii="Times New Roman" w:eastAsia="Times New Roman" w:hAnsi="Times New Roman" w:cs="Times New Roman"/>
          <w:sz w:val="24"/>
          <w:szCs w:val="24"/>
          <w:lang w:val="en-GB"/>
        </w:rPr>
        <w:t>Rheumatol</w:t>
      </w:r>
      <w:proofErr w:type="spellEnd"/>
      <w:r w:rsidRPr="002C78CA">
        <w:rPr>
          <w:rFonts w:ascii="Times New Roman" w:eastAsia="Times New Roman" w:hAnsi="Times New Roman" w:cs="Times New Roman"/>
          <w:sz w:val="24"/>
          <w:szCs w:val="24"/>
          <w:lang w:val="en-GB"/>
        </w:rPr>
        <w:t>. 2016;86(1):1–26.</w:t>
      </w:r>
    </w:p>
    <w:p w14:paraId="64F01D9E"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5.</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National Institute for Clinical Excellence. Guidance on the use of etanercept and infliximab for the treatment of rheumatoid arthritis. 2002.</w:t>
      </w:r>
    </w:p>
    <w:p w14:paraId="6AAD3300"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6.</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 xml:space="preserve">Costello R, David T, Jani M. Impact of Adverse Events Associated </w:t>
      </w:r>
      <w:proofErr w:type="gramStart"/>
      <w:r w:rsidRPr="002C78CA">
        <w:rPr>
          <w:rFonts w:ascii="Times New Roman" w:eastAsia="Times New Roman" w:hAnsi="Times New Roman" w:cs="Times New Roman"/>
          <w:sz w:val="24"/>
          <w:szCs w:val="24"/>
          <w:lang w:val="en-GB"/>
        </w:rPr>
        <w:t>With</w:t>
      </w:r>
      <w:proofErr w:type="gramEnd"/>
      <w:r w:rsidRPr="002C78CA">
        <w:rPr>
          <w:rFonts w:ascii="Times New Roman" w:eastAsia="Times New Roman" w:hAnsi="Times New Roman" w:cs="Times New Roman"/>
          <w:sz w:val="24"/>
          <w:szCs w:val="24"/>
          <w:lang w:val="en-GB"/>
        </w:rPr>
        <w:t xml:space="preserve"> Medications in the Treatment and Prevention of Rheumatoid Arthritis. Clin </w:t>
      </w:r>
      <w:proofErr w:type="spellStart"/>
      <w:r w:rsidRPr="002C78CA">
        <w:rPr>
          <w:rFonts w:ascii="Times New Roman" w:eastAsia="Times New Roman" w:hAnsi="Times New Roman" w:cs="Times New Roman"/>
          <w:sz w:val="24"/>
          <w:szCs w:val="24"/>
          <w:lang w:val="en-GB"/>
        </w:rPr>
        <w:t>Ther</w:t>
      </w:r>
      <w:proofErr w:type="spellEnd"/>
      <w:r w:rsidRPr="002C78CA">
        <w:rPr>
          <w:rFonts w:ascii="Times New Roman" w:eastAsia="Times New Roman" w:hAnsi="Times New Roman" w:cs="Times New Roman"/>
          <w:sz w:val="24"/>
          <w:szCs w:val="24"/>
          <w:lang w:val="en-GB"/>
        </w:rPr>
        <w:t>. 2019 Jul;41(7):1376–96.</w:t>
      </w:r>
    </w:p>
    <w:p w14:paraId="118A89D4"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7.</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 xml:space="preserve">Dixon WG, Watson K, Lunt M, </w:t>
      </w:r>
      <w:proofErr w:type="spellStart"/>
      <w:r w:rsidRPr="002C78CA">
        <w:rPr>
          <w:rFonts w:ascii="Times New Roman" w:eastAsia="Times New Roman" w:hAnsi="Times New Roman" w:cs="Times New Roman"/>
          <w:sz w:val="24"/>
          <w:szCs w:val="24"/>
          <w:lang w:val="en-GB"/>
        </w:rPr>
        <w:t>Hyrich</w:t>
      </w:r>
      <w:proofErr w:type="spellEnd"/>
      <w:r w:rsidRPr="002C78CA">
        <w:rPr>
          <w:rFonts w:ascii="Times New Roman" w:eastAsia="Times New Roman" w:hAnsi="Times New Roman" w:cs="Times New Roman"/>
          <w:sz w:val="24"/>
          <w:szCs w:val="24"/>
          <w:lang w:val="en-GB"/>
        </w:rPr>
        <w:t xml:space="preserve"> KL, </w:t>
      </w:r>
      <w:proofErr w:type="spellStart"/>
      <w:proofErr w:type="gramStart"/>
      <w:r w:rsidRPr="002C78CA">
        <w:rPr>
          <w:rFonts w:ascii="Times New Roman" w:eastAsia="Times New Roman" w:hAnsi="Times New Roman" w:cs="Times New Roman"/>
          <w:sz w:val="24"/>
          <w:szCs w:val="24"/>
          <w:lang w:val="en-GB"/>
        </w:rPr>
        <w:t>Silman</w:t>
      </w:r>
      <w:proofErr w:type="spellEnd"/>
      <w:r w:rsidRPr="002C78CA">
        <w:rPr>
          <w:rFonts w:ascii="Times New Roman" w:eastAsia="Times New Roman" w:hAnsi="Times New Roman" w:cs="Times New Roman"/>
          <w:sz w:val="24"/>
          <w:szCs w:val="24"/>
          <w:lang w:val="en-GB"/>
        </w:rPr>
        <w:t xml:space="preserve">  a</w:t>
      </w:r>
      <w:proofErr w:type="gramEnd"/>
      <w:r w:rsidRPr="002C78CA">
        <w:rPr>
          <w:rFonts w:ascii="Times New Roman" w:eastAsia="Times New Roman" w:hAnsi="Times New Roman" w:cs="Times New Roman"/>
          <w:sz w:val="24"/>
          <w:szCs w:val="24"/>
          <w:lang w:val="en-GB"/>
        </w:rPr>
        <w:t xml:space="preserve"> J, </w:t>
      </w:r>
      <w:proofErr w:type="spellStart"/>
      <w:r w:rsidRPr="002C78CA">
        <w:rPr>
          <w:rFonts w:ascii="Times New Roman" w:eastAsia="Times New Roman" w:hAnsi="Times New Roman" w:cs="Times New Roman"/>
          <w:sz w:val="24"/>
          <w:szCs w:val="24"/>
          <w:lang w:val="en-GB"/>
        </w:rPr>
        <w:t>Symmons</w:t>
      </w:r>
      <w:proofErr w:type="spellEnd"/>
      <w:r w:rsidRPr="002C78CA">
        <w:rPr>
          <w:rFonts w:ascii="Times New Roman" w:eastAsia="Times New Roman" w:hAnsi="Times New Roman" w:cs="Times New Roman"/>
          <w:sz w:val="24"/>
          <w:szCs w:val="24"/>
          <w:lang w:val="en-GB"/>
        </w:rPr>
        <w:t xml:space="preserve"> DPM. Rates of serious infection, including site-specific and bacterial intracellular infection, in rheumatoid arthritis patients receiving anti-</w:t>
      </w:r>
      <w:proofErr w:type="spellStart"/>
      <w:r w:rsidRPr="002C78CA">
        <w:rPr>
          <w:rFonts w:ascii="Times New Roman" w:eastAsia="Times New Roman" w:hAnsi="Times New Roman" w:cs="Times New Roman"/>
          <w:sz w:val="24"/>
          <w:szCs w:val="24"/>
          <w:lang w:val="en-GB"/>
        </w:rPr>
        <w:t>tumor</w:t>
      </w:r>
      <w:proofErr w:type="spellEnd"/>
      <w:r w:rsidRPr="002C78CA">
        <w:rPr>
          <w:rFonts w:ascii="Times New Roman" w:eastAsia="Times New Roman" w:hAnsi="Times New Roman" w:cs="Times New Roman"/>
          <w:sz w:val="24"/>
          <w:szCs w:val="24"/>
          <w:lang w:val="en-GB"/>
        </w:rPr>
        <w:t xml:space="preserve"> necrosis factor therapy: results from the British Society for Rheumatology Biologics Register. Arthritis Rheum. 2006 Aug;54(8):2368–76.</w:t>
      </w:r>
    </w:p>
    <w:p w14:paraId="0AD6430A"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8.</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 xml:space="preserve">Mercer LK, Galloway JB, Lunt M, Davies R, Low ALS, Dixon WG, et al. Risk of lymphoma in patients exposed to </w:t>
      </w:r>
      <w:proofErr w:type="spellStart"/>
      <w:r w:rsidRPr="002C78CA">
        <w:rPr>
          <w:rFonts w:ascii="Times New Roman" w:eastAsia="Times New Roman" w:hAnsi="Times New Roman" w:cs="Times New Roman"/>
          <w:sz w:val="24"/>
          <w:szCs w:val="24"/>
          <w:lang w:val="en-GB"/>
        </w:rPr>
        <w:t>antitumour</w:t>
      </w:r>
      <w:proofErr w:type="spellEnd"/>
      <w:r w:rsidRPr="002C78CA">
        <w:rPr>
          <w:rFonts w:ascii="Times New Roman" w:eastAsia="Times New Roman" w:hAnsi="Times New Roman" w:cs="Times New Roman"/>
          <w:sz w:val="24"/>
          <w:szCs w:val="24"/>
          <w:lang w:val="en-GB"/>
        </w:rPr>
        <w:t xml:space="preserve"> necrosis factor therapy: results from the British Society for Rheumatology Biologics Register for Rheumatoid Arthritis. Ann Rheum Dis. 2017 Mar;76(3):497–503.</w:t>
      </w:r>
    </w:p>
    <w:p w14:paraId="58D692E0"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9.</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 xml:space="preserve">Low ASL, </w:t>
      </w:r>
      <w:proofErr w:type="spellStart"/>
      <w:r w:rsidRPr="002C78CA">
        <w:rPr>
          <w:rFonts w:ascii="Times New Roman" w:eastAsia="Times New Roman" w:hAnsi="Times New Roman" w:cs="Times New Roman"/>
          <w:sz w:val="24"/>
          <w:szCs w:val="24"/>
          <w:lang w:val="en-GB"/>
        </w:rPr>
        <w:t>Symmons</w:t>
      </w:r>
      <w:proofErr w:type="spellEnd"/>
      <w:r w:rsidRPr="002C78CA">
        <w:rPr>
          <w:rFonts w:ascii="Times New Roman" w:eastAsia="Times New Roman" w:hAnsi="Times New Roman" w:cs="Times New Roman"/>
          <w:sz w:val="24"/>
          <w:szCs w:val="24"/>
          <w:lang w:val="en-GB"/>
        </w:rPr>
        <w:t xml:space="preserve"> DPM, Lunt M, Mercer LK, Gale CP, Watson KD, et al. Relationship between exposure to tumour necrosis factor inhibitor therapy and incidence and severity of myocardial infarction in patients with rheumatoid arthritis. Ann Rheum Dis. </w:t>
      </w:r>
      <w:proofErr w:type="gramStart"/>
      <w:r w:rsidRPr="002C78CA">
        <w:rPr>
          <w:rFonts w:ascii="Times New Roman" w:eastAsia="Times New Roman" w:hAnsi="Times New Roman" w:cs="Times New Roman"/>
          <w:sz w:val="24"/>
          <w:szCs w:val="24"/>
          <w:lang w:val="en-GB"/>
        </w:rPr>
        <w:t>2017;annrheumdis</w:t>
      </w:r>
      <w:proofErr w:type="gramEnd"/>
      <w:r w:rsidRPr="002C78CA">
        <w:rPr>
          <w:rFonts w:ascii="Times New Roman" w:eastAsia="Times New Roman" w:hAnsi="Times New Roman" w:cs="Times New Roman"/>
          <w:sz w:val="24"/>
          <w:szCs w:val="24"/>
          <w:lang w:val="en-GB"/>
        </w:rPr>
        <w:t>-2016-209784.</w:t>
      </w:r>
    </w:p>
    <w:p w14:paraId="3ACD76B7"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lastRenderedPageBreak/>
        <w:t>10.</w:t>
      </w:r>
      <w:r w:rsidRPr="002C78CA">
        <w:rPr>
          <w:rFonts w:ascii="Times New Roman" w:eastAsia="Times New Roman" w:hAnsi="Times New Roman" w:cs="Times New Roman"/>
          <w:sz w:val="14"/>
          <w:szCs w:val="14"/>
          <w:lang w:val="en-GB"/>
        </w:rPr>
        <w:t xml:space="preserve">    </w:t>
      </w:r>
      <w:proofErr w:type="spellStart"/>
      <w:r w:rsidRPr="002C78CA">
        <w:rPr>
          <w:rFonts w:ascii="Times New Roman" w:eastAsia="Times New Roman" w:hAnsi="Times New Roman" w:cs="Times New Roman"/>
          <w:sz w:val="24"/>
          <w:szCs w:val="24"/>
          <w:lang w:val="en-GB"/>
        </w:rPr>
        <w:t>Salliot</w:t>
      </w:r>
      <w:proofErr w:type="spellEnd"/>
      <w:r w:rsidRPr="002C78CA">
        <w:rPr>
          <w:rFonts w:ascii="Times New Roman" w:eastAsia="Times New Roman" w:hAnsi="Times New Roman" w:cs="Times New Roman"/>
          <w:sz w:val="24"/>
          <w:szCs w:val="24"/>
          <w:lang w:val="en-GB"/>
        </w:rPr>
        <w:t xml:space="preserve"> C, van der </w:t>
      </w:r>
      <w:proofErr w:type="spellStart"/>
      <w:r w:rsidRPr="002C78CA">
        <w:rPr>
          <w:rFonts w:ascii="Times New Roman" w:eastAsia="Times New Roman" w:hAnsi="Times New Roman" w:cs="Times New Roman"/>
          <w:sz w:val="24"/>
          <w:szCs w:val="24"/>
          <w:lang w:val="en-GB"/>
        </w:rPr>
        <w:t>Heijde</w:t>
      </w:r>
      <w:proofErr w:type="spellEnd"/>
      <w:r w:rsidRPr="002C78CA">
        <w:rPr>
          <w:rFonts w:ascii="Times New Roman" w:eastAsia="Times New Roman" w:hAnsi="Times New Roman" w:cs="Times New Roman"/>
          <w:sz w:val="24"/>
          <w:szCs w:val="24"/>
          <w:lang w:val="en-GB"/>
        </w:rPr>
        <w:t xml:space="preserve"> D. Long-term safety of methotrexate monotherapy in patients with rheumatoid arthritis: a systematic literature research. Ann Rheum Dis. 2009 Jul;68(7):1100–4.</w:t>
      </w:r>
    </w:p>
    <w:p w14:paraId="77500E10"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11.</w:t>
      </w:r>
      <w:r w:rsidRPr="002C78CA">
        <w:rPr>
          <w:rFonts w:ascii="Times New Roman" w:eastAsia="Times New Roman" w:hAnsi="Times New Roman" w:cs="Times New Roman"/>
          <w:sz w:val="14"/>
          <w:szCs w:val="14"/>
          <w:lang w:val="en-GB"/>
        </w:rPr>
        <w:t xml:space="preserve">    </w:t>
      </w:r>
      <w:proofErr w:type="spellStart"/>
      <w:r w:rsidRPr="002C78CA">
        <w:rPr>
          <w:rFonts w:ascii="Times New Roman" w:eastAsia="Times New Roman" w:hAnsi="Times New Roman" w:cs="Times New Roman"/>
          <w:sz w:val="24"/>
          <w:szCs w:val="24"/>
          <w:lang w:val="en-GB"/>
        </w:rPr>
        <w:t>Lacaille</w:t>
      </w:r>
      <w:proofErr w:type="spellEnd"/>
      <w:r w:rsidRPr="002C78CA">
        <w:rPr>
          <w:rFonts w:ascii="Times New Roman" w:eastAsia="Times New Roman" w:hAnsi="Times New Roman" w:cs="Times New Roman"/>
          <w:sz w:val="24"/>
          <w:szCs w:val="24"/>
          <w:lang w:val="en-GB"/>
        </w:rPr>
        <w:t xml:space="preserve"> D, </w:t>
      </w:r>
      <w:proofErr w:type="spellStart"/>
      <w:r w:rsidRPr="002C78CA">
        <w:rPr>
          <w:rFonts w:ascii="Times New Roman" w:eastAsia="Times New Roman" w:hAnsi="Times New Roman" w:cs="Times New Roman"/>
          <w:sz w:val="24"/>
          <w:szCs w:val="24"/>
          <w:lang w:val="en-GB"/>
        </w:rPr>
        <w:t>Guh</w:t>
      </w:r>
      <w:proofErr w:type="spellEnd"/>
      <w:r w:rsidRPr="002C78CA">
        <w:rPr>
          <w:rFonts w:ascii="Times New Roman" w:eastAsia="Times New Roman" w:hAnsi="Times New Roman" w:cs="Times New Roman"/>
          <w:sz w:val="24"/>
          <w:szCs w:val="24"/>
          <w:lang w:val="en-GB"/>
        </w:rPr>
        <w:t xml:space="preserve"> DP, </w:t>
      </w:r>
      <w:proofErr w:type="spellStart"/>
      <w:r w:rsidRPr="002C78CA">
        <w:rPr>
          <w:rFonts w:ascii="Times New Roman" w:eastAsia="Times New Roman" w:hAnsi="Times New Roman" w:cs="Times New Roman"/>
          <w:sz w:val="24"/>
          <w:szCs w:val="24"/>
          <w:lang w:val="en-GB"/>
        </w:rPr>
        <w:t>Abrahamowicz</w:t>
      </w:r>
      <w:proofErr w:type="spellEnd"/>
      <w:r w:rsidRPr="002C78CA">
        <w:rPr>
          <w:rFonts w:ascii="Times New Roman" w:eastAsia="Times New Roman" w:hAnsi="Times New Roman" w:cs="Times New Roman"/>
          <w:sz w:val="24"/>
          <w:szCs w:val="24"/>
          <w:lang w:val="en-GB"/>
        </w:rPr>
        <w:t xml:space="preserve"> M, Anis AH, Esdaile JM. Use of nonbiologic disease-modifying antirheumatic drugs and risk of infection in patients with rheumatoid arthritis. Arthritis Rheum. 2008 Aug 15;59(8):1074–81.</w:t>
      </w:r>
    </w:p>
    <w:p w14:paraId="553875DF"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0"/>
          <w:szCs w:val="20"/>
          <w:lang w:val="en-GB"/>
        </w:rPr>
        <w:t>12.</w:t>
      </w:r>
      <w:r w:rsidRPr="002C78CA">
        <w:rPr>
          <w:rFonts w:ascii="Times New Roman" w:eastAsia="Times New Roman" w:hAnsi="Times New Roman" w:cs="Times New Roman"/>
          <w:sz w:val="14"/>
          <w:szCs w:val="14"/>
          <w:lang w:val="en-GB"/>
        </w:rPr>
        <w:t xml:space="preserve">    </w:t>
      </w:r>
      <w:r w:rsidRPr="002C78CA">
        <w:rPr>
          <w:rFonts w:ascii="Times New Roman" w:eastAsia="Times New Roman" w:hAnsi="Times New Roman" w:cs="Times New Roman"/>
          <w:sz w:val="24"/>
          <w:szCs w:val="24"/>
          <w:lang w:val="en-GB"/>
        </w:rPr>
        <w:t xml:space="preserve">Smitten AL, Simon TA, Hochberg MC, et al. A meta-analysis of the incidence of malignancy in adult patients with rheumatoid arthritis. Arthritis Res </w:t>
      </w:r>
      <w:proofErr w:type="spellStart"/>
      <w:r w:rsidRPr="002C78CA">
        <w:rPr>
          <w:rFonts w:ascii="Times New Roman" w:eastAsia="Times New Roman" w:hAnsi="Times New Roman" w:cs="Times New Roman"/>
          <w:sz w:val="24"/>
          <w:szCs w:val="24"/>
          <w:lang w:val="en-GB"/>
        </w:rPr>
        <w:t>Ther</w:t>
      </w:r>
      <w:proofErr w:type="spellEnd"/>
      <w:r w:rsidRPr="002C78CA">
        <w:rPr>
          <w:rFonts w:ascii="Times New Roman" w:eastAsia="Times New Roman" w:hAnsi="Times New Roman" w:cs="Times New Roman"/>
          <w:sz w:val="24"/>
          <w:szCs w:val="24"/>
          <w:lang w:val="en-GB"/>
        </w:rPr>
        <w:t xml:space="preserve"> 2008;</w:t>
      </w:r>
      <w:proofErr w:type="gramStart"/>
      <w:r w:rsidRPr="002C78CA">
        <w:rPr>
          <w:rFonts w:ascii="Times New Roman" w:eastAsia="Times New Roman" w:hAnsi="Times New Roman" w:cs="Times New Roman"/>
          <w:sz w:val="24"/>
          <w:szCs w:val="24"/>
          <w:lang w:val="en-GB"/>
        </w:rPr>
        <w:t>10:R</w:t>
      </w:r>
      <w:proofErr w:type="gramEnd"/>
      <w:r w:rsidRPr="002C78CA">
        <w:rPr>
          <w:rFonts w:ascii="Times New Roman" w:eastAsia="Times New Roman" w:hAnsi="Times New Roman" w:cs="Times New Roman"/>
          <w:sz w:val="24"/>
          <w:szCs w:val="24"/>
          <w:lang w:val="en-GB"/>
        </w:rPr>
        <w:t>45. doi:10.1186/ar2404</w:t>
      </w:r>
    </w:p>
    <w:p w14:paraId="720EC1CD"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4"/>
          <w:szCs w:val="24"/>
          <w:lang w:val="en-GB"/>
        </w:rPr>
        <w:t xml:space="preserve">13. Hripcsak, George, Patrick B. Ryan, Jon D. Duke, Nigam H. Shah, Rae </w:t>
      </w:r>
      <w:proofErr w:type="spellStart"/>
      <w:r w:rsidRPr="002C78CA">
        <w:rPr>
          <w:rFonts w:ascii="Times New Roman" w:eastAsia="Times New Roman" w:hAnsi="Times New Roman" w:cs="Times New Roman"/>
          <w:sz w:val="24"/>
          <w:szCs w:val="24"/>
          <w:lang w:val="en-GB"/>
        </w:rPr>
        <w:t>Woong</w:t>
      </w:r>
      <w:proofErr w:type="spellEnd"/>
      <w:r w:rsidRPr="002C78CA">
        <w:rPr>
          <w:rFonts w:ascii="Times New Roman" w:eastAsia="Times New Roman" w:hAnsi="Times New Roman" w:cs="Times New Roman"/>
          <w:sz w:val="24"/>
          <w:szCs w:val="24"/>
          <w:lang w:val="en-GB"/>
        </w:rPr>
        <w:t xml:space="preserve"> Park, Vojtech Huser, Marc A. Suchard, et al. 2016. “Characterizing treatment pathways at scale using the OHDSI network.” Proceedings of the National Academy of Sciences 113 (27): 7329–36.</w:t>
      </w:r>
    </w:p>
    <w:p w14:paraId="3B2DD4DA" w14:textId="77777777" w:rsidR="00795C1C" w:rsidRPr="002C78CA" w:rsidRDefault="00B0356B">
      <w:pPr>
        <w:spacing w:before="240" w:after="240"/>
        <w:ind w:left="1080" w:hanging="360"/>
        <w:rPr>
          <w:rFonts w:ascii="Times New Roman" w:eastAsia="Times New Roman" w:hAnsi="Times New Roman" w:cs="Times New Roman"/>
          <w:sz w:val="24"/>
          <w:szCs w:val="24"/>
          <w:lang w:val="en-GB"/>
        </w:rPr>
      </w:pPr>
      <w:r w:rsidRPr="002C78CA">
        <w:rPr>
          <w:rFonts w:ascii="Times New Roman" w:eastAsia="Times New Roman" w:hAnsi="Times New Roman" w:cs="Times New Roman"/>
          <w:sz w:val="24"/>
          <w:szCs w:val="24"/>
          <w:lang w:val="en-GB"/>
        </w:rPr>
        <w:t>14. Observational Health Data Sciences and Informatics. The Book of OHDSI [book on the Internet]. Chapter 11, Characterization - Treatment Pathways Available from:</w:t>
      </w:r>
      <w:hyperlink r:id="rId10" w:anchor="treatment-pathways">
        <w:r w:rsidRPr="002C78CA">
          <w:rPr>
            <w:rFonts w:ascii="Times New Roman" w:eastAsia="Times New Roman" w:hAnsi="Times New Roman" w:cs="Times New Roman"/>
            <w:color w:val="1155CC"/>
            <w:sz w:val="24"/>
            <w:szCs w:val="24"/>
            <w:u w:val="single"/>
            <w:lang w:val="en-GB"/>
          </w:rPr>
          <w:t>https://ohdsi.github.io/TheBookOfOhdsi/Characterization.html#treatment-pathways</w:t>
        </w:r>
      </w:hyperlink>
    </w:p>
    <w:p w14:paraId="684B80F1" w14:textId="414D49C6" w:rsidR="009E03D9" w:rsidRDefault="009E03D9" w:rsidP="009E03D9">
      <w:pPr>
        <w:pStyle w:val="Heading1"/>
        <w:rPr>
          <w:lang w:val="en-GB"/>
        </w:rPr>
      </w:pPr>
      <w:r>
        <w:rPr>
          <w:lang w:val="en-GB"/>
        </w:rPr>
        <w:br w:type="page"/>
      </w:r>
    </w:p>
    <w:p w14:paraId="7A23C2BB" w14:textId="77777777" w:rsidR="009E03D9" w:rsidRDefault="009E03D9" w:rsidP="009E03D9">
      <w:pPr>
        <w:pStyle w:val="Heading1"/>
        <w:rPr>
          <w:lang w:val="en-GB"/>
        </w:rPr>
      </w:pPr>
      <w:r>
        <w:rPr>
          <w:lang w:val="en-GB"/>
        </w:rPr>
        <w:lastRenderedPageBreak/>
        <w:t>Appendix: Supplementary documents</w:t>
      </w:r>
    </w:p>
    <w:p w14:paraId="0E0042B7" w14:textId="2A2575C5" w:rsidR="009E03D9" w:rsidRDefault="009E03D9">
      <w:pPr>
        <w:rPr>
          <w:lang w:val="en-GB"/>
        </w:rPr>
      </w:pPr>
      <w:r>
        <w:rPr>
          <w:lang w:val="en-GB"/>
        </w:rPr>
        <w:t xml:space="preserve"> </w:t>
      </w:r>
    </w:p>
    <w:p w14:paraId="4D1402D3" w14:textId="50D24D4F" w:rsidR="00795C1C" w:rsidRDefault="009E03D9">
      <w:pPr>
        <w:rPr>
          <w:lang w:val="en-GB"/>
        </w:rPr>
      </w:pPr>
      <w:r>
        <w:rPr>
          <w:lang w:val="en-GB"/>
        </w:rPr>
        <w:t xml:space="preserve">Table 1 – </w:t>
      </w:r>
      <w:r w:rsidR="000B295A">
        <w:rPr>
          <w:lang w:val="en-GB"/>
        </w:rPr>
        <w:t>DMARDs groups</w:t>
      </w:r>
    </w:p>
    <w:p w14:paraId="075E64EB" w14:textId="56A08A9D" w:rsidR="009E03D9" w:rsidRDefault="009E03D9">
      <w:pPr>
        <w:rPr>
          <w:lang w:val="en-GB"/>
        </w:rPr>
      </w:pPr>
      <w:r>
        <w:rPr>
          <w:noProof/>
          <w:lang w:val="en-GB"/>
        </w:rPr>
        <w:drawing>
          <wp:inline distT="0" distB="0" distL="0" distR="0" wp14:anchorId="67F29382" wp14:editId="6011C056">
            <wp:extent cx="5730240" cy="251460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514600"/>
                    </a:xfrm>
                    <a:prstGeom prst="rect">
                      <a:avLst/>
                    </a:prstGeom>
                    <a:noFill/>
                    <a:ln>
                      <a:noFill/>
                    </a:ln>
                  </pic:spPr>
                </pic:pic>
              </a:graphicData>
            </a:graphic>
          </wp:inline>
        </w:drawing>
      </w:r>
    </w:p>
    <w:p w14:paraId="1B740B7E" w14:textId="6280C61D" w:rsidR="009E03D9" w:rsidRPr="000B295A" w:rsidRDefault="000B295A" w:rsidP="000B295A">
      <w:pPr>
        <w:spacing w:line="360" w:lineRule="auto"/>
        <w:jc w:val="both"/>
        <w:rPr>
          <w:lang w:val="en-GB"/>
        </w:rPr>
      </w:pPr>
      <w:r>
        <w:rPr>
          <w:lang w:val="en-GB"/>
        </w:rPr>
        <w:t>*</w:t>
      </w:r>
      <w:r w:rsidR="009E03D9" w:rsidRPr="000B295A">
        <w:rPr>
          <w:lang w:val="en-GB"/>
        </w:rPr>
        <w:t>Minocycline was also included in the analysis since this drug is approved for treatment of RA in Japan.</w:t>
      </w:r>
    </w:p>
    <w:p w14:paraId="3FA031A8" w14:textId="3B76FEC9" w:rsidR="009E03D9" w:rsidRDefault="009E03D9">
      <w:pPr>
        <w:rPr>
          <w:lang w:val="en-GB"/>
        </w:rPr>
      </w:pPr>
    </w:p>
    <w:p w14:paraId="24F46229" w14:textId="77777777" w:rsidR="009E03D9" w:rsidRDefault="009E03D9">
      <w:pPr>
        <w:rPr>
          <w:lang w:val="en-GB"/>
        </w:rPr>
      </w:pPr>
      <w:r>
        <w:rPr>
          <w:lang w:val="en-GB"/>
        </w:rPr>
        <w:br w:type="page"/>
      </w:r>
    </w:p>
    <w:p w14:paraId="1A12A1A2" w14:textId="04DCC814" w:rsidR="009E03D9" w:rsidRDefault="009E03D9" w:rsidP="009E03D9">
      <w:pPr>
        <w:rPr>
          <w:lang w:val="en-GB"/>
        </w:rPr>
      </w:pPr>
      <w:r>
        <w:rPr>
          <w:lang w:val="en-GB"/>
        </w:rPr>
        <w:lastRenderedPageBreak/>
        <w:t>Table 2 – Rheumatoid arthritis Concept Set</w:t>
      </w:r>
    </w:p>
    <w:p w14:paraId="719122C8" w14:textId="4E668FE4" w:rsidR="009E03D9" w:rsidRDefault="009E03D9" w:rsidP="009E03D9">
      <w:pPr>
        <w:rPr>
          <w:lang w:val="en-GB"/>
        </w:rPr>
      </w:pPr>
    </w:p>
    <w:tbl>
      <w:tblPr>
        <w:tblStyle w:val="TableGrid"/>
        <w:tblW w:w="5000" w:type="pct"/>
        <w:tblLook w:val="04A0" w:firstRow="1" w:lastRow="0" w:firstColumn="1" w:lastColumn="0" w:noHBand="0" w:noVBand="1"/>
      </w:tblPr>
      <w:tblGrid>
        <w:gridCol w:w="4508"/>
        <w:gridCol w:w="4511"/>
      </w:tblGrid>
      <w:tr w:rsidR="00656F1B" w14:paraId="169E8D55" w14:textId="77777777" w:rsidTr="00656F1B">
        <w:tc>
          <w:tcPr>
            <w:tcW w:w="2499" w:type="pct"/>
          </w:tcPr>
          <w:p w14:paraId="04AC4718" w14:textId="0B89B0C5" w:rsidR="00656F1B" w:rsidRDefault="00656F1B" w:rsidP="009E03D9">
            <w:pPr>
              <w:rPr>
                <w:lang w:val="en-GB"/>
              </w:rPr>
            </w:pPr>
            <w:r>
              <w:rPr>
                <w:lang w:val="en-GB"/>
              </w:rPr>
              <w:t>Concept Name</w:t>
            </w:r>
          </w:p>
        </w:tc>
        <w:tc>
          <w:tcPr>
            <w:tcW w:w="2501" w:type="pct"/>
          </w:tcPr>
          <w:p w14:paraId="60301073" w14:textId="5B46D73A" w:rsidR="00656F1B" w:rsidRDefault="00656F1B" w:rsidP="009E03D9">
            <w:pPr>
              <w:rPr>
                <w:lang w:val="en-GB"/>
              </w:rPr>
            </w:pPr>
            <w:r>
              <w:rPr>
                <w:lang w:val="en-GB"/>
              </w:rPr>
              <w:t>Concept Id</w:t>
            </w:r>
          </w:p>
        </w:tc>
      </w:tr>
      <w:tr w:rsidR="00656F1B" w14:paraId="0D94C112" w14:textId="77777777" w:rsidTr="00656F1B">
        <w:tc>
          <w:tcPr>
            <w:tcW w:w="2499" w:type="pct"/>
          </w:tcPr>
          <w:p w14:paraId="5BA0A54F" w14:textId="480BC982" w:rsidR="00656F1B" w:rsidRDefault="00656F1B" w:rsidP="009E03D9">
            <w:pPr>
              <w:rPr>
                <w:lang w:val="en-GB"/>
              </w:rPr>
            </w:pPr>
            <w:r w:rsidRPr="00DA269D">
              <w:rPr>
                <w:rFonts w:ascii="&amp;quot" w:hAnsi="&amp;quot"/>
                <w:color w:val="000000"/>
                <w:lang w:val="en-GB"/>
              </w:rPr>
              <w:t>Cutaneous atrophy due to rheumatoid</w:t>
            </w:r>
          </w:p>
        </w:tc>
        <w:tc>
          <w:tcPr>
            <w:tcW w:w="2501" w:type="pct"/>
          </w:tcPr>
          <w:p w14:paraId="3CF2A0B7" w14:textId="17FCD265" w:rsidR="00656F1B" w:rsidRDefault="00656F1B" w:rsidP="009E03D9">
            <w:pPr>
              <w:rPr>
                <w:lang w:val="en-GB"/>
              </w:rPr>
            </w:pPr>
            <w:r w:rsidRPr="00DA269D">
              <w:rPr>
                <w:rFonts w:ascii="&amp;quot" w:hAnsi="&amp;quot"/>
                <w:color w:val="000000"/>
                <w:lang w:val="en-GB"/>
              </w:rPr>
              <w:t>4297650</w:t>
            </w:r>
          </w:p>
        </w:tc>
      </w:tr>
      <w:tr w:rsidR="00656F1B" w14:paraId="4DEAEC70" w14:textId="77777777" w:rsidTr="00656F1B">
        <w:tc>
          <w:tcPr>
            <w:tcW w:w="2499" w:type="pct"/>
          </w:tcPr>
          <w:p w14:paraId="1EBF754E" w14:textId="31323E75" w:rsidR="00656F1B" w:rsidRDefault="00656F1B" w:rsidP="009E03D9">
            <w:pPr>
              <w:rPr>
                <w:lang w:val="en-GB"/>
              </w:rPr>
            </w:pPr>
            <w:r w:rsidRPr="00DA269D">
              <w:rPr>
                <w:rFonts w:ascii="&amp;quot" w:hAnsi="&amp;quot"/>
                <w:color w:val="000000"/>
                <w:lang w:val="en-GB"/>
              </w:rPr>
              <w:t>Deformity of foot due to rheumatoid</w:t>
            </w:r>
          </w:p>
        </w:tc>
        <w:tc>
          <w:tcPr>
            <w:tcW w:w="2501" w:type="pct"/>
          </w:tcPr>
          <w:p w14:paraId="3203F9CB" w14:textId="34A2B90E" w:rsidR="00656F1B" w:rsidRDefault="00656F1B" w:rsidP="009E03D9">
            <w:pPr>
              <w:rPr>
                <w:lang w:val="en-GB"/>
              </w:rPr>
            </w:pPr>
            <w:r w:rsidRPr="00DA269D">
              <w:rPr>
                <w:rFonts w:ascii="&amp;quot" w:hAnsi="&amp;quot"/>
                <w:color w:val="000000"/>
                <w:lang w:val="en-GB"/>
              </w:rPr>
              <w:t>4334806</w:t>
            </w:r>
          </w:p>
        </w:tc>
      </w:tr>
      <w:tr w:rsidR="00656F1B" w14:paraId="0D7882A2" w14:textId="77777777" w:rsidTr="00656F1B">
        <w:tc>
          <w:tcPr>
            <w:tcW w:w="2499" w:type="pct"/>
          </w:tcPr>
          <w:p w14:paraId="487D5BD4" w14:textId="18D74EB4" w:rsidR="00656F1B" w:rsidRDefault="00656F1B" w:rsidP="009E03D9">
            <w:pPr>
              <w:rPr>
                <w:lang w:val="en-GB"/>
              </w:rPr>
            </w:pPr>
            <w:r w:rsidRPr="00DA269D">
              <w:rPr>
                <w:rFonts w:ascii="&amp;quot" w:hAnsi="&amp;quot"/>
                <w:color w:val="000000"/>
                <w:lang w:val="en-GB"/>
              </w:rPr>
              <w:t>Deformity of hand due to rheumatoid</w:t>
            </w:r>
          </w:p>
        </w:tc>
        <w:tc>
          <w:tcPr>
            <w:tcW w:w="2501" w:type="pct"/>
          </w:tcPr>
          <w:p w14:paraId="0C38B760" w14:textId="6C5D54E3" w:rsidR="00656F1B" w:rsidRDefault="00656F1B" w:rsidP="009E03D9">
            <w:pPr>
              <w:rPr>
                <w:lang w:val="en-GB"/>
              </w:rPr>
            </w:pPr>
            <w:r w:rsidRPr="00DA269D">
              <w:rPr>
                <w:rFonts w:ascii="&amp;quot" w:hAnsi="&amp;quot"/>
                <w:color w:val="000000"/>
                <w:lang w:val="en-GB"/>
              </w:rPr>
              <w:t>46273442</w:t>
            </w:r>
          </w:p>
        </w:tc>
      </w:tr>
      <w:tr w:rsidR="00656F1B" w14:paraId="033D9AB9" w14:textId="77777777" w:rsidTr="00656F1B">
        <w:tc>
          <w:tcPr>
            <w:tcW w:w="2499" w:type="pct"/>
          </w:tcPr>
          <w:p w14:paraId="6338336D" w14:textId="06DC7576" w:rsidR="00656F1B" w:rsidRDefault="00656F1B" w:rsidP="009E03D9">
            <w:pPr>
              <w:rPr>
                <w:lang w:val="en-GB"/>
              </w:rPr>
            </w:pPr>
            <w:r w:rsidRPr="00DA269D">
              <w:rPr>
                <w:rFonts w:ascii="&amp;quot" w:hAnsi="&amp;quot"/>
                <w:color w:val="000000"/>
                <w:lang w:val="en-GB"/>
              </w:rPr>
              <w:t>Disease prognosis for rheumatoid arthritis assessed, good prognosis</w:t>
            </w:r>
          </w:p>
        </w:tc>
        <w:tc>
          <w:tcPr>
            <w:tcW w:w="2501" w:type="pct"/>
          </w:tcPr>
          <w:p w14:paraId="7E19CDBC" w14:textId="7D2B7949" w:rsidR="00656F1B" w:rsidRDefault="00656F1B" w:rsidP="009E03D9">
            <w:pPr>
              <w:rPr>
                <w:lang w:val="en-GB"/>
              </w:rPr>
            </w:pPr>
            <w:r w:rsidRPr="00DA269D">
              <w:rPr>
                <w:rFonts w:ascii="&amp;quot" w:hAnsi="&amp;quot"/>
                <w:color w:val="000000"/>
                <w:lang w:val="en-GB"/>
              </w:rPr>
              <w:t>2107572</w:t>
            </w:r>
          </w:p>
        </w:tc>
      </w:tr>
      <w:tr w:rsidR="00656F1B" w14:paraId="2BBC5277" w14:textId="77777777" w:rsidTr="00656F1B">
        <w:tc>
          <w:tcPr>
            <w:tcW w:w="2499" w:type="pct"/>
          </w:tcPr>
          <w:p w14:paraId="6D655DC8" w14:textId="740418A1" w:rsidR="00656F1B" w:rsidRDefault="00656F1B" w:rsidP="009E03D9">
            <w:pPr>
              <w:rPr>
                <w:lang w:val="en-GB"/>
              </w:rPr>
            </w:pPr>
            <w:r w:rsidRPr="00DA269D">
              <w:rPr>
                <w:rFonts w:ascii="&amp;quot" w:hAnsi="&amp;quot"/>
                <w:color w:val="000000"/>
                <w:lang w:val="en-GB"/>
              </w:rPr>
              <w:t>Disease prognosis for rheumatoid arthritis assessed, poor prognosis</w:t>
            </w:r>
          </w:p>
        </w:tc>
        <w:tc>
          <w:tcPr>
            <w:tcW w:w="2501" w:type="pct"/>
          </w:tcPr>
          <w:p w14:paraId="64CBB2CC" w14:textId="1F2A7240" w:rsidR="00656F1B" w:rsidRDefault="00656F1B" w:rsidP="009E03D9">
            <w:pPr>
              <w:rPr>
                <w:lang w:val="en-GB"/>
              </w:rPr>
            </w:pPr>
            <w:r w:rsidRPr="00DA269D">
              <w:rPr>
                <w:rFonts w:ascii="&amp;quot" w:hAnsi="&amp;quot"/>
                <w:color w:val="000000"/>
                <w:lang w:val="en-GB"/>
              </w:rPr>
              <w:t>2107561</w:t>
            </w:r>
          </w:p>
        </w:tc>
      </w:tr>
      <w:tr w:rsidR="00656F1B" w14:paraId="636F58A0" w14:textId="77777777" w:rsidTr="00656F1B">
        <w:tc>
          <w:tcPr>
            <w:tcW w:w="2499" w:type="pct"/>
          </w:tcPr>
          <w:p w14:paraId="72B47C97" w14:textId="1CFABB8D" w:rsidR="00656F1B" w:rsidRDefault="00656F1B" w:rsidP="009E03D9">
            <w:pPr>
              <w:rPr>
                <w:lang w:val="en-GB"/>
              </w:rPr>
            </w:pPr>
            <w:r w:rsidRPr="00DA269D">
              <w:rPr>
                <w:rFonts w:ascii="&amp;quot" w:hAnsi="&amp;quot"/>
                <w:color w:val="000000"/>
                <w:lang w:val="en-GB"/>
              </w:rPr>
              <w:t>Myopathy due to rheumatoid</w:t>
            </w:r>
          </w:p>
        </w:tc>
        <w:tc>
          <w:tcPr>
            <w:tcW w:w="2501" w:type="pct"/>
          </w:tcPr>
          <w:p w14:paraId="111C9323" w14:textId="32BD7F7F" w:rsidR="00656F1B" w:rsidRDefault="00656F1B" w:rsidP="009E03D9">
            <w:pPr>
              <w:rPr>
                <w:lang w:val="en-GB"/>
              </w:rPr>
            </w:pPr>
            <w:r w:rsidRPr="00DA269D">
              <w:rPr>
                <w:rFonts w:ascii="&amp;quot" w:hAnsi="&amp;quot"/>
                <w:color w:val="000000"/>
                <w:lang w:val="en-GB"/>
              </w:rPr>
              <w:t>4107913</w:t>
            </w:r>
          </w:p>
        </w:tc>
      </w:tr>
      <w:tr w:rsidR="00656F1B" w14:paraId="3BD059CF" w14:textId="77777777" w:rsidTr="00656F1B">
        <w:tc>
          <w:tcPr>
            <w:tcW w:w="2499" w:type="pct"/>
          </w:tcPr>
          <w:p w14:paraId="41A7DB79" w14:textId="55608228" w:rsidR="00656F1B" w:rsidRDefault="00656F1B" w:rsidP="009E03D9">
            <w:pPr>
              <w:rPr>
                <w:lang w:val="en-GB"/>
              </w:rPr>
            </w:pPr>
            <w:r w:rsidRPr="00DA269D">
              <w:rPr>
                <w:rFonts w:ascii="&amp;quot" w:hAnsi="&amp;quot"/>
                <w:color w:val="000000"/>
                <w:lang w:val="en-GB"/>
              </w:rPr>
              <w:t>Patient receiving first-time biologic disease modifying anti-rheumatic drug therapy for rheumatoid arthritis (</w:t>
            </w:r>
            <w:proofErr w:type="gramStart"/>
            <w:r w:rsidRPr="00DA269D">
              <w:rPr>
                <w:rFonts w:ascii="&amp;quot" w:hAnsi="&amp;quot"/>
                <w:color w:val="000000"/>
                <w:lang w:val="en-GB"/>
              </w:rPr>
              <w:t>RA)   </w:t>
            </w:r>
            <w:proofErr w:type="gramEnd"/>
            <w:r w:rsidRPr="00DA269D">
              <w:rPr>
                <w:rFonts w:ascii="&amp;quot" w:hAnsi="&amp;quot"/>
                <w:color w:val="000000"/>
                <w:lang w:val="en-GB"/>
              </w:rPr>
              <w:t>  </w:t>
            </w:r>
          </w:p>
        </w:tc>
        <w:tc>
          <w:tcPr>
            <w:tcW w:w="2501" w:type="pct"/>
          </w:tcPr>
          <w:p w14:paraId="5F9B99A1" w14:textId="45F6E232" w:rsidR="00656F1B" w:rsidRDefault="00656F1B" w:rsidP="009E03D9">
            <w:pPr>
              <w:rPr>
                <w:lang w:val="en-GB"/>
              </w:rPr>
            </w:pPr>
            <w:r w:rsidRPr="00DA269D">
              <w:rPr>
                <w:rFonts w:ascii="&amp;quot" w:hAnsi="&amp;quot"/>
                <w:color w:val="000000"/>
                <w:lang w:val="en-GB"/>
              </w:rPr>
              <w:t>2108721</w:t>
            </w:r>
          </w:p>
        </w:tc>
      </w:tr>
      <w:tr w:rsidR="00656F1B" w14:paraId="4127A28D" w14:textId="77777777" w:rsidTr="00656F1B">
        <w:tc>
          <w:tcPr>
            <w:tcW w:w="2499" w:type="pct"/>
          </w:tcPr>
          <w:p w14:paraId="2C609E80" w14:textId="3A223435" w:rsidR="00656F1B" w:rsidRDefault="00656F1B" w:rsidP="009E03D9">
            <w:pPr>
              <w:rPr>
                <w:lang w:val="en-GB"/>
              </w:rPr>
            </w:pPr>
            <w:r w:rsidRPr="00DA269D">
              <w:rPr>
                <w:rFonts w:ascii="&amp;quot" w:hAnsi="&amp;quot"/>
                <w:color w:val="000000"/>
                <w:lang w:val="en-GB"/>
              </w:rPr>
              <w:t>Polyneuropathy in rheumatoid</w:t>
            </w:r>
          </w:p>
        </w:tc>
        <w:tc>
          <w:tcPr>
            <w:tcW w:w="2501" w:type="pct"/>
          </w:tcPr>
          <w:p w14:paraId="11AD51CB" w14:textId="77CDA768" w:rsidR="00656F1B" w:rsidRDefault="00656F1B" w:rsidP="009E03D9">
            <w:pPr>
              <w:rPr>
                <w:lang w:val="en-GB"/>
              </w:rPr>
            </w:pPr>
            <w:r w:rsidRPr="00DA269D">
              <w:rPr>
                <w:rFonts w:ascii="&amp;quot" w:hAnsi="&amp;quot"/>
                <w:color w:val="000000"/>
                <w:lang w:val="en-GB"/>
              </w:rPr>
              <w:t>4102493</w:t>
            </w:r>
          </w:p>
        </w:tc>
      </w:tr>
      <w:tr w:rsidR="00656F1B" w14:paraId="48BA83E5" w14:textId="77777777" w:rsidTr="00656F1B">
        <w:tc>
          <w:tcPr>
            <w:tcW w:w="2499" w:type="pct"/>
          </w:tcPr>
          <w:p w14:paraId="174FDD24" w14:textId="6A95451F" w:rsidR="00656F1B" w:rsidRDefault="00656F1B" w:rsidP="009E03D9">
            <w:pPr>
              <w:rPr>
                <w:lang w:val="en-GB"/>
              </w:rPr>
            </w:pPr>
            <w:r w:rsidRPr="00DA269D">
              <w:rPr>
                <w:rFonts w:ascii="&amp;quot" w:hAnsi="&amp;quot"/>
                <w:color w:val="000000"/>
                <w:lang w:val="en-GB"/>
              </w:rPr>
              <w:t>Rheumatoid arthritis      </w:t>
            </w:r>
          </w:p>
        </w:tc>
        <w:tc>
          <w:tcPr>
            <w:tcW w:w="2501" w:type="pct"/>
          </w:tcPr>
          <w:p w14:paraId="6DE36C31" w14:textId="4533CE37" w:rsidR="00656F1B" w:rsidRDefault="00656F1B" w:rsidP="009E03D9">
            <w:pPr>
              <w:rPr>
                <w:lang w:val="en-GB"/>
              </w:rPr>
            </w:pPr>
            <w:r w:rsidRPr="00DA269D">
              <w:rPr>
                <w:rFonts w:ascii="&amp;quot" w:hAnsi="&amp;quot"/>
                <w:color w:val="000000"/>
                <w:lang w:val="en-GB"/>
              </w:rPr>
              <w:t>2107560</w:t>
            </w:r>
          </w:p>
        </w:tc>
      </w:tr>
      <w:tr w:rsidR="00656F1B" w14:paraId="4293850C" w14:textId="77777777" w:rsidTr="00656F1B">
        <w:tc>
          <w:tcPr>
            <w:tcW w:w="2499" w:type="pct"/>
          </w:tcPr>
          <w:p w14:paraId="492E8C06" w14:textId="62FC806D" w:rsidR="00656F1B" w:rsidRDefault="00656F1B" w:rsidP="009E03D9">
            <w:pPr>
              <w:rPr>
                <w:lang w:val="en-GB"/>
              </w:rPr>
            </w:pPr>
            <w:r w:rsidRPr="00DA269D">
              <w:rPr>
                <w:rFonts w:ascii="&amp;quot" w:hAnsi="&amp;quot"/>
                <w:color w:val="000000"/>
                <w:lang w:val="en-GB"/>
              </w:rPr>
              <w:t>Rheumatoid arthritis (RA) disease activity, high</w:t>
            </w:r>
          </w:p>
        </w:tc>
        <w:tc>
          <w:tcPr>
            <w:tcW w:w="2501" w:type="pct"/>
          </w:tcPr>
          <w:p w14:paraId="19BEAA2F" w14:textId="64F9D682" w:rsidR="00656F1B" w:rsidRDefault="00656F1B" w:rsidP="009E03D9">
            <w:pPr>
              <w:rPr>
                <w:lang w:val="en-GB"/>
              </w:rPr>
            </w:pPr>
            <w:r w:rsidRPr="00DA269D">
              <w:rPr>
                <w:rFonts w:ascii="&amp;quot" w:hAnsi="&amp;quot"/>
                <w:color w:val="000000"/>
                <w:lang w:val="en-GB"/>
              </w:rPr>
              <w:t>2107560</w:t>
            </w:r>
          </w:p>
        </w:tc>
      </w:tr>
      <w:tr w:rsidR="00656F1B" w14:paraId="771F31EC" w14:textId="77777777" w:rsidTr="00656F1B">
        <w:tc>
          <w:tcPr>
            <w:tcW w:w="2499" w:type="pct"/>
          </w:tcPr>
          <w:p w14:paraId="3596B285" w14:textId="20541483" w:rsidR="00656F1B" w:rsidRDefault="00656F1B" w:rsidP="009E03D9">
            <w:pPr>
              <w:rPr>
                <w:lang w:val="en-GB"/>
              </w:rPr>
            </w:pPr>
            <w:r w:rsidRPr="00DA269D">
              <w:rPr>
                <w:rFonts w:ascii="&amp;quot" w:hAnsi="&amp;quot"/>
                <w:color w:val="000000"/>
                <w:lang w:val="en-GB"/>
              </w:rPr>
              <w:t>Rheumatoid arthritis (RA) disease activity, low</w:t>
            </w:r>
          </w:p>
        </w:tc>
        <w:tc>
          <w:tcPr>
            <w:tcW w:w="2501" w:type="pct"/>
          </w:tcPr>
          <w:p w14:paraId="714B76F3" w14:textId="344D6E96" w:rsidR="00656F1B" w:rsidRDefault="00656F1B" w:rsidP="009E03D9">
            <w:pPr>
              <w:rPr>
                <w:lang w:val="en-GB"/>
              </w:rPr>
            </w:pPr>
            <w:r w:rsidRPr="00DA269D">
              <w:rPr>
                <w:rFonts w:ascii="&amp;quot" w:hAnsi="&amp;quot"/>
                <w:color w:val="000000"/>
                <w:lang w:val="en-GB"/>
              </w:rPr>
              <w:t>2107558</w:t>
            </w:r>
          </w:p>
        </w:tc>
      </w:tr>
      <w:tr w:rsidR="00656F1B" w14:paraId="17A024A0" w14:textId="77777777" w:rsidTr="00656F1B">
        <w:tc>
          <w:tcPr>
            <w:tcW w:w="2499" w:type="pct"/>
          </w:tcPr>
          <w:p w14:paraId="02CB2F70" w14:textId="28E6855E" w:rsidR="00656F1B" w:rsidRDefault="00656F1B" w:rsidP="009E03D9">
            <w:pPr>
              <w:rPr>
                <w:lang w:val="en-GB"/>
              </w:rPr>
            </w:pPr>
            <w:r w:rsidRPr="00DA269D">
              <w:rPr>
                <w:rFonts w:ascii="&amp;quot" w:hAnsi="&amp;quot"/>
                <w:color w:val="000000"/>
                <w:lang w:val="en-GB"/>
              </w:rPr>
              <w:t>Rheumatoid arthritis (RA) disease activity, moderate</w:t>
            </w:r>
          </w:p>
        </w:tc>
        <w:tc>
          <w:tcPr>
            <w:tcW w:w="2501" w:type="pct"/>
          </w:tcPr>
          <w:p w14:paraId="47E7832D" w14:textId="17543581" w:rsidR="00656F1B" w:rsidRDefault="00656F1B" w:rsidP="009E03D9">
            <w:pPr>
              <w:rPr>
                <w:lang w:val="en-GB"/>
              </w:rPr>
            </w:pPr>
            <w:r w:rsidRPr="00DA269D">
              <w:rPr>
                <w:rFonts w:ascii="&amp;quot" w:hAnsi="&amp;quot"/>
                <w:color w:val="000000"/>
                <w:lang w:val="en-GB"/>
              </w:rPr>
              <w:t>2107559</w:t>
            </w:r>
          </w:p>
        </w:tc>
      </w:tr>
      <w:tr w:rsidR="00656F1B" w14:paraId="03247776" w14:textId="77777777" w:rsidTr="00656F1B">
        <w:tc>
          <w:tcPr>
            <w:tcW w:w="2499" w:type="pct"/>
          </w:tcPr>
          <w:p w14:paraId="75A9DF58" w14:textId="1AAA025A" w:rsidR="00656F1B" w:rsidRDefault="00656F1B" w:rsidP="009E03D9">
            <w:pPr>
              <w:rPr>
                <w:lang w:val="en-GB"/>
              </w:rPr>
            </w:pPr>
            <w:r w:rsidRPr="00DA269D">
              <w:rPr>
                <w:rFonts w:ascii="&amp;quot" w:hAnsi="&amp;quot"/>
                <w:color w:val="000000"/>
                <w:lang w:val="en-GB"/>
              </w:rPr>
              <w:t>Seronegative rheumatoid</w:t>
            </w:r>
          </w:p>
        </w:tc>
        <w:tc>
          <w:tcPr>
            <w:tcW w:w="2501" w:type="pct"/>
          </w:tcPr>
          <w:p w14:paraId="10EA2F47" w14:textId="3E34722A" w:rsidR="00656F1B" w:rsidRDefault="00656F1B" w:rsidP="009E03D9">
            <w:pPr>
              <w:rPr>
                <w:lang w:val="en-GB"/>
              </w:rPr>
            </w:pPr>
            <w:r w:rsidRPr="00DA269D">
              <w:rPr>
                <w:rFonts w:ascii="&amp;quot" w:hAnsi="&amp;quot"/>
                <w:color w:val="000000"/>
                <w:lang w:val="en-GB"/>
              </w:rPr>
              <w:t>4083556</w:t>
            </w:r>
          </w:p>
        </w:tc>
      </w:tr>
      <w:tr w:rsidR="00656F1B" w14:paraId="703F71A3" w14:textId="77777777" w:rsidTr="00656F1B">
        <w:tc>
          <w:tcPr>
            <w:tcW w:w="2499" w:type="pct"/>
          </w:tcPr>
          <w:p w14:paraId="290793FB" w14:textId="34636F47" w:rsidR="00656F1B" w:rsidRDefault="00656F1B" w:rsidP="009E03D9">
            <w:pPr>
              <w:rPr>
                <w:lang w:val="en-GB"/>
              </w:rPr>
            </w:pPr>
            <w:r w:rsidRPr="00DA269D">
              <w:rPr>
                <w:rFonts w:ascii="&amp;quot" w:hAnsi="&amp;quot"/>
                <w:color w:val="000000"/>
                <w:lang w:val="en-GB"/>
              </w:rPr>
              <w:t>Seropositive rheumatoid</w:t>
            </w:r>
          </w:p>
        </w:tc>
        <w:tc>
          <w:tcPr>
            <w:tcW w:w="2501" w:type="pct"/>
          </w:tcPr>
          <w:p w14:paraId="22C4BAD0" w14:textId="341325CD" w:rsidR="00656F1B" w:rsidRDefault="00656F1B" w:rsidP="009E03D9">
            <w:pPr>
              <w:rPr>
                <w:lang w:val="en-GB"/>
              </w:rPr>
            </w:pPr>
            <w:r w:rsidRPr="00DA269D">
              <w:rPr>
                <w:rFonts w:ascii="&amp;quot" w:hAnsi="&amp;quot"/>
                <w:color w:val="000000"/>
                <w:lang w:val="en-GB"/>
              </w:rPr>
              <w:t>4035611</w:t>
            </w:r>
          </w:p>
        </w:tc>
      </w:tr>
    </w:tbl>
    <w:p w14:paraId="4FAB053B" w14:textId="2C5158B8" w:rsidR="009E03D9" w:rsidRDefault="009E03D9" w:rsidP="009E03D9">
      <w:pPr>
        <w:rPr>
          <w:lang w:val="en-GB"/>
        </w:rPr>
      </w:pPr>
    </w:p>
    <w:p w14:paraId="47C55566" w14:textId="7869F9A0" w:rsidR="00656F1B" w:rsidRDefault="00656F1B" w:rsidP="009E03D9">
      <w:pPr>
        <w:rPr>
          <w:lang w:val="en-GB"/>
        </w:rPr>
      </w:pPr>
    </w:p>
    <w:p w14:paraId="149A6B95" w14:textId="77777777" w:rsidR="00656F1B" w:rsidRDefault="00656F1B" w:rsidP="009E03D9">
      <w:pPr>
        <w:rPr>
          <w:lang w:val="en-GB"/>
        </w:rPr>
      </w:pPr>
    </w:p>
    <w:p w14:paraId="33481F59" w14:textId="330BA5DB" w:rsidR="00DA269D" w:rsidRDefault="00DA269D">
      <w:pPr>
        <w:rPr>
          <w:lang w:val="en-GB"/>
        </w:rPr>
      </w:pPr>
      <w:r>
        <w:rPr>
          <w:lang w:val="en-GB"/>
        </w:rPr>
        <w:br w:type="page"/>
      </w:r>
    </w:p>
    <w:p w14:paraId="2711AB97" w14:textId="2AC2FC6E" w:rsidR="00DA269D" w:rsidRDefault="00656F1B" w:rsidP="009E03D9">
      <w:pPr>
        <w:rPr>
          <w:lang w:val="en-GB"/>
        </w:rPr>
      </w:pPr>
      <w:r>
        <w:rPr>
          <w:lang w:val="en-GB"/>
        </w:rPr>
        <w:lastRenderedPageBreak/>
        <w:t>Table 3 – I</w:t>
      </w:r>
      <w:r w:rsidR="00DA269D" w:rsidRPr="00FB5A7E">
        <w:rPr>
          <w:lang w:val="en-GB"/>
        </w:rPr>
        <w:t>nflammatory arthropathies</w:t>
      </w:r>
    </w:p>
    <w:p w14:paraId="10F4F11E" w14:textId="1FD2D04F" w:rsidR="00656F1B" w:rsidRDefault="00656F1B" w:rsidP="009E03D9">
      <w:pPr>
        <w:rPr>
          <w:lang w:val="en-GB"/>
        </w:rPr>
      </w:pPr>
    </w:p>
    <w:tbl>
      <w:tblPr>
        <w:tblStyle w:val="TableGrid"/>
        <w:tblW w:w="5000" w:type="pct"/>
        <w:tblLook w:val="04A0" w:firstRow="1" w:lastRow="0" w:firstColumn="1" w:lastColumn="0" w:noHBand="0" w:noVBand="1"/>
      </w:tblPr>
      <w:tblGrid>
        <w:gridCol w:w="4508"/>
        <w:gridCol w:w="4511"/>
      </w:tblGrid>
      <w:tr w:rsidR="00656F1B" w14:paraId="3BED0515" w14:textId="77777777" w:rsidTr="00FA7DFD">
        <w:tc>
          <w:tcPr>
            <w:tcW w:w="2499" w:type="pct"/>
          </w:tcPr>
          <w:p w14:paraId="21352516" w14:textId="77777777" w:rsidR="00656F1B" w:rsidRDefault="00656F1B" w:rsidP="00FA7DFD">
            <w:pPr>
              <w:rPr>
                <w:lang w:val="en-GB"/>
              </w:rPr>
            </w:pPr>
            <w:r>
              <w:rPr>
                <w:lang w:val="en-GB"/>
              </w:rPr>
              <w:t>Concept Name</w:t>
            </w:r>
          </w:p>
        </w:tc>
        <w:tc>
          <w:tcPr>
            <w:tcW w:w="2501" w:type="pct"/>
          </w:tcPr>
          <w:p w14:paraId="0EDC7E7C" w14:textId="77777777" w:rsidR="00656F1B" w:rsidRDefault="00656F1B" w:rsidP="00FA7DFD">
            <w:pPr>
              <w:rPr>
                <w:lang w:val="en-GB"/>
              </w:rPr>
            </w:pPr>
            <w:r>
              <w:rPr>
                <w:lang w:val="en-GB"/>
              </w:rPr>
              <w:t>Concept Id</w:t>
            </w:r>
          </w:p>
        </w:tc>
      </w:tr>
      <w:tr w:rsidR="00656F1B" w14:paraId="5609BAAB" w14:textId="77777777" w:rsidTr="00FA7DFD">
        <w:tc>
          <w:tcPr>
            <w:tcW w:w="2499" w:type="pct"/>
          </w:tcPr>
          <w:p w14:paraId="0EE8CCA6" w14:textId="35F14CA2" w:rsidR="00656F1B" w:rsidRDefault="00656F1B" w:rsidP="00FA7DFD">
            <w:pPr>
              <w:rPr>
                <w:lang w:val="en-GB"/>
              </w:rPr>
            </w:pPr>
            <w:r w:rsidRPr="00656F1B">
              <w:rPr>
                <w:rFonts w:ascii="&amp;quot" w:hAnsi="&amp;quot"/>
                <w:color w:val="000000"/>
                <w:lang w:val="en-GB"/>
              </w:rPr>
              <w:t>Ankylosing spondylitis   </w:t>
            </w:r>
          </w:p>
        </w:tc>
        <w:tc>
          <w:tcPr>
            <w:tcW w:w="2501" w:type="pct"/>
          </w:tcPr>
          <w:p w14:paraId="13FFC3DD" w14:textId="10C6B09C" w:rsidR="00656F1B" w:rsidRDefault="00656F1B" w:rsidP="00FA7DFD">
            <w:pPr>
              <w:rPr>
                <w:lang w:val="en-GB"/>
              </w:rPr>
            </w:pPr>
            <w:r w:rsidRPr="00656F1B">
              <w:rPr>
                <w:rFonts w:ascii="&amp;quot" w:hAnsi="&amp;quot"/>
                <w:color w:val="000000"/>
                <w:lang w:val="en-GB"/>
              </w:rPr>
              <w:t>437082</w:t>
            </w:r>
          </w:p>
        </w:tc>
      </w:tr>
      <w:tr w:rsidR="00656F1B" w14:paraId="612DBFDE" w14:textId="77777777" w:rsidTr="00FA7DFD">
        <w:tc>
          <w:tcPr>
            <w:tcW w:w="2499" w:type="pct"/>
          </w:tcPr>
          <w:p w14:paraId="4E4B139A" w14:textId="7CE0CF12" w:rsidR="00656F1B" w:rsidRDefault="00656F1B" w:rsidP="00FA7DFD">
            <w:pPr>
              <w:rPr>
                <w:lang w:val="en-GB"/>
              </w:rPr>
            </w:pPr>
            <w:r w:rsidRPr="00656F1B">
              <w:rPr>
                <w:rFonts w:ascii="&amp;quot" w:hAnsi="&amp;quot"/>
                <w:color w:val="000000"/>
                <w:lang w:val="en-GB"/>
              </w:rPr>
              <w:t>Arthritis of spine             </w:t>
            </w:r>
          </w:p>
        </w:tc>
        <w:tc>
          <w:tcPr>
            <w:tcW w:w="2501" w:type="pct"/>
          </w:tcPr>
          <w:p w14:paraId="313BE0D9" w14:textId="1CF30695" w:rsidR="00656F1B" w:rsidRDefault="00656F1B" w:rsidP="00FA7DFD">
            <w:pPr>
              <w:rPr>
                <w:lang w:val="en-GB"/>
              </w:rPr>
            </w:pPr>
            <w:r w:rsidRPr="00656F1B">
              <w:rPr>
                <w:rFonts w:ascii="&amp;quot" w:hAnsi="&amp;quot"/>
                <w:color w:val="000000"/>
                <w:lang w:val="en-GB"/>
              </w:rPr>
              <w:t>4153359</w:t>
            </w:r>
          </w:p>
        </w:tc>
      </w:tr>
      <w:tr w:rsidR="00656F1B" w14:paraId="65915834" w14:textId="77777777" w:rsidTr="00FA7DFD">
        <w:tc>
          <w:tcPr>
            <w:tcW w:w="2499" w:type="pct"/>
          </w:tcPr>
          <w:p w14:paraId="33269C17" w14:textId="1E423187" w:rsidR="00656F1B" w:rsidRDefault="00656F1B" w:rsidP="00FA7DFD">
            <w:pPr>
              <w:rPr>
                <w:lang w:val="en-GB"/>
              </w:rPr>
            </w:pPr>
            <w:r w:rsidRPr="00656F1B">
              <w:rPr>
                <w:rFonts w:ascii="&amp;quot" w:hAnsi="&amp;quot"/>
                <w:color w:val="000000"/>
                <w:lang w:val="en-GB"/>
              </w:rPr>
              <w:t xml:space="preserve">Inflammatory </w:t>
            </w:r>
            <w:proofErr w:type="spellStart"/>
            <w:r w:rsidRPr="00656F1B">
              <w:rPr>
                <w:rFonts w:ascii="&amp;quot" w:hAnsi="&amp;quot"/>
                <w:color w:val="000000"/>
                <w:lang w:val="en-GB"/>
              </w:rPr>
              <w:t>polyarthropathy</w:t>
            </w:r>
            <w:proofErr w:type="spellEnd"/>
            <w:r w:rsidRPr="00656F1B">
              <w:rPr>
                <w:rFonts w:ascii="&amp;quot" w:hAnsi="&amp;quot"/>
                <w:color w:val="000000"/>
                <w:lang w:val="en-GB"/>
              </w:rPr>
              <w:t>  </w:t>
            </w:r>
          </w:p>
        </w:tc>
        <w:tc>
          <w:tcPr>
            <w:tcW w:w="2501" w:type="pct"/>
          </w:tcPr>
          <w:p w14:paraId="6B3EDC2B" w14:textId="2678D000" w:rsidR="00656F1B" w:rsidRDefault="00656F1B" w:rsidP="00FA7DFD">
            <w:pPr>
              <w:rPr>
                <w:lang w:val="en-GB"/>
              </w:rPr>
            </w:pPr>
            <w:r w:rsidRPr="00656F1B">
              <w:rPr>
                <w:rFonts w:ascii="&amp;quot" w:hAnsi="&amp;quot"/>
                <w:color w:val="000000"/>
                <w:lang w:val="en-GB"/>
              </w:rPr>
              <w:t>74125</w:t>
            </w:r>
          </w:p>
        </w:tc>
      </w:tr>
      <w:tr w:rsidR="00656F1B" w14:paraId="24DE6984" w14:textId="77777777" w:rsidTr="00FA7DFD">
        <w:tc>
          <w:tcPr>
            <w:tcW w:w="2499" w:type="pct"/>
          </w:tcPr>
          <w:p w14:paraId="13F1A307" w14:textId="32012446" w:rsidR="00656F1B" w:rsidRDefault="00656F1B" w:rsidP="00FA7DFD">
            <w:pPr>
              <w:rPr>
                <w:lang w:val="en-GB"/>
              </w:rPr>
            </w:pPr>
            <w:r w:rsidRPr="00656F1B">
              <w:rPr>
                <w:rFonts w:ascii="&amp;quot" w:hAnsi="&amp;quot"/>
                <w:color w:val="000000"/>
                <w:lang w:val="en-GB"/>
              </w:rPr>
              <w:t>Lupus erythematosus   </w:t>
            </w:r>
          </w:p>
        </w:tc>
        <w:tc>
          <w:tcPr>
            <w:tcW w:w="2501" w:type="pct"/>
          </w:tcPr>
          <w:p w14:paraId="3807F8BE" w14:textId="1DD7BE21" w:rsidR="00656F1B" w:rsidRDefault="00656F1B" w:rsidP="00FA7DFD">
            <w:pPr>
              <w:rPr>
                <w:lang w:val="en-GB"/>
              </w:rPr>
            </w:pPr>
            <w:r w:rsidRPr="00656F1B">
              <w:rPr>
                <w:rFonts w:ascii="&amp;quot" w:hAnsi="&amp;quot"/>
                <w:color w:val="000000"/>
                <w:lang w:val="en-GB"/>
              </w:rPr>
              <w:t>255891</w:t>
            </w:r>
          </w:p>
        </w:tc>
      </w:tr>
      <w:tr w:rsidR="00656F1B" w14:paraId="06CB5645" w14:textId="77777777" w:rsidTr="00FA7DFD">
        <w:tc>
          <w:tcPr>
            <w:tcW w:w="2499" w:type="pct"/>
          </w:tcPr>
          <w:p w14:paraId="0382B44A" w14:textId="01EDF6D3" w:rsidR="00656F1B" w:rsidRDefault="00656F1B" w:rsidP="00FA7DFD">
            <w:pPr>
              <w:rPr>
                <w:lang w:val="en-GB"/>
              </w:rPr>
            </w:pPr>
            <w:r w:rsidRPr="00656F1B">
              <w:rPr>
                <w:rFonts w:ascii="&amp;quot" w:hAnsi="&amp;quot"/>
                <w:color w:val="000000"/>
                <w:lang w:val="en-GB"/>
              </w:rPr>
              <w:t>Post-infective arthritis  </w:t>
            </w:r>
          </w:p>
        </w:tc>
        <w:tc>
          <w:tcPr>
            <w:tcW w:w="2501" w:type="pct"/>
          </w:tcPr>
          <w:p w14:paraId="484B2B5C" w14:textId="03992DAF" w:rsidR="00656F1B" w:rsidRDefault="00656F1B" w:rsidP="00FA7DFD">
            <w:pPr>
              <w:rPr>
                <w:lang w:val="en-GB"/>
              </w:rPr>
            </w:pPr>
            <w:r w:rsidRPr="00656F1B">
              <w:rPr>
                <w:rFonts w:ascii="&amp;quot" w:hAnsi="&amp;quot"/>
                <w:color w:val="000000"/>
                <w:lang w:val="en-GB"/>
              </w:rPr>
              <w:t>4035610</w:t>
            </w:r>
          </w:p>
        </w:tc>
      </w:tr>
      <w:tr w:rsidR="00656F1B" w14:paraId="75BA850B" w14:textId="77777777" w:rsidTr="00FA7DFD">
        <w:tc>
          <w:tcPr>
            <w:tcW w:w="2499" w:type="pct"/>
          </w:tcPr>
          <w:p w14:paraId="41B9537B" w14:textId="71BA6AB8" w:rsidR="00656F1B" w:rsidRDefault="00656F1B" w:rsidP="00FA7DFD">
            <w:pPr>
              <w:rPr>
                <w:lang w:val="en-GB"/>
              </w:rPr>
            </w:pPr>
            <w:r w:rsidRPr="00656F1B">
              <w:rPr>
                <w:rFonts w:ascii="&amp;quot" w:hAnsi="&amp;quot"/>
                <w:color w:val="000000"/>
                <w:lang w:val="en-GB"/>
              </w:rPr>
              <w:t>Psoriasis with arthropathy          </w:t>
            </w:r>
          </w:p>
        </w:tc>
        <w:tc>
          <w:tcPr>
            <w:tcW w:w="2501" w:type="pct"/>
          </w:tcPr>
          <w:p w14:paraId="7DC47B48" w14:textId="0D6C0954" w:rsidR="00656F1B" w:rsidRDefault="00656F1B" w:rsidP="00FA7DFD">
            <w:pPr>
              <w:rPr>
                <w:lang w:val="en-GB"/>
              </w:rPr>
            </w:pPr>
            <w:r w:rsidRPr="00656F1B">
              <w:rPr>
                <w:rFonts w:ascii="&amp;quot" w:hAnsi="&amp;quot"/>
                <w:color w:val="000000"/>
                <w:lang w:val="en-GB"/>
              </w:rPr>
              <w:t>81931</w:t>
            </w:r>
          </w:p>
        </w:tc>
      </w:tr>
      <w:tr w:rsidR="00656F1B" w14:paraId="193FA3CB" w14:textId="77777777" w:rsidTr="00FA7DFD">
        <w:tc>
          <w:tcPr>
            <w:tcW w:w="2499" w:type="pct"/>
          </w:tcPr>
          <w:p w14:paraId="0F8EFBFF" w14:textId="6BB2DA35" w:rsidR="00656F1B" w:rsidRDefault="00656F1B" w:rsidP="00FA7DFD">
            <w:pPr>
              <w:rPr>
                <w:lang w:val="en-GB"/>
              </w:rPr>
            </w:pPr>
            <w:proofErr w:type="spellStart"/>
            <w:r w:rsidRPr="00656F1B">
              <w:rPr>
                <w:rFonts w:ascii="&amp;quot" w:hAnsi="&amp;quot"/>
                <w:color w:val="000000"/>
                <w:lang w:val="en-GB"/>
              </w:rPr>
              <w:t>Sjögren's</w:t>
            </w:r>
            <w:proofErr w:type="spellEnd"/>
            <w:r w:rsidRPr="00656F1B">
              <w:rPr>
                <w:rFonts w:ascii="&amp;quot" w:hAnsi="&amp;quot"/>
                <w:color w:val="000000"/>
                <w:lang w:val="en-GB"/>
              </w:rPr>
              <w:t xml:space="preserve"> syndrome       </w:t>
            </w:r>
          </w:p>
        </w:tc>
        <w:tc>
          <w:tcPr>
            <w:tcW w:w="2501" w:type="pct"/>
          </w:tcPr>
          <w:p w14:paraId="7B6628FE" w14:textId="2315AF87" w:rsidR="00656F1B" w:rsidRDefault="00656F1B" w:rsidP="00FA7DFD">
            <w:pPr>
              <w:rPr>
                <w:lang w:val="en-GB"/>
              </w:rPr>
            </w:pPr>
            <w:r w:rsidRPr="00656F1B">
              <w:rPr>
                <w:rFonts w:ascii="&amp;quot" w:hAnsi="&amp;quot"/>
                <w:color w:val="000000"/>
                <w:lang w:val="en-GB"/>
              </w:rPr>
              <w:t>254443</w:t>
            </w:r>
          </w:p>
        </w:tc>
      </w:tr>
      <w:tr w:rsidR="00656F1B" w14:paraId="36A8A862" w14:textId="77777777" w:rsidTr="00FA7DFD">
        <w:tc>
          <w:tcPr>
            <w:tcW w:w="2499" w:type="pct"/>
          </w:tcPr>
          <w:p w14:paraId="397B5E9D" w14:textId="6B397188" w:rsidR="00656F1B" w:rsidRDefault="00656F1B" w:rsidP="00FA7DFD">
            <w:pPr>
              <w:rPr>
                <w:lang w:val="en-GB"/>
              </w:rPr>
            </w:pPr>
            <w:r w:rsidRPr="00656F1B">
              <w:rPr>
                <w:rFonts w:ascii="&amp;quot" w:hAnsi="&amp;quot"/>
                <w:color w:val="000000"/>
                <w:lang w:val="en-GB"/>
              </w:rPr>
              <w:t>Systemic sclerosis           </w:t>
            </w:r>
          </w:p>
        </w:tc>
        <w:tc>
          <w:tcPr>
            <w:tcW w:w="2501" w:type="pct"/>
          </w:tcPr>
          <w:p w14:paraId="4CE98BE5" w14:textId="7A97A927" w:rsidR="00656F1B" w:rsidRDefault="00656F1B" w:rsidP="00FA7DFD">
            <w:pPr>
              <w:rPr>
                <w:lang w:val="en-GB"/>
              </w:rPr>
            </w:pPr>
            <w:r w:rsidRPr="00656F1B">
              <w:rPr>
                <w:rFonts w:ascii="&amp;quot" w:hAnsi="&amp;quot"/>
                <w:color w:val="000000"/>
                <w:lang w:val="en-GB"/>
              </w:rPr>
              <w:t>134442</w:t>
            </w:r>
          </w:p>
        </w:tc>
      </w:tr>
      <w:tr w:rsidR="00656F1B" w14:paraId="6857E95E" w14:textId="77777777" w:rsidTr="00FA7DFD">
        <w:tc>
          <w:tcPr>
            <w:tcW w:w="2499" w:type="pct"/>
          </w:tcPr>
          <w:p w14:paraId="7F50896B" w14:textId="3E6551FC" w:rsidR="00656F1B" w:rsidRDefault="00656F1B" w:rsidP="00FA7DFD">
            <w:pPr>
              <w:rPr>
                <w:lang w:val="en-GB"/>
              </w:rPr>
            </w:pPr>
            <w:r w:rsidRPr="00656F1B">
              <w:rPr>
                <w:rFonts w:ascii="&amp;quot" w:hAnsi="&amp;quot"/>
                <w:color w:val="000000"/>
                <w:lang w:val="en-GB"/>
              </w:rPr>
              <w:t>Rheumatoid arthritis of multiple joints  </w:t>
            </w:r>
          </w:p>
        </w:tc>
        <w:tc>
          <w:tcPr>
            <w:tcW w:w="2501" w:type="pct"/>
          </w:tcPr>
          <w:p w14:paraId="4FB4DB8F" w14:textId="147F5BDD" w:rsidR="00656F1B" w:rsidRDefault="00656F1B" w:rsidP="00FA7DFD">
            <w:pPr>
              <w:rPr>
                <w:lang w:val="en-GB"/>
              </w:rPr>
            </w:pPr>
            <w:r w:rsidRPr="00656F1B">
              <w:rPr>
                <w:rFonts w:ascii="&amp;quot" w:hAnsi="&amp;quot"/>
                <w:color w:val="000000"/>
                <w:lang w:val="en-GB"/>
              </w:rPr>
              <w:t>4117686</w:t>
            </w:r>
          </w:p>
        </w:tc>
      </w:tr>
      <w:tr w:rsidR="00656F1B" w14:paraId="321DEFD5" w14:textId="77777777" w:rsidTr="00FA7DFD">
        <w:tc>
          <w:tcPr>
            <w:tcW w:w="2499" w:type="pct"/>
          </w:tcPr>
          <w:p w14:paraId="0FA0B4FC" w14:textId="0B50E943" w:rsidR="00656F1B" w:rsidRDefault="00656F1B" w:rsidP="00FA7DFD">
            <w:pPr>
              <w:rPr>
                <w:lang w:val="en-GB"/>
              </w:rPr>
            </w:pPr>
            <w:r w:rsidRPr="00656F1B">
              <w:rPr>
                <w:rFonts w:ascii="&amp;quot" w:hAnsi="&amp;quot"/>
                <w:color w:val="000000"/>
                <w:lang w:val="en-GB"/>
              </w:rPr>
              <w:t>Rheumatoid arthritis of cervical spine    </w:t>
            </w:r>
          </w:p>
        </w:tc>
        <w:tc>
          <w:tcPr>
            <w:tcW w:w="2501" w:type="pct"/>
          </w:tcPr>
          <w:p w14:paraId="234BE85D" w14:textId="043467C8" w:rsidR="00656F1B" w:rsidRDefault="00656F1B" w:rsidP="00FA7DFD">
            <w:pPr>
              <w:rPr>
                <w:lang w:val="en-GB"/>
              </w:rPr>
            </w:pPr>
            <w:r w:rsidRPr="00656F1B">
              <w:rPr>
                <w:rFonts w:ascii="&amp;quot" w:hAnsi="&amp;quot"/>
                <w:color w:val="000000"/>
                <w:lang w:val="en-GB"/>
              </w:rPr>
              <w:t>4116439</w:t>
            </w:r>
          </w:p>
        </w:tc>
      </w:tr>
      <w:tr w:rsidR="00656F1B" w14:paraId="05F74848" w14:textId="77777777" w:rsidTr="00FA7DFD">
        <w:tc>
          <w:tcPr>
            <w:tcW w:w="2499" w:type="pct"/>
          </w:tcPr>
          <w:p w14:paraId="4186931F" w14:textId="082AFA81" w:rsidR="00656F1B" w:rsidRDefault="00656F1B" w:rsidP="00FA7DFD">
            <w:pPr>
              <w:rPr>
                <w:lang w:val="en-GB"/>
              </w:rPr>
            </w:pPr>
            <w:r w:rsidRPr="00656F1B">
              <w:rPr>
                <w:rFonts w:ascii="&amp;quot" w:hAnsi="&amp;quot"/>
                <w:color w:val="000000"/>
                <w:lang w:val="en-GB"/>
              </w:rPr>
              <w:t>Rheumatoid arthritis of joint of spine     </w:t>
            </w:r>
          </w:p>
        </w:tc>
        <w:tc>
          <w:tcPr>
            <w:tcW w:w="2501" w:type="pct"/>
          </w:tcPr>
          <w:p w14:paraId="62C6F6CF" w14:textId="19AD7AE7" w:rsidR="00656F1B" w:rsidRDefault="00656F1B" w:rsidP="00FA7DFD">
            <w:pPr>
              <w:rPr>
                <w:lang w:val="en-GB"/>
              </w:rPr>
            </w:pPr>
            <w:r w:rsidRPr="00656F1B">
              <w:rPr>
                <w:rFonts w:ascii="&amp;quot" w:hAnsi="&amp;quot"/>
                <w:color w:val="000000"/>
                <w:lang w:val="en-GB"/>
              </w:rPr>
              <w:t>36683391</w:t>
            </w:r>
          </w:p>
        </w:tc>
      </w:tr>
      <w:tr w:rsidR="00656F1B" w14:paraId="51A63B49" w14:textId="77777777" w:rsidTr="00FA7DFD">
        <w:tc>
          <w:tcPr>
            <w:tcW w:w="2499" w:type="pct"/>
          </w:tcPr>
          <w:p w14:paraId="7A9CA6E7" w14:textId="3A771A2B" w:rsidR="00656F1B" w:rsidRDefault="00656F1B" w:rsidP="00FA7DFD">
            <w:pPr>
              <w:rPr>
                <w:lang w:val="en-GB"/>
              </w:rPr>
            </w:pPr>
            <w:r w:rsidRPr="00656F1B">
              <w:rPr>
                <w:rFonts w:ascii="&amp;quot" w:hAnsi="&amp;quot"/>
                <w:color w:val="000000"/>
                <w:lang w:val="en-GB"/>
              </w:rPr>
              <w:t>Rheumatic joint disease</w:t>
            </w:r>
          </w:p>
        </w:tc>
        <w:tc>
          <w:tcPr>
            <w:tcW w:w="2501" w:type="pct"/>
          </w:tcPr>
          <w:p w14:paraId="66BBE753" w14:textId="57C13963" w:rsidR="00656F1B" w:rsidRDefault="00656F1B" w:rsidP="00FA7DFD">
            <w:pPr>
              <w:rPr>
                <w:lang w:val="en-GB"/>
              </w:rPr>
            </w:pPr>
            <w:r w:rsidRPr="00656F1B">
              <w:rPr>
                <w:rFonts w:ascii="&amp;quot" w:hAnsi="&amp;quot"/>
                <w:color w:val="000000"/>
                <w:lang w:val="en-GB"/>
              </w:rPr>
              <w:t>4030552</w:t>
            </w:r>
          </w:p>
        </w:tc>
      </w:tr>
    </w:tbl>
    <w:p w14:paraId="758E3A51" w14:textId="77777777" w:rsidR="00656F1B" w:rsidRDefault="00656F1B" w:rsidP="009E03D9">
      <w:pPr>
        <w:rPr>
          <w:lang w:val="en-GB"/>
        </w:rPr>
      </w:pPr>
    </w:p>
    <w:p w14:paraId="0ADA1E25" w14:textId="6CC325AA" w:rsidR="00DA269D" w:rsidRDefault="00DA269D" w:rsidP="009E03D9">
      <w:pPr>
        <w:rPr>
          <w:lang w:val="en-GB"/>
        </w:rPr>
      </w:pPr>
    </w:p>
    <w:sectPr w:rsidR="00DA269D">
      <w:footerReference w:type="defaul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487F8" w14:textId="77777777" w:rsidR="00EC25CA" w:rsidRDefault="00EC25CA" w:rsidP="006E58EB">
      <w:pPr>
        <w:spacing w:line="240" w:lineRule="auto"/>
      </w:pPr>
      <w:r>
        <w:separator/>
      </w:r>
    </w:p>
  </w:endnote>
  <w:endnote w:type="continuationSeparator" w:id="0">
    <w:p w14:paraId="5D7BFBDB" w14:textId="77777777" w:rsidR="00EC25CA" w:rsidRDefault="00EC25CA" w:rsidP="006E5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251164"/>
      <w:docPartObj>
        <w:docPartGallery w:val="Page Numbers (Bottom of Page)"/>
        <w:docPartUnique/>
      </w:docPartObj>
    </w:sdtPr>
    <w:sdtEndPr/>
    <w:sdtContent>
      <w:p w14:paraId="564337C9" w14:textId="4067F4A9" w:rsidR="006E58EB" w:rsidRDefault="006E58EB">
        <w:pPr>
          <w:pStyle w:val="Footer"/>
          <w:jc w:val="right"/>
        </w:pPr>
        <w:r>
          <w:fldChar w:fldCharType="begin"/>
        </w:r>
        <w:r>
          <w:instrText>PAGE   \* MERGEFORMAT</w:instrText>
        </w:r>
        <w:r>
          <w:fldChar w:fldCharType="separate"/>
        </w:r>
        <w:r>
          <w:rPr>
            <w:lang w:val="nl-NL"/>
          </w:rPr>
          <w:t>2</w:t>
        </w:r>
        <w:r>
          <w:fldChar w:fldCharType="end"/>
        </w:r>
      </w:p>
    </w:sdtContent>
  </w:sdt>
  <w:p w14:paraId="359643D6" w14:textId="17A93708" w:rsidR="006E58EB" w:rsidRDefault="006E58EB">
    <w:pPr>
      <w:pStyle w:val="Footer"/>
      <w:rPr>
        <w:lang w:val="en-GB"/>
      </w:rPr>
    </w:pPr>
    <w:r>
      <w:rPr>
        <w:lang w:val="en-GB"/>
      </w:rPr>
      <w:t>DUS protocol – DMARDs in RA</w:t>
    </w:r>
  </w:p>
  <w:p w14:paraId="51B0D9F7" w14:textId="207B41E6" w:rsidR="006E58EB" w:rsidRPr="006E58EB" w:rsidRDefault="006E58EB">
    <w:pPr>
      <w:pStyle w:val="Footer"/>
      <w:rPr>
        <w:lang w:val="en-GB"/>
      </w:rPr>
    </w:pPr>
    <w:r>
      <w:rPr>
        <w:lang w:val="en-GB"/>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952EB" w14:textId="77777777" w:rsidR="00EC25CA" w:rsidRDefault="00EC25CA" w:rsidP="006E58EB">
      <w:pPr>
        <w:spacing w:line="240" w:lineRule="auto"/>
      </w:pPr>
      <w:r>
        <w:separator/>
      </w:r>
    </w:p>
  </w:footnote>
  <w:footnote w:type="continuationSeparator" w:id="0">
    <w:p w14:paraId="638216EC" w14:textId="77777777" w:rsidR="00EC25CA" w:rsidRDefault="00EC25CA" w:rsidP="006E5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7B50"/>
    <w:multiLevelType w:val="hybridMultilevel"/>
    <w:tmpl w:val="DF8C7C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0755BD1"/>
    <w:multiLevelType w:val="multilevel"/>
    <w:tmpl w:val="50065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3A4007"/>
    <w:multiLevelType w:val="multilevel"/>
    <w:tmpl w:val="1402D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F21611"/>
    <w:multiLevelType w:val="multilevel"/>
    <w:tmpl w:val="78F4C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0F1499"/>
    <w:multiLevelType w:val="multilevel"/>
    <w:tmpl w:val="DBA4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07D5C"/>
    <w:multiLevelType w:val="hybridMultilevel"/>
    <w:tmpl w:val="0C7A236E"/>
    <w:lvl w:ilvl="0" w:tplc="2AC0723C">
      <w:start w:val="1"/>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6BF1BFF"/>
    <w:multiLevelType w:val="multilevel"/>
    <w:tmpl w:val="77C08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6"/>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C1C"/>
    <w:rsid w:val="00053B7A"/>
    <w:rsid w:val="000B295A"/>
    <w:rsid w:val="00174801"/>
    <w:rsid w:val="002625C8"/>
    <w:rsid w:val="002C78CA"/>
    <w:rsid w:val="0033711C"/>
    <w:rsid w:val="00385A73"/>
    <w:rsid w:val="005B4A7B"/>
    <w:rsid w:val="00656F1B"/>
    <w:rsid w:val="006E506B"/>
    <w:rsid w:val="006E58EB"/>
    <w:rsid w:val="00734A30"/>
    <w:rsid w:val="00795C1C"/>
    <w:rsid w:val="00797422"/>
    <w:rsid w:val="007A6188"/>
    <w:rsid w:val="007C78D9"/>
    <w:rsid w:val="007E5985"/>
    <w:rsid w:val="008F3111"/>
    <w:rsid w:val="009C7AB4"/>
    <w:rsid w:val="009E03D9"/>
    <w:rsid w:val="00A52408"/>
    <w:rsid w:val="00A7302C"/>
    <w:rsid w:val="00B0356B"/>
    <w:rsid w:val="00B70C7B"/>
    <w:rsid w:val="00D070B6"/>
    <w:rsid w:val="00DA269D"/>
    <w:rsid w:val="00E80E86"/>
    <w:rsid w:val="00E91C8B"/>
    <w:rsid w:val="00EC25CA"/>
    <w:rsid w:val="00FB5A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D578"/>
  <w15:docId w15:val="{A4DF5694-6984-4EC0-AB23-39C26966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80E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E86"/>
    <w:rPr>
      <w:rFonts w:ascii="Segoe UI" w:hAnsi="Segoe UI" w:cs="Segoe UI"/>
      <w:sz w:val="18"/>
      <w:szCs w:val="18"/>
    </w:rPr>
  </w:style>
  <w:style w:type="paragraph" w:styleId="NormalWeb">
    <w:name w:val="Normal (Web)"/>
    <w:basedOn w:val="Normal"/>
    <w:uiPriority w:val="99"/>
    <w:semiHidden/>
    <w:unhideWhenUsed/>
    <w:rsid w:val="00E80E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8D9"/>
    <w:pPr>
      <w:ind w:left="720"/>
      <w:contextualSpacing/>
    </w:pPr>
  </w:style>
  <w:style w:type="paragraph" w:styleId="CommentSubject">
    <w:name w:val="annotation subject"/>
    <w:basedOn w:val="CommentText"/>
    <w:next w:val="CommentText"/>
    <w:link w:val="CommentSubjectChar"/>
    <w:uiPriority w:val="99"/>
    <w:semiHidden/>
    <w:unhideWhenUsed/>
    <w:rsid w:val="007A6188"/>
    <w:rPr>
      <w:b/>
      <w:bCs/>
    </w:rPr>
  </w:style>
  <w:style w:type="character" w:customStyle="1" w:styleId="CommentSubjectChar">
    <w:name w:val="Comment Subject Char"/>
    <w:basedOn w:val="CommentTextChar"/>
    <w:link w:val="CommentSubject"/>
    <w:uiPriority w:val="99"/>
    <w:semiHidden/>
    <w:rsid w:val="007A6188"/>
    <w:rPr>
      <w:b/>
      <w:bCs/>
      <w:sz w:val="20"/>
      <w:szCs w:val="20"/>
    </w:rPr>
  </w:style>
  <w:style w:type="paragraph" w:customStyle="1" w:styleId="xmsonormal">
    <w:name w:val="x_msonormal"/>
    <w:basedOn w:val="Normal"/>
    <w:rsid w:val="00FB5A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dyText">
    <w:name w:val="C-Body Text"/>
    <w:link w:val="C-BodyTextChar"/>
    <w:rsid w:val="00E91C8B"/>
    <w:pPr>
      <w:spacing w:before="120" w:after="120" w:line="280" w:lineRule="atLeast"/>
    </w:pPr>
    <w:rPr>
      <w:rFonts w:ascii="Times New Roman" w:eastAsia="Times New Roman" w:hAnsi="Times New Roman" w:cs="Times New Roman"/>
      <w:sz w:val="24"/>
      <w:szCs w:val="20"/>
      <w:lang w:val="en-US" w:eastAsia="en-US"/>
    </w:rPr>
  </w:style>
  <w:style w:type="character" w:customStyle="1" w:styleId="C-BodyTextChar">
    <w:name w:val="C-Body Text Char"/>
    <w:link w:val="C-BodyText"/>
    <w:locked/>
    <w:rsid w:val="00E91C8B"/>
    <w:rPr>
      <w:rFonts w:ascii="Times New Roman" w:eastAsia="Times New Roman" w:hAnsi="Times New Roman" w:cs="Times New Roman"/>
      <w:sz w:val="24"/>
      <w:szCs w:val="20"/>
      <w:lang w:val="en-US" w:eastAsia="en-US"/>
    </w:rPr>
  </w:style>
  <w:style w:type="table" w:styleId="TableGrid">
    <w:name w:val="Table Grid"/>
    <w:basedOn w:val="TableNormal"/>
    <w:uiPriority w:val="39"/>
    <w:rsid w:val="00656F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58EB"/>
    <w:pPr>
      <w:tabs>
        <w:tab w:val="center" w:pos="4536"/>
        <w:tab w:val="right" w:pos="9072"/>
      </w:tabs>
      <w:spacing w:line="240" w:lineRule="auto"/>
    </w:pPr>
  </w:style>
  <w:style w:type="character" w:customStyle="1" w:styleId="HeaderChar">
    <w:name w:val="Header Char"/>
    <w:basedOn w:val="DefaultParagraphFont"/>
    <w:link w:val="Header"/>
    <w:uiPriority w:val="99"/>
    <w:rsid w:val="006E58EB"/>
  </w:style>
  <w:style w:type="paragraph" w:styleId="Footer">
    <w:name w:val="footer"/>
    <w:basedOn w:val="Normal"/>
    <w:link w:val="FooterChar"/>
    <w:uiPriority w:val="99"/>
    <w:unhideWhenUsed/>
    <w:rsid w:val="006E58EB"/>
    <w:pPr>
      <w:tabs>
        <w:tab w:val="center" w:pos="4536"/>
        <w:tab w:val="right" w:pos="9072"/>
      </w:tabs>
      <w:spacing w:line="240" w:lineRule="auto"/>
    </w:pPr>
  </w:style>
  <w:style w:type="character" w:customStyle="1" w:styleId="FooterChar">
    <w:name w:val="Footer Char"/>
    <w:basedOn w:val="DefaultParagraphFont"/>
    <w:link w:val="Footer"/>
    <w:uiPriority w:val="99"/>
    <w:rsid w:val="006E58EB"/>
  </w:style>
  <w:style w:type="character" w:styleId="Hyperlink">
    <w:name w:val="Hyperlink"/>
    <w:uiPriority w:val="99"/>
    <w:unhideWhenUsed/>
    <w:rsid w:val="00734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99445">
      <w:bodyDiv w:val="1"/>
      <w:marLeft w:val="0"/>
      <w:marRight w:val="0"/>
      <w:marTop w:val="0"/>
      <w:marBottom w:val="0"/>
      <w:divBdr>
        <w:top w:val="none" w:sz="0" w:space="0" w:color="auto"/>
        <w:left w:val="none" w:sz="0" w:space="0" w:color="auto"/>
        <w:bottom w:val="none" w:sz="0" w:space="0" w:color="auto"/>
        <w:right w:val="none" w:sz="0" w:space="0" w:color="auto"/>
      </w:divBdr>
    </w:div>
    <w:div w:id="817303876">
      <w:bodyDiv w:val="1"/>
      <w:marLeft w:val="0"/>
      <w:marRight w:val="0"/>
      <w:marTop w:val="0"/>
      <w:marBottom w:val="0"/>
      <w:divBdr>
        <w:top w:val="none" w:sz="0" w:space="0" w:color="auto"/>
        <w:left w:val="none" w:sz="0" w:space="0" w:color="auto"/>
        <w:bottom w:val="none" w:sz="0" w:space="0" w:color="auto"/>
        <w:right w:val="none" w:sz="0" w:space="0" w:color="auto"/>
      </w:divBdr>
    </w:div>
    <w:div w:id="1286042586">
      <w:bodyDiv w:val="1"/>
      <w:marLeft w:val="0"/>
      <w:marRight w:val="0"/>
      <w:marTop w:val="0"/>
      <w:marBottom w:val="0"/>
      <w:divBdr>
        <w:top w:val="none" w:sz="0" w:space="0" w:color="auto"/>
        <w:left w:val="none" w:sz="0" w:space="0" w:color="auto"/>
        <w:bottom w:val="none" w:sz="0" w:space="0" w:color="auto"/>
        <w:right w:val="none" w:sz="0" w:space="0" w:color="auto"/>
      </w:divBdr>
    </w:div>
    <w:div w:id="1589653225">
      <w:bodyDiv w:val="1"/>
      <w:marLeft w:val="0"/>
      <w:marRight w:val="0"/>
      <w:marTop w:val="0"/>
      <w:marBottom w:val="0"/>
      <w:divBdr>
        <w:top w:val="none" w:sz="0" w:space="0" w:color="auto"/>
        <w:left w:val="none" w:sz="0" w:space="0" w:color="auto"/>
        <w:bottom w:val="none" w:sz="0" w:space="0" w:color="auto"/>
        <w:right w:val="none" w:sz="0" w:space="0" w:color="auto"/>
      </w:divBdr>
    </w:div>
    <w:div w:id="1688405161">
      <w:bodyDiv w:val="1"/>
      <w:marLeft w:val="0"/>
      <w:marRight w:val="0"/>
      <w:marTop w:val="0"/>
      <w:marBottom w:val="0"/>
      <w:divBdr>
        <w:top w:val="none" w:sz="0" w:space="0" w:color="auto"/>
        <w:left w:val="none" w:sz="0" w:space="0" w:color="auto"/>
        <w:bottom w:val="none" w:sz="0" w:space="0" w:color="auto"/>
        <w:right w:val="none" w:sz="0" w:space="0" w:color="auto"/>
      </w:divBdr>
    </w:div>
    <w:div w:id="1749842902">
      <w:bodyDiv w:val="1"/>
      <w:marLeft w:val="0"/>
      <w:marRight w:val="0"/>
      <w:marTop w:val="0"/>
      <w:marBottom w:val="0"/>
      <w:divBdr>
        <w:top w:val="none" w:sz="0" w:space="0" w:color="auto"/>
        <w:left w:val="none" w:sz="0" w:space="0" w:color="auto"/>
        <w:bottom w:val="none" w:sz="0" w:space="0" w:color="auto"/>
        <w:right w:val="none" w:sz="0" w:space="0" w:color="auto"/>
      </w:divBdr>
    </w:div>
    <w:div w:id="205673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ook.ohdsi.org/DataQuality.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ohdsi.github.io/TheBookOfOhdsi/Characterization.html" TargetMode="External"/><Relationship Id="rId4" Type="http://schemas.openxmlformats.org/officeDocument/2006/relationships/settings" Target="settings.xml"/><Relationship Id="rId9" Type="http://schemas.openxmlformats.org/officeDocument/2006/relationships/hyperlink" Target="http://book.ohdsi.org/SoftwareValidit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BC105-96CA-43DA-BAD3-3AA78E13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3019</Words>
  <Characters>17209</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Sena, Anthony [JRDUS]</cp:lastModifiedBy>
  <cp:revision>6</cp:revision>
  <dcterms:created xsi:type="dcterms:W3CDTF">2020-01-16T16:37:00Z</dcterms:created>
  <dcterms:modified xsi:type="dcterms:W3CDTF">2020-01-17T10:59:00Z</dcterms:modified>
</cp:coreProperties>
</file>