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user.name "eduard.tobilko” - для подкл. git к моей странички GitHub.</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переключение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“file”-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u w:val="single"/>
        </w:rPr>
        <w:t xml:space="preserve"/>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main. </w:t>
      </w:r>
    </w:p>
    <w:p>
      <w:pPr>
        <w:jc w:val="both"/>
      </w:pPr>
      <w:r>
        <w:rPr>
          <w:rFonts w:ascii="Helvetica" w:hAnsi="Helvetica" w:cs="Helvetica"/>
          <w:sz w:val="36"/>
          <w:sz-cs w:val="36"/>
        </w:rPr>
        <w:t xml:space="preserve">- git merge - для совмещения 2 веток ( test и test2 ):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 віддалено ( безпосередньо на github ).</w:t>
      </w:r>
    </w:p>
    <w:p>
      <w:pPr>
        <w:jc w:val="both"/>
      </w:pPr>
      <w:r>
        <w:rPr>
          <w:rFonts w:ascii="Helvetica" w:hAnsi="Helvetica" w:cs="Helvetica"/>
          <w:sz w:val="36"/>
          <w:sz-cs w:val="36"/>
        </w:rPr>
        <w:t xml:space="preserve">- git push origin --delete “назва” - для видалення гілки з github.</w:t>
      </w:r>
    </w:p>
    <w:p>
      <w:pPr>
        <w:jc w:val="both"/>
      </w:pPr>
      <w:r>
        <w:rPr>
          <w:rFonts w:ascii="Helvetica" w:hAnsi="Helvetica" w:cs="Helvetica"/>
          <w:sz w:val="36"/>
          <w:sz-cs w:val="36"/>
        </w:rPr>
        <w:t xml:space="preserve">- rm test.js - для видалення файла чи папки.</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Створення дочірніх віток:</w:t>
      </w:r>
    </w:p>
    <w:p>
      <w:pPr>
        <w:jc w:val="both"/>
      </w:pPr>
      <w:r>
        <w:rPr>
          <w:rFonts w:ascii="Helvetica" w:hAnsi="Helvetica" w:cs="Helvetica"/>
          <w:sz w:val="36"/>
          <w:sz-cs w:val="36"/>
        </w:rPr>
        <w:t xml:space="preserve">В консолі натискаємо на гілку ( express-restapi ) на якій ми знаходимося -&gt; create new branch from “express-restapi” -&gt; потім у нас буде нова гілка ( express-restapi-2 ).  </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проект и изменяем в нем что-то:</w:t>
      </w:r>
    </w:p>
    <w:p>
      <w:pPr>
        <w:jc w:val="both"/>
      </w:pPr>
      <w:r>
        <w:rPr>
          <w:rFonts w:ascii="Helvetica" w:hAnsi="Helvetica" w:cs="Helvetica"/>
          <w:sz w:val="36"/>
          <w:sz-cs w:val="36"/>
        </w:rPr>
        <w:t xml:space="preserve">- git add . - добавляем наши все изменения.</w:t>
      </w:r>
    </w:p>
    <w:p>
      <w:pPr>
        <w:jc w:val="both"/>
      </w:pPr>
      <w:r>
        <w:rPr>
          <w:rFonts w:ascii="Helvetica" w:hAnsi="Helvetica" w:cs="Helvetica"/>
          <w:sz w:val="36"/>
          <w:sz-cs w:val="36"/>
        </w:rPr>
        <w:t xml:space="preserve">- git commit -m ( -m - значит минус message ) "change log" - описываем что мы изменили и где и делаем коммит.</w:t>
      </w:r>
    </w:p>
    <w:p>
      <w:pPr>
        <w:jc w:val="both"/>
      </w:pPr>
      <w:r>
        <w:rPr>
          <w:rFonts w:ascii="Helvetica" w:hAnsi="Helvetica" w:cs="Helvetica"/>
          <w:sz w:val="36"/>
          <w:sz-cs w:val="36"/>
        </w:rPr>
        <w:t xml:space="preserve">- git pull - для того, что бы можно было забрать все последнии изменения c github.</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“main”.</w:t>
      </w:r>
    </w:p>
    <w:p>
      <w:pPr>
        <w:jc w:val="both"/>
      </w:pPr>
      <w:r>
        <w:rPr>
          <w:rFonts w:ascii="Helvetica" w:hAnsi="Helvetica" w:cs="Helvetica"/>
          <w:sz w:val="36"/>
          <w:sz-cs w:val="36"/>
        </w:rPr>
        <w:t xml:space="preserve">- git merged request - для отримання об’єднаних запитів на вітку “main”.</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