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E7445" w14:textId="77777777" w:rsidR="008A6DB5" w:rsidRDefault="00000000">
      <w:pPr>
        <w:rPr>
          <w:sz w:val="34"/>
          <w:szCs w:val="34"/>
        </w:rPr>
      </w:pPr>
      <w:r>
        <w:rPr>
          <w:sz w:val="50"/>
          <w:szCs w:val="50"/>
        </w:rPr>
        <w:t xml:space="preserve">Executive Summary - Kyle Phillips </w:t>
      </w:r>
    </w:p>
    <w:p w14:paraId="69EF374E" w14:textId="77777777" w:rsidR="008A6DB5" w:rsidRDefault="00575AFF">
      <w:pPr>
        <w:rPr>
          <w:sz w:val="32"/>
          <w:szCs w:val="32"/>
        </w:rPr>
      </w:pPr>
      <w:r>
        <w:rPr>
          <w:noProof/>
        </w:rPr>
        <w:pict w14:anchorId="5A9DFFE6">
          <v:rect id="_x0000_i1025" alt="" style="width:468pt;height:.05pt;mso-width-percent:0;mso-height-percent:0;mso-width-percent:0;mso-height-percent:0" o:hralign="center" o:hrstd="t" o:hr="t" fillcolor="#a0a0a0" stroked="f"/>
        </w:pict>
      </w:r>
    </w:p>
    <w:p w14:paraId="1929AD0A" w14:textId="77777777" w:rsidR="008A6DB5" w:rsidRDefault="00000000">
      <w:pPr>
        <w:rPr>
          <w:sz w:val="36"/>
          <w:szCs w:val="36"/>
        </w:rPr>
      </w:pPr>
      <w:r>
        <w:rPr>
          <w:sz w:val="36"/>
          <w:szCs w:val="36"/>
        </w:rPr>
        <w:t>Business Problem</w:t>
      </w:r>
    </w:p>
    <w:p w14:paraId="6EE01C37" w14:textId="2D0C5FD9" w:rsidR="008A6DB5" w:rsidRDefault="00000000">
      <w:pPr>
        <w:rPr>
          <w:sz w:val="26"/>
          <w:szCs w:val="26"/>
        </w:rPr>
      </w:pPr>
      <w:r>
        <w:rPr>
          <w:sz w:val="26"/>
          <w:szCs w:val="26"/>
        </w:rPr>
        <w:t>The framework for this report stems from a situation in which I was hired by a major financial institution to build and compare several machine</w:t>
      </w:r>
      <w:r w:rsidR="000F7541">
        <w:rPr>
          <w:sz w:val="26"/>
          <w:szCs w:val="26"/>
        </w:rPr>
        <w:t xml:space="preserve"> learning</w:t>
      </w:r>
      <w:r>
        <w:rPr>
          <w:sz w:val="26"/>
          <w:szCs w:val="26"/>
        </w:rPr>
        <w:t xml:space="preserve"> models to predict whether or not a loan is likely to default. The goal in building these models is to find the most accurate predictor of a loan’s status but also be able to explain the logic and methodology behind it. The data being used in this case is based on previous instances of loans being defaulted or not which is what the models will be trained on, and then a separate dataset to attempt and predict loan status on. In addition to building the models and determining significant variable factors in the data, I will also display my top 10 best predictions of a defaulted loan, top 10 predictions of a current loan, and top 10 incorrect predictions on both instances. This report will go through the entire modeling process as well as offer final insights into recommendations as to how the financial institution can tailor the results to improve their business practices and understanding of customers and loans. </w:t>
      </w:r>
    </w:p>
    <w:p w14:paraId="26A7640A" w14:textId="77777777" w:rsidR="008A6DB5" w:rsidRDefault="008A6DB5">
      <w:pPr>
        <w:rPr>
          <w:sz w:val="32"/>
          <w:szCs w:val="32"/>
        </w:rPr>
      </w:pPr>
    </w:p>
    <w:p w14:paraId="7EB5A96C" w14:textId="77777777" w:rsidR="008A6DB5" w:rsidRDefault="00000000">
      <w:pPr>
        <w:rPr>
          <w:sz w:val="36"/>
          <w:szCs w:val="36"/>
        </w:rPr>
      </w:pPr>
      <w:r>
        <w:rPr>
          <w:sz w:val="36"/>
          <w:szCs w:val="36"/>
        </w:rPr>
        <w:t>Key Findings</w:t>
      </w:r>
    </w:p>
    <w:p w14:paraId="1A31939D" w14:textId="77777777" w:rsidR="008A6DB5" w:rsidRDefault="00000000">
      <w:pPr>
        <w:numPr>
          <w:ilvl w:val="0"/>
          <w:numId w:val="1"/>
        </w:numPr>
        <w:rPr>
          <w:sz w:val="26"/>
          <w:szCs w:val="26"/>
        </w:rPr>
      </w:pPr>
      <w:r>
        <w:rPr>
          <w:sz w:val="26"/>
          <w:szCs w:val="26"/>
        </w:rPr>
        <w:t>In the exploratory analysis, it was determined that some variables have instances that are so rare that they are either 99% to one side or only have a single value through the entire dataset. This is evident with the variables “</w:t>
      </w:r>
      <w:proofErr w:type="spellStart"/>
      <w:r>
        <w:rPr>
          <w:sz w:val="26"/>
          <w:szCs w:val="26"/>
        </w:rPr>
        <w:t>application_type</w:t>
      </w:r>
      <w:proofErr w:type="spellEnd"/>
      <w:r>
        <w:rPr>
          <w:sz w:val="26"/>
          <w:szCs w:val="26"/>
        </w:rPr>
        <w:t>” and “</w:t>
      </w:r>
      <w:proofErr w:type="spellStart"/>
      <w:r>
        <w:rPr>
          <w:sz w:val="26"/>
          <w:szCs w:val="26"/>
        </w:rPr>
        <w:t>pymnt_plan</w:t>
      </w:r>
      <w:proofErr w:type="spellEnd"/>
      <w:r>
        <w:rPr>
          <w:sz w:val="26"/>
          <w:szCs w:val="26"/>
        </w:rPr>
        <w:t xml:space="preserve">. </w:t>
      </w:r>
    </w:p>
    <w:p w14:paraId="7AF8BFC7" w14:textId="77777777" w:rsidR="008A6DB5" w:rsidRDefault="00000000">
      <w:pPr>
        <w:numPr>
          <w:ilvl w:val="0"/>
          <w:numId w:val="1"/>
        </w:numPr>
        <w:rPr>
          <w:sz w:val="26"/>
          <w:szCs w:val="26"/>
        </w:rPr>
      </w:pPr>
      <w:r>
        <w:rPr>
          <w:sz w:val="26"/>
          <w:szCs w:val="26"/>
        </w:rPr>
        <w:t xml:space="preserve">The variable </w:t>
      </w:r>
      <w:proofErr w:type="spellStart"/>
      <w:r>
        <w:rPr>
          <w:sz w:val="26"/>
          <w:szCs w:val="26"/>
        </w:rPr>
        <w:t>last_credit_pull_d</w:t>
      </w:r>
      <w:proofErr w:type="spellEnd"/>
      <w:r>
        <w:rPr>
          <w:sz w:val="26"/>
          <w:szCs w:val="26"/>
        </w:rPr>
        <w:t xml:space="preserve"> is the most significant variable and predictor in the dataset, as it is usually an outlier in any of the variable importance graphics, specifically select months which display the highest number of defaulted loans. </w:t>
      </w:r>
    </w:p>
    <w:p w14:paraId="33E23C04" w14:textId="77777777" w:rsidR="008A6DB5" w:rsidRDefault="00000000">
      <w:pPr>
        <w:numPr>
          <w:ilvl w:val="0"/>
          <w:numId w:val="1"/>
        </w:numPr>
        <w:rPr>
          <w:sz w:val="26"/>
          <w:szCs w:val="26"/>
        </w:rPr>
      </w:pPr>
      <w:r>
        <w:rPr>
          <w:sz w:val="26"/>
          <w:szCs w:val="26"/>
        </w:rPr>
        <w:t xml:space="preserve">There are a few select variables that do most of the work in predicting </w:t>
      </w:r>
      <w:proofErr w:type="spellStart"/>
      <w:r>
        <w:rPr>
          <w:sz w:val="26"/>
          <w:szCs w:val="26"/>
        </w:rPr>
        <w:t>loan_status</w:t>
      </w:r>
      <w:proofErr w:type="spellEnd"/>
      <w:r>
        <w:rPr>
          <w:sz w:val="26"/>
          <w:szCs w:val="26"/>
        </w:rPr>
        <w:t xml:space="preserve"> that stand out among the rest. Other than couple, there are many variables that aren’t significant predictors. </w:t>
      </w:r>
    </w:p>
    <w:p w14:paraId="09252FB6" w14:textId="77777777" w:rsidR="008A6DB5" w:rsidRDefault="008A6DB5">
      <w:pPr>
        <w:rPr>
          <w:sz w:val="32"/>
          <w:szCs w:val="32"/>
        </w:rPr>
      </w:pPr>
    </w:p>
    <w:p w14:paraId="72A40CD1" w14:textId="77777777" w:rsidR="008A6DB5" w:rsidRDefault="00000000">
      <w:pPr>
        <w:rPr>
          <w:sz w:val="36"/>
          <w:szCs w:val="36"/>
        </w:rPr>
      </w:pPr>
      <w:r>
        <w:rPr>
          <w:sz w:val="36"/>
          <w:szCs w:val="36"/>
        </w:rPr>
        <w:t>Model Performance &amp; Interpretation</w:t>
      </w:r>
    </w:p>
    <w:p w14:paraId="1A8C9481" w14:textId="77777777" w:rsidR="008A6DB5" w:rsidRDefault="00000000">
      <w:pPr>
        <w:rPr>
          <w:sz w:val="26"/>
          <w:szCs w:val="26"/>
        </w:rPr>
      </w:pPr>
      <w:r>
        <w:rPr>
          <w:sz w:val="26"/>
          <w:szCs w:val="26"/>
        </w:rPr>
        <w:t xml:space="preserve">After formulating a logistic regression model, random forest model, and </w:t>
      </w:r>
      <w:proofErr w:type="spellStart"/>
      <w:r>
        <w:rPr>
          <w:sz w:val="26"/>
          <w:szCs w:val="26"/>
        </w:rPr>
        <w:t>XGBoost</w:t>
      </w:r>
      <w:proofErr w:type="spellEnd"/>
      <w:r>
        <w:rPr>
          <w:sz w:val="26"/>
          <w:szCs w:val="26"/>
        </w:rPr>
        <w:t xml:space="preserve"> model, the </w:t>
      </w:r>
      <w:proofErr w:type="spellStart"/>
      <w:r>
        <w:rPr>
          <w:sz w:val="26"/>
          <w:szCs w:val="26"/>
        </w:rPr>
        <w:t>XGBoost</w:t>
      </w:r>
      <w:proofErr w:type="spellEnd"/>
      <w:r>
        <w:rPr>
          <w:sz w:val="26"/>
          <w:szCs w:val="26"/>
        </w:rPr>
        <w:t xml:space="preserve"> turned out to be the best predictor of </w:t>
      </w:r>
      <w:proofErr w:type="spellStart"/>
      <w:r>
        <w:rPr>
          <w:sz w:val="26"/>
          <w:szCs w:val="26"/>
        </w:rPr>
        <w:t>loan_status</w:t>
      </w:r>
      <w:proofErr w:type="spellEnd"/>
      <w:r>
        <w:rPr>
          <w:sz w:val="26"/>
          <w:szCs w:val="26"/>
        </w:rPr>
        <w:t>, as defined by the following results:</w:t>
      </w:r>
    </w:p>
    <w:p w14:paraId="1E29E5F8" w14:textId="77777777" w:rsidR="008A6DB5" w:rsidRDefault="008A6DB5">
      <w:pPr>
        <w:rPr>
          <w:sz w:val="26"/>
          <w:szCs w:val="26"/>
        </w:rPr>
      </w:pPr>
    </w:p>
    <w:p w14:paraId="48680B0C" w14:textId="77777777" w:rsidR="008A6DB5" w:rsidRDefault="008A6DB5">
      <w:pPr>
        <w:rPr>
          <w:sz w:val="26"/>
          <w:szCs w:val="26"/>
        </w:rPr>
      </w:pP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1135"/>
        <w:gridCol w:w="1135"/>
        <w:gridCol w:w="1135"/>
        <w:gridCol w:w="1419"/>
        <w:gridCol w:w="1134"/>
        <w:gridCol w:w="1134"/>
        <w:gridCol w:w="1134"/>
        <w:gridCol w:w="1134"/>
      </w:tblGrid>
      <w:tr w:rsidR="008A6DB5" w14:paraId="7C4A56A4" w14:textId="77777777">
        <w:trPr>
          <w:trHeight w:val="495"/>
        </w:trPr>
        <w:tc>
          <w:tcPr>
            <w:tcW w:w="9356" w:type="dxa"/>
            <w:gridSpan w:val="8"/>
            <w:tcBorders>
              <w:top w:val="single" w:sz="8" w:space="0" w:color="000000"/>
              <w:left w:val="single" w:sz="8" w:space="0" w:color="000000"/>
              <w:bottom w:val="single" w:sz="8" w:space="0" w:color="000000"/>
              <w:right w:val="single" w:sz="8" w:space="0" w:color="000000"/>
            </w:tcBorders>
            <w:shd w:val="clear" w:color="auto" w:fill="F4CCCC"/>
            <w:tcMar>
              <w:top w:w="40" w:type="dxa"/>
              <w:left w:w="40" w:type="dxa"/>
              <w:bottom w:w="40" w:type="dxa"/>
              <w:right w:w="40" w:type="dxa"/>
            </w:tcMar>
            <w:vAlign w:val="bottom"/>
          </w:tcPr>
          <w:p w14:paraId="5A7CAECA" w14:textId="77777777" w:rsidR="008A6DB5" w:rsidRDefault="00000000">
            <w:pPr>
              <w:widowControl w:val="0"/>
              <w:jc w:val="center"/>
              <w:rPr>
                <w:sz w:val="20"/>
                <w:szCs w:val="20"/>
              </w:rPr>
            </w:pPr>
            <w:proofErr w:type="spellStart"/>
            <w:r>
              <w:rPr>
                <w:sz w:val="36"/>
                <w:szCs w:val="36"/>
              </w:rPr>
              <w:t>XGBoost</w:t>
            </w:r>
            <w:proofErr w:type="spellEnd"/>
            <w:r>
              <w:rPr>
                <w:sz w:val="36"/>
                <w:szCs w:val="36"/>
              </w:rPr>
              <w:t xml:space="preserve"> Model Metrics</w:t>
            </w:r>
          </w:p>
        </w:tc>
      </w:tr>
      <w:tr w:rsidR="008A6DB5" w14:paraId="41377AD6" w14:textId="77777777">
        <w:trPr>
          <w:trHeight w:val="405"/>
        </w:trPr>
        <w:tc>
          <w:tcPr>
            <w:tcW w:w="1134" w:type="dxa"/>
            <w:tcBorders>
              <w:top w:val="single" w:sz="8" w:space="0" w:color="CCCCCC"/>
              <w:left w:val="single" w:sz="8" w:space="0" w:color="CCCCCC"/>
              <w:bottom w:val="single" w:sz="8" w:space="0" w:color="000000"/>
              <w:right w:val="single" w:sz="8" w:space="0" w:color="000000"/>
            </w:tcBorders>
            <w:shd w:val="clear" w:color="auto" w:fill="C9DAF8"/>
            <w:tcMar>
              <w:top w:w="40" w:type="dxa"/>
              <w:left w:w="40" w:type="dxa"/>
              <w:bottom w:w="40" w:type="dxa"/>
              <w:right w:w="40" w:type="dxa"/>
            </w:tcMar>
            <w:vAlign w:val="bottom"/>
          </w:tcPr>
          <w:p w14:paraId="4AEADAEC" w14:textId="77777777" w:rsidR="008A6DB5" w:rsidRDefault="00000000">
            <w:pPr>
              <w:widowControl w:val="0"/>
              <w:rPr>
                <w:sz w:val="20"/>
                <w:szCs w:val="20"/>
              </w:rPr>
            </w:pPr>
            <w:r>
              <w:rPr>
                <w:sz w:val="28"/>
                <w:szCs w:val="28"/>
              </w:rPr>
              <w:t># Variables</w:t>
            </w:r>
          </w:p>
        </w:tc>
        <w:tc>
          <w:tcPr>
            <w:tcW w:w="1134" w:type="dxa"/>
            <w:tcBorders>
              <w:top w:val="single" w:sz="8" w:space="0" w:color="CCCCCC"/>
              <w:left w:val="single" w:sz="8" w:space="0" w:color="CCCCCC"/>
              <w:bottom w:val="single" w:sz="8" w:space="0" w:color="000000"/>
              <w:right w:val="single" w:sz="8" w:space="0" w:color="000000"/>
            </w:tcBorders>
            <w:shd w:val="clear" w:color="auto" w:fill="C9DAF8"/>
            <w:tcMar>
              <w:top w:w="40" w:type="dxa"/>
              <w:left w:w="40" w:type="dxa"/>
              <w:bottom w:w="40" w:type="dxa"/>
              <w:right w:w="40" w:type="dxa"/>
            </w:tcMar>
            <w:vAlign w:val="bottom"/>
          </w:tcPr>
          <w:p w14:paraId="2EDD67A0" w14:textId="77777777" w:rsidR="008A6DB5" w:rsidRDefault="00000000">
            <w:pPr>
              <w:widowControl w:val="0"/>
              <w:rPr>
                <w:sz w:val="20"/>
                <w:szCs w:val="20"/>
              </w:rPr>
            </w:pPr>
            <w:r>
              <w:rPr>
                <w:sz w:val="28"/>
                <w:szCs w:val="28"/>
              </w:rPr>
              <w:t>Partition</w:t>
            </w:r>
          </w:p>
        </w:tc>
        <w:tc>
          <w:tcPr>
            <w:tcW w:w="1134" w:type="dxa"/>
            <w:tcBorders>
              <w:top w:val="single" w:sz="8" w:space="0" w:color="CCCCCC"/>
              <w:left w:val="single" w:sz="8" w:space="0" w:color="CCCCCC"/>
              <w:bottom w:val="single" w:sz="8" w:space="0" w:color="000000"/>
              <w:right w:val="single" w:sz="8" w:space="0" w:color="000000"/>
            </w:tcBorders>
            <w:shd w:val="clear" w:color="auto" w:fill="C9DAF8"/>
            <w:tcMar>
              <w:top w:w="40" w:type="dxa"/>
              <w:left w:w="40" w:type="dxa"/>
              <w:bottom w:w="40" w:type="dxa"/>
              <w:right w:w="40" w:type="dxa"/>
            </w:tcMar>
            <w:vAlign w:val="bottom"/>
          </w:tcPr>
          <w:p w14:paraId="7EDD416F" w14:textId="77777777" w:rsidR="008A6DB5" w:rsidRDefault="00000000">
            <w:pPr>
              <w:widowControl w:val="0"/>
              <w:rPr>
                <w:sz w:val="20"/>
                <w:szCs w:val="20"/>
              </w:rPr>
            </w:pPr>
            <w:r>
              <w:rPr>
                <w:sz w:val="28"/>
                <w:szCs w:val="28"/>
              </w:rPr>
              <w:t>Accuracy</w:t>
            </w:r>
          </w:p>
        </w:tc>
        <w:tc>
          <w:tcPr>
            <w:tcW w:w="1418" w:type="dxa"/>
            <w:tcBorders>
              <w:top w:val="single" w:sz="8" w:space="0" w:color="CCCCCC"/>
              <w:left w:val="single" w:sz="8" w:space="0" w:color="CCCCCC"/>
              <w:bottom w:val="single" w:sz="8" w:space="0" w:color="000000"/>
              <w:right w:val="single" w:sz="8" w:space="0" w:color="000000"/>
            </w:tcBorders>
            <w:shd w:val="clear" w:color="auto" w:fill="C9DAF8"/>
            <w:tcMar>
              <w:top w:w="40" w:type="dxa"/>
              <w:left w:w="40" w:type="dxa"/>
              <w:bottom w:w="40" w:type="dxa"/>
              <w:right w:w="40" w:type="dxa"/>
            </w:tcMar>
            <w:vAlign w:val="bottom"/>
          </w:tcPr>
          <w:p w14:paraId="09243723" w14:textId="77777777" w:rsidR="008A6DB5" w:rsidRDefault="00000000">
            <w:pPr>
              <w:widowControl w:val="0"/>
              <w:rPr>
                <w:sz w:val="20"/>
                <w:szCs w:val="20"/>
              </w:rPr>
            </w:pPr>
            <w:r>
              <w:rPr>
                <w:sz w:val="28"/>
                <w:szCs w:val="28"/>
              </w:rPr>
              <w:t>ROC AUC</w:t>
            </w:r>
          </w:p>
        </w:tc>
        <w:tc>
          <w:tcPr>
            <w:tcW w:w="1134" w:type="dxa"/>
            <w:tcBorders>
              <w:top w:val="single" w:sz="8" w:space="0" w:color="CCCCCC"/>
              <w:left w:val="single" w:sz="8" w:space="0" w:color="CCCCCC"/>
              <w:bottom w:val="single" w:sz="8" w:space="0" w:color="000000"/>
              <w:right w:val="single" w:sz="8" w:space="0" w:color="000000"/>
            </w:tcBorders>
            <w:shd w:val="clear" w:color="auto" w:fill="C9DAF8"/>
            <w:tcMar>
              <w:top w:w="40" w:type="dxa"/>
              <w:left w:w="40" w:type="dxa"/>
              <w:bottom w:w="40" w:type="dxa"/>
              <w:right w:w="40" w:type="dxa"/>
            </w:tcMar>
            <w:vAlign w:val="bottom"/>
          </w:tcPr>
          <w:p w14:paraId="4D63FE46" w14:textId="77777777" w:rsidR="008A6DB5" w:rsidRDefault="00000000">
            <w:pPr>
              <w:widowControl w:val="0"/>
              <w:rPr>
                <w:sz w:val="20"/>
                <w:szCs w:val="20"/>
              </w:rPr>
            </w:pPr>
            <w:proofErr w:type="spellStart"/>
            <w:r>
              <w:rPr>
                <w:sz w:val="28"/>
                <w:szCs w:val="28"/>
              </w:rPr>
              <w:t>LogLoss</w:t>
            </w:r>
            <w:proofErr w:type="spellEnd"/>
          </w:p>
        </w:tc>
        <w:tc>
          <w:tcPr>
            <w:tcW w:w="1134" w:type="dxa"/>
            <w:tcBorders>
              <w:top w:val="single" w:sz="8" w:space="0" w:color="CCCCCC"/>
              <w:left w:val="single" w:sz="8" w:space="0" w:color="CCCCCC"/>
              <w:bottom w:val="single" w:sz="8" w:space="0" w:color="000000"/>
              <w:right w:val="single" w:sz="8" w:space="0" w:color="000000"/>
            </w:tcBorders>
            <w:shd w:val="clear" w:color="auto" w:fill="C9DAF8"/>
            <w:tcMar>
              <w:top w:w="40" w:type="dxa"/>
              <w:left w:w="40" w:type="dxa"/>
              <w:bottom w:w="40" w:type="dxa"/>
              <w:right w:w="40" w:type="dxa"/>
            </w:tcMar>
            <w:vAlign w:val="bottom"/>
          </w:tcPr>
          <w:p w14:paraId="101EA4FD" w14:textId="77777777" w:rsidR="008A6DB5" w:rsidRDefault="00000000">
            <w:pPr>
              <w:widowControl w:val="0"/>
              <w:rPr>
                <w:sz w:val="20"/>
                <w:szCs w:val="20"/>
              </w:rPr>
            </w:pPr>
            <w:r>
              <w:rPr>
                <w:sz w:val="28"/>
                <w:szCs w:val="28"/>
              </w:rPr>
              <w:t>Precision</w:t>
            </w:r>
          </w:p>
        </w:tc>
        <w:tc>
          <w:tcPr>
            <w:tcW w:w="1134" w:type="dxa"/>
            <w:tcBorders>
              <w:top w:val="single" w:sz="8" w:space="0" w:color="CCCCCC"/>
              <w:left w:val="single" w:sz="8" w:space="0" w:color="CCCCCC"/>
              <w:bottom w:val="single" w:sz="8" w:space="0" w:color="000000"/>
              <w:right w:val="single" w:sz="8" w:space="0" w:color="000000"/>
            </w:tcBorders>
            <w:shd w:val="clear" w:color="auto" w:fill="C9DAF8"/>
            <w:tcMar>
              <w:top w:w="40" w:type="dxa"/>
              <w:left w:w="40" w:type="dxa"/>
              <w:bottom w:w="40" w:type="dxa"/>
              <w:right w:w="40" w:type="dxa"/>
            </w:tcMar>
            <w:vAlign w:val="bottom"/>
          </w:tcPr>
          <w:p w14:paraId="02AC446C" w14:textId="77777777" w:rsidR="008A6DB5" w:rsidRDefault="00000000">
            <w:pPr>
              <w:widowControl w:val="0"/>
              <w:rPr>
                <w:sz w:val="20"/>
                <w:szCs w:val="20"/>
              </w:rPr>
            </w:pPr>
            <w:r>
              <w:rPr>
                <w:sz w:val="28"/>
                <w:szCs w:val="28"/>
              </w:rPr>
              <w:t>Recall</w:t>
            </w:r>
          </w:p>
        </w:tc>
        <w:tc>
          <w:tcPr>
            <w:tcW w:w="1134" w:type="dxa"/>
            <w:tcBorders>
              <w:top w:val="single" w:sz="8" w:space="0" w:color="CCCCCC"/>
              <w:left w:val="single" w:sz="8" w:space="0" w:color="CCCCCC"/>
              <w:bottom w:val="single" w:sz="8" w:space="0" w:color="000000"/>
              <w:right w:val="single" w:sz="8" w:space="0" w:color="000000"/>
            </w:tcBorders>
            <w:shd w:val="clear" w:color="auto" w:fill="C9DAF8"/>
            <w:tcMar>
              <w:top w:w="40" w:type="dxa"/>
              <w:left w:w="40" w:type="dxa"/>
              <w:bottom w:w="40" w:type="dxa"/>
              <w:right w:w="40" w:type="dxa"/>
            </w:tcMar>
            <w:vAlign w:val="bottom"/>
          </w:tcPr>
          <w:p w14:paraId="25C993CA" w14:textId="77777777" w:rsidR="008A6DB5" w:rsidRDefault="00000000">
            <w:pPr>
              <w:widowControl w:val="0"/>
              <w:rPr>
                <w:sz w:val="20"/>
                <w:szCs w:val="20"/>
              </w:rPr>
            </w:pPr>
            <w:r>
              <w:rPr>
                <w:sz w:val="28"/>
                <w:szCs w:val="28"/>
              </w:rPr>
              <w:t>F1</w:t>
            </w:r>
          </w:p>
        </w:tc>
      </w:tr>
      <w:tr w:rsidR="008A6DB5" w14:paraId="0E523263" w14:textId="77777777">
        <w:trPr>
          <w:trHeight w:val="360"/>
        </w:trPr>
        <w:tc>
          <w:tcPr>
            <w:tcW w:w="1134" w:type="dxa"/>
            <w:vMerge w:val="restart"/>
            <w:tcBorders>
              <w:top w:val="single" w:sz="8" w:space="0" w:color="CCCCCC"/>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center"/>
          </w:tcPr>
          <w:p w14:paraId="0870350B" w14:textId="77777777" w:rsidR="008A6DB5" w:rsidRDefault="00000000">
            <w:pPr>
              <w:widowControl w:val="0"/>
              <w:jc w:val="center"/>
              <w:rPr>
                <w:sz w:val="24"/>
                <w:szCs w:val="24"/>
              </w:rPr>
            </w:pPr>
            <w:r>
              <w:rPr>
                <w:sz w:val="24"/>
                <w:szCs w:val="24"/>
              </w:rPr>
              <w:t>22</w:t>
            </w:r>
          </w:p>
        </w:tc>
        <w:tc>
          <w:tcPr>
            <w:tcW w:w="1134"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53AF9D8B" w14:textId="77777777" w:rsidR="008A6DB5" w:rsidRDefault="00000000">
            <w:pPr>
              <w:widowControl w:val="0"/>
              <w:rPr>
                <w:sz w:val="20"/>
                <w:szCs w:val="20"/>
              </w:rPr>
            </w:pPr>
            <w:r>
              <w:rPr>
                <w:sz w:val="24"/>
                <w:szCs w:val="24"/>
              </w:rPr>
              <w:t>Training</w:t>
            </w:r>
          </w:p>
        </w:tc>
        <w:tc>
          <w:tcPr>
            <w:tcW w:w="1134"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133BC054" w14:textId="77777777" w:rsidR="008A6DB5" w:rsidRDefault="00000000">
            <w:pPr>
              <w:widowControl w:val="0"/>
              <w:jc w:val="center"/>
              <w:rPr>
                <w:sz w:val="20"/>
                <w:szCs w:val="20"/>
              </w:rPr>
            </w:pPr>
            <w:r>
              <w:rPr>
                <w:sz w:val="24"/>
                <w:szCs w:val="24"/>
              </w:rPr>
              <w:t>0.99832</w:t>
            </w:r>
          </w:p>
        </w:tc>
        <w:tc>
          <w:tcPr>
            <w:tcW w:w="1418"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764E2064" w14:textId="77777777" w:rsidR="008A6DB5" w:rsidRDefault="00000000">
            <w:pPr>
              <w:widowControl w:val="0"/>
              <w:jc w:val="center"/>
              <w:rPr>
                <w:sz w:val="20"/>
                <w:szCs w:val="20"/>
              </w:rPr>
            </w:pPr>
            <w:r>
              <w:rPr>
                <w:sz w:val="24"/>
                <w:szCs w:val="24"/>
              </w:rPr>
              <w:t>0.99998</w:t>
            </w:r>
          </w:p>
        </w:tc>
        <w:tc>
          <w:tcPr>
            <w:tcW w:w="1134"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2E3DA047" w14:textId="77777777" w:rsidR="008A6DB5" w:rsidRDefault="00000000">
            <w:pPr>
              <w:widowControl w:val="0"/>
              <w:jc w:val="center"/>
              <w:rPr>
                <w:sz w:val="20"/>
                <w:szCs w:val="20"/>
              </w:rPr>
            </w:pPr>
            <w:r>
              <w:rPr>
                <w:sz w:val="24"/>
                <w:szCs w:val="24"/>
              </w:rPr>
              <w:t>0.02523</w:t>
            </w:r>
          </w:p>
        </w:tc>
        <w:tc>
          <w:tcPr>
            <w:tcW w:w="1134"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0D3A98B1" w14:textId="77777777" w:rsidR="008A6DB5" w:rsidRDefault="00000000">
            <w:pPr>
              <w:widowControl w:val="0"/>
              <w:jc w:val="center"/>
              <w:rPr>
                <w:sz w:val="20"/>
                <w:szCs w:val="20"/>
              </w:rPr>
            </w:pPr>
            <w:r>
              <w:rPr>
                <w:sz w:val="24"/>
                <w:szCs w:val="24"/>
              </w:rPr>
              <w:t>0.99585</w:t>
            </w:r>
          </w:p>
        </w:tc>
        <w:tc>
          <w:tcPr>
            <w:tcW w:w="1134"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1C006A10" w14:textId="77777777" w:rsidR="008A6DB5" w:rsidRDefault="00000000">
            <w:pPr>
              <w:widowControl w:val="0"/>
              <w:jc w:val="center"/>
              <w:rPr>
                <w:sz w:val="20"/>
                <w:szCs w:val="20"/>
              </w:rPr>
            </w:pPr>
            <w:r>
              <w:rPr>
                <w:sz w:val="24"/>
                <w:szCs w:val="24"/>
              </w:rPr>
              <w:t>0.99299</w:t>
            </w:r>
          </w:p>
        </w:tc>
        <w:tc>
          <w:tcPr>
            <w:tcW w:w="1134"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56F19E49" w14:textId="77777777" w:rsidR="008A6DB5" w:rsidRDefault="00000000">
            <w:pPr>
              <w:widowControl w:val="0"/>
              <w:jc w:val="center"/>
              <w:rPr>
                <w:sz w:val="20"/>
                <w:szCs w:val="20"/>
              </w:rPr>
            </w:pPr>
            <w:r>
              <w:rPr>
                <w:sz w:val="24"/>
                <w:szCs w:val="24"/>
              </w:rPr>
              <w:t>0.99442</w:t>
            </w:r>
          </w:p>
        </w:tc>
      </w:tr>
      <w:tr w:rsidR="008A6DB5" w14:paraId="68BB75B6" w14:textId="77777777">
        <w:trPr>
          <w:trHeight w:val="360"/>
        </w:trPr>
        <w:tc>
          <w:tcPr>
            <w:tcW w:w="1134"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263A79B" w14:textId="77777777" w:rsidR="008A6DB5" w:rsidRDefault="008A6DB5">
            <w:pPr>
              <w:widowControl w:val="0"/>
              <w:rPr>
                <w:sz w:val="20"/>
                <w:szCs w:val="20"/>
              </w:rPr>
            </w:pPr>
          </w:p>
        </w:tc>
        <w:tc>
          <w:tcPr>
            <w:tcW w:w="1134"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44219C28" w14:textId="77777777" w:rsidR="008A6DB5" w:rsidRDefault="00000000">
            <w:pPr>
              <w:widowControl w:val="0"/>
              <w:rPr>
                <w:sz w:val="20"/>
                <w:szCs w:val="20"/>
              </w:rPr>
            </w:pPr>
            <w:r>
              <w:rPr>
                <w:sz w:val="24"/>
                <w:szCs w:val="24"/>
              </w:rPr>
              <w:t>Testing</w:t>
            </w:r>
          </w:p>
        </w:tc>
        <w:tc>
          <w:tcPr>
            <w:tcW w:w="1134"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587082DF" w14:textId="77777777" w:rsidR="008A6DB5" w:rsidRDefault="00000000">
            <w:pPr>
              <w:widowControl w:val="0"/>
              <w:jc w:val="center"/>
              <w:rPr>
                <w:sz w:val="20"/>
                <w:szCs w:val="20"/>
              </w:rPr>
            </w:pPr>
            <w:r>
              <w:rPr>
                <w:sz w:val="24"/>
                <w:szCs w:val="24"/>
              </w:rPr>
              <w:t>0.95635</w:t>
            </w:r>
          </w:p>
        </w:tc>
        <w:tc>
          <w:tcPr>
            <w:tcW w:w="1418" w:type="dxa"/>
            <w:tcBorders>
              <w:top w:val="single" w:sz="8" w:space="0" w:color="CCCCCC"/>
              <w:left w:val="single" w:sz="8" w:space="0" w:color="CCCCCC"/>
              <w:bottom w:val="single" w:sz="8" w:space="0" w:color="000000"/>
              <w:right w:val="single" w:sz="8" w:space="0" w:color="000000"/>
            </w:tcBorders>
            <w:shd w:val="clear" w:color="auto" w:fill="FFFFFF"/>
            <w:tcMar>
              <w:top w:w="40" w:type="dxa"/>
              <w:left w:w="40" w:type="dxa"/>
              <w:bottom w:w="40" w:type="dxa"/>
              <w:right w:w="40" w:type="dxa"/>
            </w:tcMar>
            <w:vAlign w:val="bottom"/>
          </w:tcPr>
          <w:p w14:paraId="6F599BC5" w14:textId="77777777" w:rsidR="008A6DB5" w:rsidRDefault="00000000">
            <w:pPr>
              <w:widowControl w:val="0"/>
              <w:jc w:val="center"/>
              <w:rPr>
                <w:sz w:val="20"/>
                <w:szCs w:val="20"/>
              </w:rPr>
            </w:pPr>
            <w:r>
              <w:rPr>
                <w:sz w:val="24"/>
                <w:szCs w:val="24"/>
              </w:rPr>
              <w:t>0.98291</w:t>
            </w:r>
          </w:p>
        </w:tc>
        <w:tc>
          <w:tcPr>
            <w:tcW w:w="1134"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5BB9D0F2" w14:textId="77777777" w:rsidR="008A6DB5" w:rsidRDefault="00000000">
            <w:pPr>
              <w:widowControl w:val="0"/>
              <w:jc w:val="center"/>
              <w:rPr>
                <w:sz w:val="20"/>
                <w:szCs w:val="20"/>
              </w:rPr>
            </w:pPr>
            <w:r>
              <w:rPr>
                <w:sz w:val="24"/>
                <w:szCs w:val="24"/>
              </w:rPr>
              <w:t>0.11701</w:t>
            </w:r>
          </w:p>
        </w:tc>
        <w:tc>
          <w:tcPr>
            <w:tcW w:w="1134"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0291C1D7" w14:textId="77777777" w:rsidR="008A6DB5" w:rsidRDefault="00000000">
            <w:pPr>
              <w:widowControl w:val="0"/>
              <w:jc w:val="center"/>
              <w:rPr>
                <w:sz w:val="20"/>
                <w:szCs w:val="20"/>
              </w:rPr>
            </w:pPr>
            <w:r>
              <w:rPr>
                <w:sz w:val="24"/>
                <w:szCs w:val="24"/>
              </w:rPr>
              <w:t>0.87031</w:t>
            </w:r>
          </w:p>
        </w:tc>
        <w:tc>
          <w:tcPr>
            <w:tcW w:w="1134"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2CC5F421" w14:textId="77777777" w:rsidR="008A6DB5" w:rsidRDefault="00000000">
            <w:pPr>
              <w:widowControl w:val="0"/>
              <w:jc w:val="center"/>
              <w:rPr>
                <w:sz w:val="20"/>
                <w:szCs w:val="20"/>
              </w:rPr>
            </w:pPr>
            <w:r>
              <w:rPr>
                <w:sz w:val="24"/>
                <w:szCs w:val="24"/>
              </w:rPr>
              <w:t>0.83259</w:t>
            </w:r>
          </w:p>
        </w:tc>
        <w:tc>
          <w:tcPr>
            <w:tcW w:w="1134"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14:paraId="4133511C" w14:textId="77777777" w:rsidR="008A6DB5" w:rsidRDefault="00000000">
            <w:pPr>
              <w:widowControl w:val="0"/>
              <w:jc w:val="center"/>
              <w:rPr>
                <w:sz w:val="20"/>
                <w:szCs w:val="20"/>
              </w:rPr>
            </w:pPr>
            <w:r>
              <w:rPr>
                <w:sz w:val="24"/>
                <w:szCs w:val="24"/>
              </w:rPr>
              <w:t>0.85103</w:t>
            </w:r>
          </w:p>
        </w:tc>
      </w:tr>
    </w:tbl>
    <w:p w14:paraId="7A9FBF73" w14:textId="77777777" w:rsidR="008A6DB5" w:rsidRDefault="008A6DB5">
      <w:pPr>
        <w:rPr>
          <w:sz w:val="26"/>
          <w:szCs w:val="26"/>
        </w:rPr>
      </w:pPr>
    </w:p>
    <w:p w14:paraId="5D80940A" w14:textId="77777777" w:rsidR="008A6DB5" w:rsidRDefault="00000000">
      <w:pPr>
        <w:rPr>
          <w:sz w:val="26"/>
          <w:szCs w:val="26"/>
        </w:rPr>
      </w:pPr>
      <w:r>
        <w:rPr>
          <w:sz w:val="26"/>
          <w:szCs w:val="26"/>
        </w:rPr>
        <w:t xml:space="preserve">This model displays a great ability of separability as displayed in the 0.98291 ROC AUC on the test data set. This model also has a great ability to predict correct instances, backed by the 0.95635 accuracy score. </w:t>
      </w:r>
    </w:p>
    <w:p w14:paraId="28BC27D0" w14:textId="77777777" w:rsidR="008A6DB5" w:rsidRDefault="008A6DB5">
      <w:pPr>
        <w:rPr>
          <w:sz w:val="26"/>
          <w:szCs w:val="26"/>
        </w:rPr>
      </w:pPr>
    </w:p>
    <w:p w14:paraId="55502AC8" w14:textId="77777777" w:rsidR="008A6DB5" w:rsidRDefault="00000000">
      <w:pPr>
        <w:rPr>
          <w:sz w:val="36"/>
          <w:szCs w:val="36"/>
        </w:rPr>
      </w:pPr>
      <w:r>
        <w:rPr>
          <w:sz w:val="36"/>
          <w:szCs w:val="36"/>
        </w:rPr>
        <w:t>Recommendations</w:t>
      </w:r>
    </w:p>
    <w:p w14:paraId="7F861AC9" w14:textId="77777777" w:rsidR="008A6DB5" w:rsidRDefault="00000000">
      <w:pPr>
        <w:numPr>
          <w:ilvl w:val="0"/>
          <w:numId w:val="2"/>
        </w:numPr>
        <w:rPr>
          <w:sz w:val="26"/>
          <w:szCs w:val="26"/>
        </w:rPr>
      </w:pPr>
      <w:r>
        <w:rPr>
          <w:sz w:val="26"/>
          <w:szCs w:val="26"/>
        </w:rPr>
        <w:t>Focus attention on why certain months such as September 2016, and why it is such a high predictor of defaulted loans. This can be done for other months and years as well. If there is some insight into why certain months see more defaults, then action can be taken in the company’s practices to highlight those and determine causes of that.</w:t>
      </w:r>
    </w:p>
    <w:p w14:paraId="56BE92F2" w14:textId="77777777" w:rsidR="008A6DB5" w:rsidRDefault="00000000">
      <w:pPr>
        <w:numPr>
          <w:ilvl w:val="0"/>
          <w:numId w:val="2"/>
        </w:numPr>
        <w:rPr>
          <w:sz w:val="26"/>
          <w:szCs w:val="26"/>
        </w:rPr>
      </w:pPr>
      <w:r>
        <w:rPr>
          <w:sz w:val="26"/>
          <w:szCs w:val="26"/>
        </w:rPr>
        <w:t xml:space="preserve">Most of the important variables included in the model are numeric variables relating to information dealing with payments or amounts of the loan. Given this information, the company can try to tie their efforts of reducing defaulted loans into more numeric variables or predictors. </w:t>
      </w:r>
    </w:p>
    <w:p w14:paraId="6818268D" w14:textId="77777777" w:rsidR="008A6DB5" w:rsidRDefault="008A6DB5">
      <w:pPr>
        <w:rPr>
          <w:sz w:val="32"/>
          <w:szCs w:val="32"/>
        </w:rPr>
      </w:pPr>
    </w:p>
    <w:p w14:paraId="018BEADC" w14:textId="77777777" w:rsidR="008A6DB5" w:rsidRDefault="008A6DB5">
      <w:pPr>
        <w:rPr>
          <w:sz w:val="48"/>
          <w:szCs w:val="48"/>
        </w:rPr>
      </w:pPr>
    </w:p>
    <w:p w14:paraId="6FBDA228" w14:textId="77777777" w:rsidR="008A6DB5" w:rsidRDefault="008A6DB5">
      <w:pPr>
        <w:rPr>
          <w:sz w:val="48"/>
          <w:szCs w:val="48"/>
        </w:rPr>
      </w:pPr>
    </w:p>
    <w:p w14:paraId="5902C720" w14:textId="77777777" w:rsidR="008A6DB5" w:rsidRDefault="008A6DB5"/>
    <w:sectPr w:rsidR="008A6DB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4B0A32"/>
    <w:multiLevelType w:val="multilevel"/>
    <w:tmpl w:val="830CE9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303188B"/>
    <w:multiLevelType w:val="multilevel"/>
    <w:tmpl w:val="67BC2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78681476">
    <w:abstractNumId w:val="1"/>
  </w:num>
  <w:num w:numId="2" w16cid:durableId="1425032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DB5"/>
    <w:rsid w:val="000F7541"/>
    <w:rsid w:val="00575AFF"/>
    <w:rsid w:val="008A6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D6FC4"/>
  <w15:docId w15:val="{404484B1-1D0A-D44F-8B11-560CB8057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470</Words>
  <Characters>2680</Characters>
  <Application>Microsoft Office Word</Application>
  <DocSecurity>0</DocSecurity>
  <Lines>22</Lines>
  <Paragraphs>6</Paragraphs>
  <ScaleCrop>false</ScaleCrop>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Phillips, Kyle E.</cp:lastModifiedBy>
  <cp:revision>2</cp:revision>
  <dcterms:created xsi:type="dcterms:W3CDTF">2023-06-26T17:47:00Z</dcterms:created>
  <dcterms:modified xsi:type="dcterms:W3CDTF">2023-06-26T17:56:00Z</dcterms:modified>
</cp:coreProperties>
</file>