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454" w:rsidRPr="00347DC2" w:rsidRDefault="00627454" w:rsidP="00627454">
      <w:pPr>
        <w:pStyle w:val="Estilo"/>
        <w:spacing w:line="268" w:lineRule="exact"/>
        <w:ind w:left="1896" w:right="2059"/>
        <w:jc w:val="center"/>
        <w:rPr>
          <w:b/>
          <w:color w:val="000000"/>
          <w:sz w:val="22"/>
          <w:szCs w:val="22"/>
        </w:rPr>
      </w:pPr>
    </w:p>
    <w:p w:rsidR="00627454" w:rsidRPr="00347DC2" w:rsidRDefault="00627454" w:rsidP="00627454">
      <w:pPr>
        <w:pStyle w:val="Estilo"/>
        <w:spacing w:line="268" w:lineRule="exact"/>
        <w:ind w:left="1896" w:right="2059"/>
        <w:jc w:val="center"/>
        <w:rPr>
          <w:b/>
          <w:color w:val="000000"/>
          <w:sz w:val="22"/>
          <w:szCs w:val="22"/>
        </w:rPr>
      </w:pPr>
    </w:p>
    <w:p w:rsidR="00627454" w:rsidRPr="00347DC2" w:rsidRDefault="00627454" w:rsidP="00627454">
      <w:pPr>
        <w:pStyle w:val="Estilo"/>
        <w:spacing w:line="268" w:lineRule="exact"/>
        <w:ind w:left="1896" w:right="2059"/>
        <w:jc w:val="center"/>
        <w:rPr>
          <w:b/>
          <w:color w:val="000000"/>
          <w:sz w:val="22"/>
          <w:szCs w:val="22"/>
        </w:rPr>
      </w:pPr>
      <w:r w:rsidRPr="00347DC2">
        <w:rPr>
          <w:b/>
          <w:color w:val="000000"/>
          <w:sz w:val="22"/>
          <w:szCs w:val="22"/>
        </w:rPr>
        <w:t>PROYECTO DE ACUERDO No 10 DEL 11 DE SEPTIEMBRE DE 2020</w:t>
      </w:r>
    </w:p>
    <w:p w:rsidR="00627454" w:rsidRPr="00347DC2" w:rsidRDefault="00627454" w:rsidP="00627454">
      <w:pPr>
        <w:pStyle w:val="Estilo"/>
        <w:spacing w:line="268" w:lineRule="exact"/>
        <w:ind w:right="49"/>
        <w:jc w:val="center"/>
        <w:rPr>
          <w:bCs/>
          <w:color w:val="000000"/>
          <w:sz w:val="22"/>
          <w:szCs w:val="22"/>
        </w:rPr>
      </w:pPr>
      <w:r w:rsidRPr="00347DC2">
        <w:rPr>
          <w:b/>
          <w:bCs/>
          <w:color w:val="000000"/>
          <w:sz w:val="22"/>
          <w:szCs w:val="22"/>
        </w:rPr>
        <w:t>CONDICIONES EXCEPCIONALES Y COMERCIALES FRENTE A LA PANDEMIA COVID19</w:t>
      </w:r>
    </w:p>
    <w:p w:rsidR="00627454" w:rsidRPr="00347DC2" w:rsidRDefault="00627454" w:rsidP="00627454">
      <w:pPr>
        <w:pStyle w:val="Estilo"/>
        <w:spacing w:line="268" w:lineRule="exact"/>
        <w:ind w:right="2059"/>
        <w:rPr>
          <w:color w:val="000000"/>
          <w:sz w:val="22"/>
          <w:szCs w:val="22"/>
        </w:rPr>
      </w:pPr>
    </w:p>
    <w:p w:rsidR="00627454" w:rsidRPr="00347DC2" w:rsidRDefault="00627454" w:rsidP="00627454">
      <w:pPr>
        <w:pStyle w:val="Estilo"/>
        <w:spacing w:line="268" w:lineRule="exact"/>
        <w:ind w:right="49"/>
        <w:jc w:val="both"/>
        <w:rPr>
          <w:color w:val="000000"/>
          <w:sz w:val="22"/>
          <w:szCs w:val="22"/>
        </w:rPr>
      </w:pPr>
      <w:r w:rsidRPr="00347DC2">
        <w:rPr>
          <w:color w:val="000000"/>
          <w:sz w:val="22"/>
          <w:szCs w:val="22"/>
        </w:rPr>
        <w:t xml:space="preserve">EI Consejo de Administración de la Cooperativa de Ahorro </w:t>
      </w:r>
      <w:r w:rsidRPr="00347DC2">
        <w:rPr>
          <w:color w:val="000000"/>
          <w:w w:val="87"/>
          <w:sz w:val="22"/>
          <w:szCs w:val="22"/>
        </w:rPr>
        <w:t xml:space="preserve">y </w:t>
      </w:r>
      <w:r w:rsidRPr="00347DC2">
        <w:rPr>
          <w:color w:val="000000"/>
          <w:sz w:val="22"/>
          <w:szCs w:val="22"/>
        </w:rPr>
        <w:t xml:space="preserve">Crédito COOPEAIPE, en cumplimiento de sus funciones legales estatutarias, y </w:t>
      </w:r>
      <w:r w:rsidRPr="00347DC2">
        <w:rPr>
          <w:color w:val="000000"/>
          <w:w w:val="85"/>
          <w:sz w:val="22"/>
          <w:szCs w:val="22"/>
        </w:rPr>
        <w:t>particularmente</w:t>
      </w:r>
      <w:r w:rsidRPr="00347DC2">
        <w:rPr>
          <w:color w:val="000000"/>
          <w:sz w:val="22"/>
          <w:szCs w:val="22"/>
        </w:rPr>
        <w:t xml:space="preserve"> de las establecidas en la ley.</w:t>
      </w:r>
    </w:p>
    <w:p w:rsidR="00627454" w:rsidRPr="00347DC2" w:rsidRDefault="00627454" w:rsidP="00627454">
      <w:pPr>
        <w:pStyle w:val="Estilo"/>
        <w:spacing w:line="268" w:lineRule="exact"/>
        <w:ind w:right="49"/>
        <w:jc w:val="both"/>
        <w:rPr>
          <w:color w:val="000000"/>
          <w:sz w:val="22"/>
          <w:szCs w:val="22"/>
        </w:rPr>
      </w:pPr>
    </w:p>
    <w:p w:rsidR="00627454" w:rsidRPr="00347DC2" w:rsidRDefault="00627454" w:rsidP="00627454">
      <w:pPr>
        <w:pStyle w:val="Estilo"/>
        <w:spacing w:line="268" w:lineRule="exact"/>
        <w:ind w:right="49"/>
        <w:jc w:val="center"/>
        <w:rPr>
          <w:b/>
          <w:bCs/>
          <w:color w:val="000000"/>
          <w:sz w:val="22"/>
          <w:szCs w:val="22"/>
        </w:rPr>
      </w:pPr>
      <w:r w:rsidRPr="00347DC2">
        <w:rPr>
          <w:b/>
          <w:bCs/>
          <w:color w:val="000000"/>
          <w:sz w:val="22"/>
          <w:szCs w:val="22"/>
        </w:rPr>
        <w:t>CONSIDERANDO</w:t>
      </w:r>
    </w:p>
    <w:p w:rsidR="00627454" w:rsidRPr="00347DC2" w:rsidRDefault="00627454" w:rsidP="00627454">
      <w:pPr>
        <w:pStyle w:val="Estilo"/>
        <w:spacing w:line="268" w:lineRule="exact"/>
        <w:ind w:right="49"/>
        <w:jc w:val="center"/>
        <w:rPr>
          <w:color w:val="000000"/>
          <w:sz w:val="22"/>
          <w:szCs w:val="22"/>
        </w:rPr>
      </w:pPr>
    </w:p>
    <w:p w:rsidR="00627454" w:rsidRPr="00347DC2" w:rsidRDefault="00627454" w:rsidP="00627454">
      <w:pPr>
        <w:pStyle w:val="Estilo"/>
        <w:numPr>
          <w:ilvl w:val="0"/>
          <w:numId w:val="1"/>
        </w:numPr>
        <w:spacing w:line="268" w:lineRule="exact"/>
        <w:ind w:right="49"/>
        <w:jc w:val="both"/>
        <w:rPr>
          <w:b/>
          <w:bCs/>
          <w:sz w:val="22"/>
          <w:szCs w:val="22"/>
        </w:rPr>
      </w:pPr>
      <w:r w:rsidRPr="00347DC2">
        <w:rPr>
          <w:sz w:val="22"/>
          <w:szCs w:val="22"/>
        </w:rPr>
        <w:t>Que el Gobierno Nacional, de acuerdo con lo</w:t>
      </w:r>
      <w:r w:rsidRPr="00347DC2">
        <w:rPr>
          <w:w w:val="70"/>
          <w:sz w:val="22"/>
          <w:szCs w:val="22"/>
        </w:rPr>
        <w:t xml:space="preserve"> </w:t>
      </w:r>
      <w:r w:rsidRPr="00347DC2">
        <w:rPr>
          <w:sz w:val="22"/>
          <w:szCs w:val="22"/>
        </w:rPr>
        <w:t>establecido en el Artículo 215 de la Constitución Política de Colombia, y en la Ley 137 de 1994, ha expedido el Decreto 417 del 17 de marzo de 2020, mediante el cual se declara un Estado de Emergencia Económica, Social y Ecológica en todo el territorio Nacional.</w:t>
      </w:r>
    </w:p>
    <w:p w:rsidR="00627454" w:rsidRPr="00347DC2" w:rsidRDefault="00627454" w:rsidP="00627454">
      <w:pPr>
        <w:pStyle w:val="Estilo"/>
        <w:ind w:left="502" w:right="49"/>
        <w:jc w:val="both"/>
        <w:rPr>
          <w:b/>
          <w:bCs/>
          <w:sz w:val="22"/>
          <w:szCs w:val="22"/>
        </w:rPr>
      </w:pPr>
    </w:p>
    <w:p w:rsidR="00627454" w:rsidRPr="00347DC2" w:rsidRDefault="00627454" w:rsidP="00627454">
      <w:pPr>
        <w:pStyle w:val="Estilo"/>
        <w:numPr>
          <w:ilvl w:val="0"/>
          <w:numId w:val="1"/>
        </w:numPr>
        <w:spacing w:line="268" w:lineRule="exact"/>
        <w:ind w:right="49"/>
        <w:jc w:val="both"/>
        <w:rPr>
          <w:b/>
          <w:bCs/>
          <w:sz w:val="22"/>
          <w:szCs w:val="22"/>
        </w:rPr>
      </w:pPr>
      <w:r w:rsidRPr="00347DC2">
        <w:rPr>
          <w:sz w:val="22"/>
          <w:szCs w:val="22"/>
        </w:rPr>
        <w:t>Que el Gobierno Nacional, en ejercicio de las facultades Constitucionales y legales, expide Decreto 457 del 22 de marzo de 2020, por el cual imparte instrucciones en virtud de la emergencia sanitaria generada por la pandemia del CORONAVIRUS COVID_19 y el mantenimiento del orden público.</w:t>
      </w:r>
    </w:p>
    <w:p w:rsidR="00627454" w:rsidRPr="00347DC2" w:rsidRDefault="00627454" w:rsidP="00627454">
      <w:pPr>
        <w:pStyle w:val="Estilo"/>
        <w:spacing w:line="268" w:lineRule="exact"/>
        <w:ind w:left="502" w:right="49"/>
        <w:jc w:val="both"/>
        <w:rPr>
          <w:b/>
          <w:bCs/>
          <w:sz w:val="22"/>
          <w:szCs w:val="22"/>
        </w:rPr>
      </w:pPr>
    </w:p>
    <w:p w:rsidR="00627454" w:rsidRPr="00347DC2" w:rsidRDefault="00627454" w:rsidP="00627454">
      <w:pPr>
        <w:pStyle w:val="Estilo"/>
        <w:numPr>
          <w:ilvl w:val="0"/>
          <w:numId w:val="1"/>
        </w:numPr>
        <w:spacing w:line="268" w:lineRule="exact"/>
        <w:ind w:right="49"/>
        <w:jc w:val="both"/>
        <w:rPr>
          <w:b/>
          <w:bCs/>
          <w:sz w:val="22"/>
          <w:szCs w:val="22"/>
        </w:rPr>
      </w:pPr>
      <w:r w:rsidRPr="00347DC2">
        <w:rPr>
          <w:sz w:val="22"/>
          <w:szCs w:val="22"/>
        </w:rPr>
        <w:t>Que la Superintendencia de la Economía Solidaria, y en ejercicio de las facultades legales conferidas en el numeral 22 del artículo 36 de la Ley 454 de 1998, en concordancia con lo señalado en el Decreto 417 del 17 de marzo de 2020 de la Presidencia de la Republica, esta Superintendencia imparte instrucciones transitorias por un periodo de 120 días calendarios a sus entidades supervisadas, en la Circular Externa No.11 del 19 de marzo de 2020.</w:t>
      </w:r>
    </w:p>
    <w:p w:rsidR="00627454" w:rsidRPr="00347DC2" w:rsidRDefault="00627454" w:rsidP="00627454">
      <w:pPr>
        <w:pStyle w:val="Estilo"/>
        <w:numPr>
          <w:ilvl w:val="0"/>
          <w:numId w:val="1"/>
        </w:numPr>
        <w:spacing w:line="268" w:lineRule="exact"/>
        <w:ind w:right="49"/>
        <w:jc w:val="both"/>
        <w:rPr>
          <w:b/>
          <w:bCs/>
          <w:sz w:val="22"/>
          <w:szCs w:val="22"/>
        </w:rPr>
      </w:pPr>
      <w:r w:rsidRPr="00347DC2">
        <w:rPr>
          <w:sz w:val="22"/>
          <w:szCs w:val="22"/>
        </w:rPr>
        <w:t>Que es función del Consejo de Administración aprobar y reglamentar la retribución, atención de gastos y presupuesto para inducción capacitación y evaluación para los integrantes de los órganos de administración y vigilancia de la cooperativa</w:t>
      </w:r>
    </w:p>
    <w:p w:rsidR="00627454" w:rsidRPr="00347DC2" w:rsidRDefault="00627454" w:rsidP="00627454">
      <w:pPr>
        <w:pStyle w:val="Estilo"/>
        <w:spacing w:line="268" w:lineRule="exact"/>
        <w:ind w:left="502" w:right="49"/>
        <w:jc w:val="both"/>
        <w:rPr>
          <w:b/>
          <w:bCs/>
          <w:sz w:val="22"/>
          <w:szCs w:val="22"/>
        </w:rPr>
      </w:pPr>
    </w:p>
    <w:p w:rsidR="00627454" w:rsidRPr="00347DC2" w:rsidRDefault="00627454" w:rsidP="00627454">
      <w:pPr>
        <w:pStyle w:val="Estilo"/>
        <w:spacing w:line="268" w:lineRule="exact"/>
        <w:ind w:left="3334" w:right="49" w:firstLine="206"/>
        <w:rPr>
          <w:b/>
          <w:color w:val="000000"/>
          <w:sz w:val="22"/>
          <w:szCs w:val="22"/>
        </w:rPr>
      </w:pPr>
      <w:r w:rsidRPr="00347DC2">
        <w:rPr>
          <w:b/>
          <w:color w:val="000000"/>
          <w:sz w:val="22"/>
          <w:szCs w:val="22"/>
        </w:rPr>
        <w:t xml:space="preserve">ACUERDAN:  </w:t>
      </w:r>
    </w:p>
    <w:p w:rsidR="00627454" w:rsidRPr="00347DC2" w:rsidRDefault="00627454" w:rsidP="00627454">
      <w:pPr>
        <w:pStyle w:val="Estilo"/>
        <w:spacing w:line="268" w:lineRule="exact"/>
        <w:ind w:left="502" w:right="49"/>
        <w:rPr>
          <w:color w:val="000000"/>
          <w:sz w:val="22"/>
          <w:szCs w:val="22"/>
        </w:rPr>
      </w:pPr>
    </w:p>
    <w:p w:rsidR="00627454" w:rsidRPr="00347DC2" w:rsidRDefault="00627454" w:rsidP="00627454">
      <w:pPr>
        <w:pStyle w:val="Sinespaciado"/>
        <w:jc w:val="both"/>
        <w:rPr>
          <w:rFonts w:ascii="Arial" w:hAnsi="Arial" w:cs="Arial"/>
          <w:color w:val="000000" w:themeColor="text1"/>
        </w:rPr>
      </w:pPr>
      <w:r w:rsidRPr="00347DC2">
        <w:rPr>
          <w:rFonts w:ascii="Arial" w:hAnsi="Arial" w:cs="Arial"/>
        </w:rPr>
        <w:t xml:space="preserve">ARTÍCULO 1: Implementar estrategias comerciales que promuevan el mejoramiento y adecuada prestación de los servicios de Ahorro, crédito y competitividad frente a la Banca tradicional.   </w:t>
      </w:r>
    </w:p>
    <w:p w:rsidR="00627454" w:rsidRPr="00347DC2" w:rsidRDefault="00627454" w:rsidP="00627454">
      <w:pPr>
        <w:pStyle w:val="Prrafodelista"/>
        <w:spacing w:after="0" w:line="240" w:lineRule="auto"/>
        <w:rPr>
          <w:rFonts w:ascii="Arial" w:hAnsi="Arial" w:cs="Arial"/>
        </w:rPr>
      </w:pPr>
    </w:p>
    <w:p w:rsidR="00627454" w:rsidRPr="00347DC2" w:rsidRDefault="00627454" w:rsidP="00627454">
      <w:pPr>
        <w:jc w:val="both"/>
        <w:rPr>
          <w:rFonts w:ascii="Arial" w:hAnsi="Arial" w:cs="Arial"/>
          <w:color w:val="000000" w:themeColor="text1"/>
        </w:rPr>
      </w:pPr>
      <w:r w:rsidRPr="00347DC2">
        <w:rPr>
          <w:rFonts w:ascii="Arial" w:hAnsi="Arial" w:cs="Arial"/>
          <w:color w:val="000000" w:themeColor="text1"/>
        </w:rPr>
        <w:t xml:space="preserve">ARTÍCULO 2. DISMINUCION </w:t>
      </w:r>
      <w:proofErr w:type="gramStart"/>
      <w:r w:rsidRPr="00347DC2">
        <w:rPr>
          <w:rFonts w:ascii="Arial" w:hAnsi="Arial" w:cs="Arial"/>
          <w:color w:val="000000" w:themeColor="text1"/>
        </w:rPr>
        <w:t>DE  TASAS</w:t>
      </w:r>
      <w:proofErr w:type="gramEnd"/>
      <w:r w:rsidRPr="00347DC2">
        <w:rPr>
          <w:rFonts w:ascii="Arial" w:hAnsi="Arial" w:cs="Arial"/>
          <w:color w:val="000000" w:themeColor="text1"/>
        </w:rPr>
        <w:t xml:space="preserve"> DE CAPTACION (CDTA) determinando  que las Tasas de Interés otorgadas por la cooperativa han sido muy competitivas con amplia diferencia frente al sector, se aprobó  disminuir en 1 punto a la de mayor plazo 360 días  y  0.5 puntos en las de menor escala 30,</w:t>
      </w:r>
      <w:r w:rsidR="00174E2D">
        <w:rPr>
          <w:rFonts w:ascii="Arial" w:hAnsi="Arial" w:cs="Arial"/>
          <w:color w:val="000000" w:themeColor="text1"/>
        </w:rPr>
        <w:t xml:space="preserve"> </w:t>
      </w:r>
      <w:r w:rsidRPr="00347DC2">
        <w:rPr>
          <w:rFonts w:ascii="Arial" w:hAnsi="Arial" w:cs="Arial"/>
          <w:color w:val="000000" w:themeColor="text1"/>
        </w:rPr>
        <w:t xml:space="preserve">60 y 180 días; aclarando que la tasa varía   dependiendo el  monto.  Propuesta definida temporalmente por la vigencia 2020, con la finalidad de disminuir el costo financiero y manteniendo un punto de equilibrio en la prestación de la Actividad de Ahorro.  Quedando establecida de la siguiente manera.  </w:t>
      </w:r>
    </w:p>
    <w:p w:rsidR="00627454" w:rsidRPr="00347DC2" w:rsidRDefault="00627454" w:rsidP="00627454">
      <w:pPr>
        <w:jc w:val="both"/>
        <w:rPr>
          <w:rFonts w:ascii="Arial" w:hAnsi="Arial" w:cs="Arial"/>
          <w:color w:val="000000" w:themeColor="text1"/>
        </w:rPr>
      </w:pPr>
    </w:p>
    <w:tbl>
      <w:tblPr>
        <w:tblW w:w="9488" w:type="dxa"/>
        <w:tblInd w:w="80" w:type="dxa"/>
        <w:tblCellMar>
          <w:left w:w="70" w:type="dxa"/>
          <w:right w:w="70" w:type="dxa"/>
        </w:tblCellMar>
        <w:tblLook w:val="04A0" w:firstRow="1" w:lastRow="0" w:firstColumn="1" w:lastColumn="0" w:noHBand="0" w:noVBand="1"/>
      </w:tblPr>
      <w:tblGrid>
        <w:gridCol w:w="1266"/>
        <w:gridCol w:w="1418"/>
        <w:gridCol w:w="1417"/>
        <w:gridCol w:w="1276"/>
        <w:gridCol w:w="1417"/>
        <w:gridCol w:w="1418"/>
        <w:gridCol w:w="1276"/>
      </w:tblGrid>
      <w:tr w:rsidR="00627454" w:rsidRPr="00347DC2" w:rsidTr="00196DD7">
        <w:trPr>
          <w:trHeight w:val="291"/>
        </w:trPr>
        <w:tc>
          <w:tcPr>
            <w:tcW w:w="9488" w:type="dxa"/>
            <w:gridSpan w:val="7"/>
            <w:tcBorders>
              <w:top w:val="single" w:sz="8" w:space="0" w:color="auto"/>
              <w:left w:val="single" w:sz="8" w:space="0" w:color="auto"/>
              <w:bottom w:val="single" w:sz="8" w:space="0" w:color="auto"/>
              <w:right w:val="single" w:sz="8" w:space="0" w:color="000000"/>
            </w:tcBorders>
            <w:shd w:val="clear" w:color="000000" w:fill="FFFFFF"/>
            <w:noWrap/>
            <w:vAlign w:val="bottom"/>
            <w:hideMark/>
          </w:tcPr>
          <w:p w:rsidR="00627454" w:rsidRPr="00347DC2" w:rsidRDefault="00627454" w:rsidP="00196DD7">
            <w:pPr>
              <w:spacing w:after="0" w:line="240" w:lineRule="auto"/>
              <w:jc w:val="center"/>
              <w:rPr>
                <w:rFonts w:ascii="Arial" w:hAnsi="Arial" w:cs="Arial"/>
                <w:bCs/>
                <w:color w:val="000000"/>
              </w:rPr>
            </w:pPr>
            <w:r w:rsidRPr="00347DC2">
              <w:rPr>
                <w:rFonts w:ascii="Arial" w:hAnsi="Arial" w:cs="Arial"/>
                <w:bCs/>
                <w:color w:val="000000"/>
              </w:rPr>
              <w:lastRenderedPageBreak/>
              <w:t>TASA DE CAPTACIÓN CDAT (DIAS)</w:t>
            </w:r>
          </w:p>
        </w:tc>
      </w:tr>
      <w:tr w:rsidR="00627454" w:rsidRPr="00347DC2" w:rsidTr="00196DD7">
        <w:trPr>
          <w:trHeight w:val="471"/>
        </w:trPr>
        <w:tc>
          <w:tcPr>
            <w:tcW w:w="1266" w:type="dxa"/>
            <w:tcBorders>
              <w:top w:val="nil"/>
              <w:left w:val="single" w:sz="8" w:space="0" w:color="auto"/>
              <w:bottom w:val="single" w:sz="8" w:space="0" w:color="auto"/>
              <w:right w:val="single" w:sz="8" w:space="0" w:color="auto"/>
            </w:tcBorders>
            <w:shd w:val="clear" w:color="333399" w:fill="FFFFFF"/>
            <w:vAlign w:val="center"/>
            <w:hideMark/>
          </w:tcPr>
          <w:p w:rsidR="00627454" w:rsidRPr="00347DC2" w:rsidRDefault="00627454" w:rsidP="00196DD7">
            <w:pPr>
              <w:spacing w:after="0" w:line="240" w:lineRule="auto"/>
              <w:jc w:val="center"/>
              <w:rPr>
                <w:rFonts w:ascii="Arial" w:hAnsi="Arial" w:cs="Arial"/>
                <w:bCs/>
              </w:rPr>
            </w:pPr>
            <w:r w:rsidRPr="00347DC2">
              <w:rPr>
                <w:rFonts w:ascii="Arial" w:hAnsi="Arial" w:cs="Arial"/>
                <w:bCs/>
              </w:rPr>
              <w:t>30</w:t>
            </w:r>
          </w:p>
        </w:tc>
        <w:tc>
          <w:tcPr>
            <w:tcW w:w="1418" w:type="dxa"/>
            <w:tcBorders>
              <w:top w:val="nil"/>
              <w:left w:val="nil"/>
              <w:bottom w:val="single" w:sz="8" w:space="0" w:color="auto"/>
              <w:right w:val="single" w:sz="8" w:space="0" w:color="auto"/>
            </w:tcBorders>
            <w:shd w:val="clear" w:color="333399" w:fill="FFFFFF"/>
            <w:vAlign w:val="center"/>
            <w:hideMark/>
          </w:tcPr>
          <w:p w:rsidR="00627454" w:rsidRPr="00347DC2" w:rsidRDefault="00627454" w:rsidP="00196DD7">
            <w:pPr>
              <w:spacing w:after="0" w:line="240" w:lineRule="auto"/>
              <w:jc w:val="center"/>
              <w:rPr>
                <w:rFonts w:ascii="Arial" w:hAnsi="Arial" w:cs="Arial"/>
                <w:bCs/>
              </w:rPr>
            </w:pPr>
            <w:r w:rsidRPr="00347DC2">
              <w:rPr>
                <w:rFonts w:ascii="Arial" w:hAnsi="Arial" w:cs="Arial"/>
                <w:bCs/>
              </w:rPr>
              <w:t>60</w:t>
            </w:r>
          </w:p>
        </w:tc>
        <w:tc>
          <w:tcPr>
            <w:tcW w:w="1417" w:type="dxa"/>
            <w:tcBorders>
              <w:top w:val="nil"/>
              <w:left w:val="nil"/>
              <w:bottom w:val="single" w:sz="8" w:space="0" w:color="auto"/>
              <w:right w:val="single" w:sz="8" w:space="0" w:color="auto"/>
            </w:tcBorders>
            <w:shd w:val="clear" w:color="333399" w:fill="FFFFFF"/>
            <w:vAlign w:val="center"/>
            <w:hideMark/>
          </w:tcPr>
          <w:p w:rsidR="00627454" w:rsidRPr="00347DC2" w:rsidRDefault="00627454" w:rsidP="00196DD7">
            <w:pPr>
              <w:spacing w:after="0" w:line="240" w:lineRule="auto"/>
              <w:jc w:val="center"/>
              <w:rPr>
                <w:rFonts w:ascii="Arial" w:hAnsi="Arial" w:cs="Arial"/>
                <w:bCs/>
              </w:rPr>
            </w:pPr>
            <w:r w:rsidRPr="00347DC2">
              <w:rPr>
                <w:rFonts w:ascii="Arial" w:hAnsi="Arial" w:cs="Arial"/>
                <w:bCs/>
              </w:rPr>
              <w:t>90</w:t>
            </w:r>
          </w:p>
        </w:tc>
        <w:tc>
          <w:tcPr>
            <w:tcW w:w="1276" w:type="dxa"/>
            <w:tcBorders>
              <w:top w:val="nil"/>
              <w:left w:val="nil"/>
              <w:bottom w:val="single" w:sz="8" w:space="0" w:color="auto"/>
              <w:right w:val="single" w:sz="8" w:space="0" w:color="auto"/>
            </w:tcBorders>
            <w:shd w:val="clear" w:color="333399" w:fill="FFFFFF"/>
            <w:vAlign w:val="center"/>
            <w:hideMark/>
          </w:tcPr>
          <w:p w:rsidR="00627454" w:rsidRPr="00347DC2" w:rsidRDefault="00627454" w:rsidP="00196DD7">
            <w:pPr>
              <w:spacing w:after="0" w:line="240" w:lineRule="auto"/>
              <w:jc w:val="center"/>
              <w:rPr>
                <w:rFonts w:ascii="Arial" w:hAnsi="Arial" w:cs="Arial"/>
                <w:bCs/>
              </w:rPr>
            </w:pPr>
            <w:r w:rsidRPr="00347DC2">
              <w:rPr>
                <w:rFonts w:ascii="Arial" w:hAnsi="Arial" w:cs="Arial"/>
                <w:bCs/>
              </w:rPr>
              <w:t>120</w:t>
            </w:r>
          </w:p>
        </w:tc>
        <w:tc>
          <w:tcPr>
            <w:tcW w:w="1417" w:type="dxa"/>
            <w:tcBorders>
              <w:top w:val="nil"/>
              <w:left w:val="nil"/>
              <w:bottom w:val="single" w:sz="8" w:space="0" w:color="auto"/>
              <w:right w:val="single" w:sz="8" w:space="0" w:color="auto"/>
            </w:tcBorders>
            <w:shd w:val="clear" w:color="333399" w:fill="FFFFFF"/>
            <w:vAlign w:val="center"/>
            <w:hideMark/>
          </w:tcPr>
          <w:p w:rsidR="00627454" w:rsidRPr="00347DC2" w:rsidRDefault="00627454" w:rsidP="00196DD7">
            <w:pPr>
              <w:spacing w:after="0" w:line="240" w:lineRule="auto"/>
              <w:jc w:val="center"/>
              <w:rPr>
                <w:rFonts w:ascii="Arial" w:hAnsi="Arial" w:cs="Arial"/>
                <w:bCs/>
              </w:rPr>
            </w:pPr>
            <w:r w:rsidRPr="00347DC2">
              <w:rPr>
                <w:rFonts w:ascii="Arial" w:hAnsi="Arial" w:cs="Arial"/>
                <w:bCs/>
              </w:rPr>
              <w:t>180</w:t>
            </w:r>
          </w:p>
        </w:tc>
        <w:tc>
          <w:tcPr>
            <w:tcW w:w="1418" w:type="dxa"/>
            <w:tcBorders>
              <w:top w:val="nil"/>
              <w:left w:val="nil"/>
              <w:bottom w:val="single" w:sz="8" w:space="0" w:color="auto"/>
              <w:right w:val="single" w:sz="8" w:space="0" w:color="auto"/>
            </w:tcBorders>
            <w:shd w:val="clear" w:color="333399" w:fill="FFFFFF"/>
            <w:vAlign w:val="center"/>
            <w:hideMark/>
          </w:tcPr>
          <w:p w:rsidR="00627454" w:rsidRPr="00347DC2" w:rsidRDefault="00627454" w:rsidP="00196DD7">
            <w:pPr>
              <w:spacing w:after="0" w:line="240" w:lineRule="auto"/>
              <w:jc w:val="center"/>
              <w:rPr>
                <w:rFonts w:ascii="Arial" w:hAnsi="Arial" w:cs="Arial"/>
                <w:bCs/>
              </w:rPr>
            </w:pPr>
            <w:r w:rsidRPr="00347DC2">
              <w:rPr>
                <w:rFonts w:ascii="Arial" w:hAnsi="Arial" w:cs="Arial"/>
                <w:bCs/>
              </w:rPr>
              <w:t>360</w:t>
            </w:r>
          </w:p>
        </w:tc>
        <w:tc>
          <w:tcPr>
            <w:tcW w:w="1276" w:type="dxa"/>
            <w:tcBorders>
              <w:top w:val="nil"/>
              <w:left w:val="nil"/>
              <w:bottom w:val="single" w:sz="8" w:space="0" w:color="auto"/>
              <w:right w:val="single" w:sz="8" w:space="0" w:color="auto"/>
            </w:tcBorders>
            <w:shd w:val="clear" w:color="333399" w:fill="FFFFFF"/>
            <w:vAlign w:val="center"/>
            <w:hideMark/>
          </w:tcPr>
          <w:p w:rsidR="00627454" w:rsidRPr="00347DC2" w:rsidRDefault="00627454" w:rsidP="00196DD7">
            <w:pPr>
              <w:spacing w:after="0" w:line="240" w:lineRule="auto"/>
              <w:jc w:val="center"/>
              <w:rPr>
                <w:rFonts w:ascii="Arial" w:hAnsi="Arial" w:cs="Arial"/>
                <w:bCs/>
              </w:rPr>
            </w:pPr>
            <w:r w:rsidRPr="00347DC2">
              <w:rPr>
                <w:rFonts w:ascii="Arial" w:hAnsi="Arial" w:cs="Arial"/>
                <w:bCs/>
              </w:rPr>
              <w:t>&gt;360</w:t>
            </w:r>
          </w:p>
        </w:tc>
      </w:tr>
      <w:tr w:rsidR="00627454" w:rsidRPr="00347DC2" w:rsidTr="00196DD7">
        <w:trPr>
          <w:trHeight w:val="291"/>
        </w:trPr>
        <w:tc>
          <w:tcPr>
            <w:tcW w:w="1266" w:type="dxa"/>
            <w:tcBorders>
              <w:top w:val="nil"/>
              <w:left w:val="single" w:sz="8" w:space="0" w:color="auto"/>
              <w:bottom w:val="single" w:sz="8" w:space="0" w:color="auto"/>
              <w:right w:val="single" w:sz="8" w:space="0" w:color="auto"/>
            </w:tcBorders>
            <w:shd w:val="clear" w:color="000000" w:fill="FFFFFF"/>
            <w:noWrap/>
            <w:vAlign w:val="center"/>
            <w:hideMark/>
          </w:tcPr>
          <w:p w:rsidR="00627454" w:rsidRPr="00347DC2" w:rsidRDefault="00627454" w:rsidP="00196DD7">
            <w:pPr>
              <w:spacing w:after="0" w:line="240" w:lineRule="auto"/>
              <w:jc w:val="center"/>
              <w:rPr>
                <w:rFonts w:ascii="Arial" w:hAnsi="Arial" w:cs="Arial"/>
                <w:bCs/>
                <w:color w:val="000000" w:themeColor="text1"/>
              </w:rPr>
            </w:pPr>
            <w:r w:rsidRPr="00347DC2">
              <w:rPr>
                <w:rFonts w:ascii="Arial" w:hAnsi="Arial" w:cs="Arial"/>
                <w:bCs/>
                <w:color w:val="000000" w:themeColor="text1"/>
              </w:rPr>
              <w:t>3.50%</w:t>
            </w:r>
          </w:p>
        </w:tc>
        <w:tc>
          <w:tcPr>
            <w:tcW w:w="1418" w:type="dxa"/>
            <w:tcBorders>
              <w:top w:val="nil"/>
              <w:left w:val="nil"/>
              <w:bottom w:val="single" w:sz="8" w:space="0" w:color="auto"/>
              <w:right w:val="single" w:sz="8" w:space="0" w:color="auto"/>
            </w:tcBorders>
            <w:shd w:val="clear" w:color="000000" w:fill="FFFFFF"/>
            <w:noWrap/>
            <w:vAlign w:val="center"/>
            <w:hideMark/>
          </w:tcPr>
          <w:p w:rsidR="00627454" w:rsidRPr="00347DC2" w:rsidRDefault="00627454" w:rsidP="00196DD7">
            <w:pPr>
              <w:spacing w:after="0" w:line="240" w:lineRule="auto"/>
              <w:jc w:val="center"/>
              <w:rPr>
                <w:rFonts w:ascii="Arial" w:hAnsi="Arial" w:cs="Arial"/>
                <w:bCs/>
                <w:color w:val="000000" w:themeColor="text1"/>
              </w:rPr>
            </w:pPr>
            <w:r w:rsidRPr="00347DC2">
              <w:rPr>
                <w:rFonts w:ascii="Arial" w:hAnsi="Arial" w:cs="Arial"/>
                <w:bCs/>
                <w:color w:val="000000" w:themeColor="text1"/>
              </w:rPr>
              <w:t>3.00% A 6.00%</w:t>
            </w:r>
          </w:p>
        </w:tc>
        <w:tc>
          <w:tcPr>
            <w:tcW w:w="1417" w:type="dxa"/>
            <w:tcBorders>
              <w:top w:val="nil"/>
              <w:left w:val="nil"/>
              <w:bottom w:val="single" w:sz="8" w:space="0" w:color="auto"/>
              <w:right w:val="nil"/>
            </w:tcBorders>
            <w:shd w:val="clear" w:color="000000" w:fill="FFFFFF"/>
            <w:noWrap/>
            <w:vAlign w:val="center"/>
            <w:hideMark/>
          </w:tcPr>
          <w:p w:rsidR="00627454" w:rsidRPr="00347DC2" w:rsidRDefault="00627454" w:rsidP="00196DD7">
            <w:pPr>
              <w:spacing w:after="0" w:line="240" w:lineRule="auto"/>
              <w:jc w:val="center"/>
              <w:rPr>
                <w:rFonts w:ascii="Arial" w:hAnsi="Arial" w:cs="Arial"/>
                <w:bCs/>
                <w:color w:val="000000" w:themeColor="text1"/>
              </w:rPr>
            </w:pPr>
            <w:r w:rsidRPr="00347DC2">
              <w:rPr>
                <w:rFonts w:ascii="Arial" w:hAnsi="Arial" w:cs="Arial"/>
                <w:bCs/>
                <w:color w:val="000000" w:themeColor="text1"/>
              </w:rPr>
              <w:t>4.00% A 6.50%</w:t>
            </w:r>
          </w:p>
        </w:tc>
        <w:tc>
          <w:tcPr>
            <w:tcW w:w="1276" w:type="dxa"/>
            <w:tcBorders>
              <w:top w:val="nil"/>
              <w:left w:val="single" w:sz="8" w:space="0" w:color="auto"/>
              <w:bottom w:val="single" w:sz="8" w:space="0" w:color="auto"/>
              <w:right w:val="single" w:sz="8" w:space="0" w:color="auto"/>
            </w:tcBorders>
            <w:shd w:val="clear" w:color="000000" w:fill="FFFFFF"/>
            <w:noWrap/>
            <w:vAlign w:val="center"/>
            <w:hideMark/>
          </w:tcPr>
          <w:p w:rsidR="00627454" w:rsidRPr="00347DC2" w:rsidRDefault="00627454" w:rsidP="00196DD7">
            <w:pPr>
              <w:spacing w:after="0" w:line="240" w:lineRule="auto"/>
              <w:jc w:val="center"/>
              <w:rPr>
                <w:rFonts w:ascii="Arial" w:hAnsi="Arial" w:cs="Arial"/>
                <w:bCs/>
                <w:color w:val="000000" w:themeColor="text1"/>
              </w:rPr>
            </w:pPr>
            <w:r w:rsidRPr="00347DC2">
              <w:rPr>
                <w:rFonts w:ascii="Arial" w:hAnsi="Arial" w:cs="Arial"/>
                <w:bCs/>
                <w:color w:val="000000" w:themeColor="text1"/>
              </w:rPr>
              <w:t>4.03% A 6.80%</w:t>
            </w:r>
          </w:p>
        </w:tc>
        <w:tc>
          <w:tcPr>
            <w:tcW w:w="1417" w:type="dxa"/>
            <w:tcBorders>
              <w:top w:val="nil"/>
              <w:left w:val="nil"/>
              <w:bottom w:val="single" w:sz="8" w:space="0" w:color="auto"/>
              <w:right w:val="nil"/>
            </w:tcBorders>
            <w:shd w:val="clear" w:color="000000" w:fill="FFFFFF"/>
            <w:noWrap/>
            <w:vAlign w:val="center"/>
            <w:hideMark/>
          </w:tcPr>
          <w:p w:rsidR="00627454" w:rsidRPr="00347DC2" w:rsidRDefault="00627454" w:rsidP="00196DD7">
            <w:pPr>
              <w:spacing w:after="0" w:line="240" w:lineRule="auto"/>
              <w:jc w:val="center"/>
              <w:rPr>
                <w:rFonts w:ascii="Arial" w:hAnsi="Arial" w:cs="Arial"/>
                <w:bCs/>
                <w:color w:val="000000" w:themeColor="text1"/>
              </w:rPr>
            </w:pPr>
            <w:r w:rsidRPr="00347DC2">
              <w:rPr>
                <w:rFonts w:ascii="Arial" w:hAnsi="Arial" w:cs="Arial"/>
                <w:bCs/>
                <w:color w:val="000000" w:themeColor="text1"/>
              </w:rPr>
              <w:t>4.05% A 7.50%</w:t>
            </w:r>
          </w:p>
        </w:tc>
        <w:tc>
          <w:tcPr>
            <w:tcW w:w="1418" w:type="dxa"/>
            <w:tcBorders>
              <w:top w:val="nil"/>
              <w:left w:val="single" w:sz="8" w:space="0" w:color="auto"/>
              <w:bottom w:val="single" w:sz="8" w:space="0" w:color="auto"/>
              <w:right w:val="single" w:sz="8" w:space="0" w:color="auto"/>
            </w:tcBorders>
            <w:shd w:val="clear" w:color="000000" w:fill="FFFFFF"/>
            <w:noWrap/>
            <w:vAlign w:val="center"/>
            <w:hideMark/>
          </w:tcPr>
          <w:p w:rsidR="00627454" w:rsidRPr="00347DC2" w:rsidRDefault="00627454" w:rsidP="00196DD7">
            <w:pPr>
              <w:spacing w:after="0" w:line="240" w:lineRule="auto"/>
              <w:jc w:val="center"/>
              <w:rPr>
                <w:rFonts w:ascii="Arial" w:hAnsi="Arial" w:cs="Arial"/>
                <w:bCs/>
                <w:color w:val="000000" w:themeColor="text1"/>
              </w:rPr>
            </w:pPr>
            <w:r w:rsidRPr="00347DC2">
              <w:rPr>
                <w:rFonts w:ascii="Arial" w:hAnsi="Arial" w:cs="Arial"/>
                <w:bCs/>
                <w:color w:val="000000" w:themeColor="text1"/>
              </w:rPr>
              <w:t>4.50% A 8.50%</w:t>
            </w:r>
          </w:p>
        </w:tc>
        <w:tc>
          <w:tcPr>
            <w:tcW w:w="1276" w:type="dxa"/>
            <w:tcBorders>
              <w:top w:val="nil"/>
              <w:left w:val="nil"/>
              <w:bottom w:val="single" w:sz="8" w:space="0" w:color="auto"/>
              <w:right w:val="single" w:sz="8" w:space="0" w:color="auto"/>
            </w:tcBorders>
            <w:shd w:val="clear" w:color="000000" w:fill="FFFFFF"/>
            <w:noWrap/>
            <w:vAlign w:val="center"/>
            <w:hideMark/>
          </w:tcPr>
          <w:p w:rsidR="00627454" w:rsidRPr="00347DC2" w:rsidRDefault="00627454" w:rsidP="00196DD7">
            <w:pPr>
              <w:spacing w:after="0" w:line="240" w:lineRule="auto"/>
              <w:jc w:val="center"/>
              <w:rPr>
                <w:rFonts w:ascii="Arial" w:hAnsi="Arial" w:cs="Arial"/>
                <w:bCs/>
                <w:color w:val="000000" w:themeColor="text1"/>
              </w:rPr>
            </w:pPr>
            <w:r w:rsidRPr="00347DC2">
              <w:rPr>
                <w:rFonts w:ascii="Arial" w:hAnsi="Arial" w:cs="Arial"/>
                <w:bCs/>
                <w:color w:val="000000" w:themeColor="text1"/>
              </w:rPr>
              <w:t>4.80% A 9%</w:t>
            </w:r>
          </w:p>
        </w:tc>
      </w:tr>
    </w:tbl>
    <w:p w:rsidR="00627454" w:rsidRPr="00347DC2" w:rsidRDefault="00627454" w:rsidP="00627454">
      <w:pPr>
        <w:jc w:val="both"/>
        <w:rPr>
          <w:rFonts w:ascii="Arial" w:hAnsi="Arial" w:cs="Arial"/>
          <w:color w:val="000000" w:themeColor="text1"/>
        </w:rPr>
      </w:pPr>
    </w:p>
    <w:p w:rsidR="00627454" w:rsidRPr="00347DC2" w:rsidRDefault="00627454" w:rsidP="00627454">
      <w:pPr>
        <w:jc w:val="both"/>
        <w:rPr>
          <w:rFonts w:ascii="Arial" w:hAnsi="Arial" w:cs="Arial"/>
          <w:color w:val="000000" w:themeColor="text1"/>
        </w:rPr>
      </w:pPr>
      <w:r w:rsidRPr="00347DC2">
        <w:rPr>
          <w:rFonts w:ascii="Arial" w:hAnsi="Arial" w:cs="Arial"/>
          <w:color w:val="000000" w:themeColor="text1"/>
        </w:rPr>
        <w:t>ARTÍCULO 2. AMPLIACION DE RECIPROCIDAD DE APORTES, Las opciones de crédito a los asociados, se podrán brindar no solo considerando la antigüedad y reciprocidad de Aportes; siendo más competitivo con la Banca tradicional; se debe hacer mayor énfasis en el Score, Capacidad de Pago, buen habito de pago y Comportamiento financiero, plan de inversión soportando la documentación de legalidad de la actividad y realizar seguimiento de crédito.     Por lo anterior se aprueba por el Consejo de Administración que el Comité de crédito reglamente la Ampliación de las escalas de Antigüedad de Asociado, que va ligado a la reciprocidad de Aportes; la propuesta va dirigida a duplicar cada escala, quedando de la siguiente manera:</w:t>
      </w:r>
    </w:p>
    <w:tbl>
      <w:tblPr>
        <w:tblW w:w="8788" w:type="dxa"/>
        <w:tblInd w:w="496" w:type="dxa"/>
        <w:tblCellMar>
          <w:left w:w="70" w:type="dxa"/>
          <w:right w:w="70" w:type="dxa"/>
        </w:tblCellMar>
        <w:tblLook w:val="04A0" w:firstRow="1" w:lastRow="0" w:firstColumn="1" w:lastColumn="0" w:noHBand="0" w:noVBand="1"/>
      </w:tblPr>
      <w:tblGrid>
        <w:gridCol w:w="3260"/>
        <w:gridCol w:w="5528"/>
      </w:tblGrid>
      <w:tr w:rsidR="00627454" w:rsidRPr="00347DC2" w:rsidTr="00196DD7">
        <w:trPr>
          <w:trHeight w:val="255"/>
        </w:trPr>
        <w:tc>
          <w:tcPr>
            <w:tcW w:w="878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color w:val="000000"/>
              </w:rPr>
            </w:pPr>
            <w:r w:rsidRPr="00347DC2">
              <w:rPr>
                <w:rFonts w:ascii="Arial" w:hAnsi="Arial" w:cs="Arial"/>
                <w:color w:val="000000"/>
              </w:rPr>
              <w:t>PROPUESTA</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10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color w:val="000000"/>
              </w:rPr>
            </w:pPr>
            <w:r w:rsidRPr="00347DC2">
              <w:rPr>
                <w:rFonts w:ascii="Arial" w:hAnsi="Arial" w:cs="Arial"/>
                <w:color w:val="000000"/>
              </w:rPr>
              <w:t>DE 0 MESES A 1 AÑO</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12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1 AÑOS A 2 AÑOS</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14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2 AÑOS A 4 AÑOS</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color w:val="000000" w:themeColor="text1"/>
              </w:rPr>
            </w:pPr>
            <w:r w:rsidRPr="00347DC2">
              <w:rPr>
                <w:rFonts w:ascii="Arial" w:hAnsi="Arial" w:cs="Arial"/>
                <w:color w:val="000000" w:themeColor="text1"/>
              </w:rPr>
              <w:t>16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color w:val="000000" w:themeColor="text1"/>
              </w:rPr>
            </w:pPr>
            <w:r w:rsidRPr="00347DC2">
              <w:rPr>
                <w:rFonts w:ascii="Arial" w:hAnsi="Arial" w:cs="Arial"/>
                <w:color w:val="000000" w:themeColor="text1"/>
              </w:rPr>
              <w:t>DE 04 AÑOS A 06 AÑOS</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18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6 AÑOS A 08 AÑOS</w:t>
            </w:r>
          </w:p>
        </w:tc>
      </w:tr>
      <w:tr w:rsidR="00627454" w:rsidRPr="00347DC2" w:rsidTr="00196DD7">
        <w:trPr>
          <w:trHeight w:val="270"/>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20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08 AÑOS A 10 AÑOS</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22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10 AÑOS A 12 AÑOS</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24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12 AÑOS A 14 AÑOS</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26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14 AÑOS A16 AÑOS</w:t>
            </w:r>
          </w:p>
        </w:tc>
      </w:tr>
      <w:tr w:rsidR="00627454" w:rsidRPr="00347DC2" w:rsidTr="00196DD7">
        <w:trPr>
          <w:trHeight w:val="255"/>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28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16 AÑOS A 18 AÑOS</w:t>
            </w:r>
          </w:p>
        </w:tc>
      </w:tr>
      <w:tr w:rsidR="00627454" w:rsidRPr="00347DC2" w:rsidTr="00196DD7">
        <w:trPr>
          <w:trHeight w:val="270"/>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30 VECES</w:t>
            </w:r>
          </w:p>
        </w:tc>
        <w:tc>
          <w:tcPr>
            <w:tcW w:w="5528" w:type="dxa"/>
            <w:tcBorders>
              <w:top w:val="nil"/>
              <w:left w:val="nil"/>
              <w:bottom w:val="single" w:sz="4" w:space="0" w:color="auto"/>
              <w:right w:val="single" w:sz="4" w:space="0" w:color="auto"/>
            </w:tcBorders>
            <w:shd w:val="clear" w:color="auto" w:fill="auto"/>
            <w:noWrap/>
            <w:vAlign w:val="bottom"/>
            <w:hideMark/>
          </w:tcPr>
          <w:p w:rsidR="00627454" w:rsidRPr="00347DC2" w:rsidRDefault="00627454" w:rsidP="00196DD7">
            <w:pPr>
              <w:spacing w:after="0" w:line="240" w:lineRule="auto"/>
              <w:jc w:val="center"/>
              <w:rPr>
                <w:rFonts w:ascii="Arial" w:hAnsi="Arial" w:cs="Arial"/>
              </w:rPr>
            </w:pPr>
            <w:r w:rsidRPr="00347DC2">
              <w:rPr>
                <w:rFonts w:ascii="Arial" w:hAnsi="Arial" w:cs="Arial"/>
              </w:rPr>
              <w:t>DE 18 AÑOS A 20 AÑOS</w:t>
            </w:r>
          </w:p>
        </w:tc>
      </w:tr>
    </w:tbl>
    <w:p w:rsidR="00627454" w:rsidRPr="00347DC2" w:rsidRDefault="00627454" w:rsidP="00627454">
      <w:pPr>
        <w:jc w:val="both"/>
        <w:rPr>
          <w:rFonts w:ascii="Arial" w:hAnsi="Arial" w:cs="Arial"/>
          <w:color w:val="000000" w:themeColor="text1"/>
        </w:rPr>
      </w:pPr>
    </w:p>
    <w:p w:rsidR="00627454" w:rsidRPr="00347DC2" w:rsidRDefault="00627454" w:rsidP="00627454">
      <w:pPr>
        <w:jc w:val="both"/>
        <w:rPr>
          <w:rFonts w:ascii="Arial" w:hAnsi="Arial" w:cs="Arial"/>
          <w:color w:val="000000" w:themeColor="text1"/>
        </w:rPr>
      </w:pPr>
      <w:r w:rsidRPr="00347DC2">
        <w:rPr>
          <w:rFonts w:ascii="Arial" w:hAnsi="Arial" w:cs="Arial"/>
          <w:color w:val="000000" w:themeColor="text1"/>
        </w:rPr>
        <w:t xml:space="preserve">ARTÍCULO 03. HORARIO ATENCION AL PUBLICO, Se acuerda que se reglamente la ampliación   de una hora en el servicio por </w:t>
      </w:r>
      <w:proofErr w:type="spellStart"/>
      <w:r w:rsidRPr="00347DC2">
        <w:rPr>
          <w:rFonts w:ascii="Arial" w:hAnsi="Arial" w:cs="Arial"/>
          <w:color w:val="000000" w:themeColor="text1"/>
        </w:rPr>
        <w:t>Servicaja</w:t>
      </w:r>
      <w:proofErr w:type="spellEnd"/>
      <w:r w:rsidRPr="00347DC2">
        <w:rPr>
          <w:rFonts w:ascii="Arial" w:hAnsi="Arial" w:cs="Arial"/>
          <w:color w:val="000000" w:themeColor="text1"/>
        </w:rPr>
        <w:t xml:space="preserve"> los sábados, </w:t>
      </w:r>
      <w:proofErr w:type="gramStart"/>
      <w:r w:rsidRPr="00347DC2">
        <w:rPr>
          <w:rFonts w:ascii="Arial" w:hAnsi="Arial" w:cs="Arial"/>
          <w:color w:val="000000" w:themeColor="text1"/>
        </w:rPr>
        <w:t>quedando  de</w:t>
      </w:r>
      <w:proofErr w:type="gramEnd"/>
      <w:r w:rsidRPr="00347DC2">
        <w:rPr>
          <w:rFonts w:ascii="Arial" w:hAnsi="Arial" w:cs="Arial"/>
          <w:color w:val="000000" w:themeColor="text1"/>
        </w:rPr>
        <w:t xml:space="preserve"> 12:00 a 4:30 p.m.  </w:t>
      </w:r>
    </w:p>
    <w:p w:rsidR="00627454" w:rsidRPr="00347DC2" w:rsidRDefault="00627454" w:rsidP="00627454">
      <w:pPr>
        <w:jc w:val="both"/>
        <w:rPr>
          <w:rFonts w:ascii="Arial" w:hAnsi="Arial" w:cs="Arial"/>
          <w:color w:val="000000" w:themeColor="text1"/>
        </w:rPr>
      </w:pPr>
      <w:r w:rsidRPr="00347DC2">
        <w:rPr>
          <w:rFonts w:ascii="Arial" w:hAnsi="Arial" w:cs="Arial"/>
          <w:color w:val="000000" w:themeColor="text1"/>
        </w:rPr>
        <w:t xml:space="preserve">ARTICULO 04. BENEFICIOS A LOS ASOCIADOS CON CARTERA </w:t>
      </w:r>
      <w:proofErr w:type="gramStart"/>
      <w:r w:rsidRPr="00347DC2">
        <w:rPr>
          <w:rFonts w:ascii="Arial" w:hAnsi="Arial" w:cs="Arial"/>
          <w:color w:val="000000" w:themeColor="text1"/>
        </w:rPr>
        <w:t>CASTIGADA,  durante</w:t>
      </w:r>
      <w:proofErr w:type="gramEnd"/>
      <w:r w:rsidRPr="00347DC2">
        <w:rPr>
          <w:rFonts w:ascii="Arial" w:hAnsi="Arial" w:cs="Arial"/>
          <w:color w:val="000000" w:themeColor="text1"/>
        </w:rPr>
        <w:t xml:space="preserve"> el último trimestre de la vigencia 2020, se podrá  descontar hasta el  100% de los intereses de Mora y de acuerdo a la negociación se puede hacer un descuento de los intereses Corrientes entre el 50% y el 70%, según sea el caso.</w:t>
      </w:r>
    </w:p>
    <w:p w:rsidR="00627454" w:rsidRPr="00347DC2" w:rsidRDefault="00627454" w:rsidP="00627454">
      <w:pPr>
        <w:jc w:val="both"/>
        <w:rPr>
          <w:rFonts w:ascii="Arial" w:hAnsi="Arial" w:cs="Arial"/>
          <w:color w:val="000000" w:themeColor="text1"/>
        </w:rPr>
      </w:pPr>
      <w:r w:rsidRPr="00347DC2">
        <w:rPr>
          <w:rFonts w:ascii="Arial" w:hAnsi="Arial" w:cs="Arial"/>
          <w:color w:val="000000" w:themeColor="text1"/>
        </w:rPr>
        <w:t xml:space="preserve">ARTICULO 05. RECAUDO DE CARTERA EN CATEGORIA C, D Y </w:t>
      </w:r>
      <w:proofErr w:type="gramStart"/>
      <w:r w:rsidRPr="00347DC2">
        <w:rPr>
          <w:rFonts w:ascii="Arial" w:hAnsi="Arial" w:cs="Arial"/>
          <w:color w:val="000000" w:themeColor="text1"/>
        </w:rPr>
        <w:t>E ,</w:t>
      </w:r>
      <w:proofErr w:type="gramEnd"/>
      <w:r w:rsidRPr="00347DC2">
        <w:rPr>
          <w:rFonts w:ascii="Arial" w:hAnsi="Arial" w:cs="Arial"/>
          <w:color w:val="000000" w:themeColor="text1"/>
        </w:rPr>
        <w:t xml:space="preserve"> como estrategia de recaudo en  la cartera con categoría C,D y E se podrá descontar hasta el 100% de los intereses moratorios.</w:t>
      </w:r>
    </w:p>
    <w:p w:rsidR="00627454" w:rsidRPr="00347DC2" w:rsidRDefault="00627454" w:rsidP="00627454">
      <w:pPr>
        <w:jc w:val="both"/>
        <w:rPr>
          <w:rFonts w:ascii="Arial" w:hAnsi="Arial" w:cs="Arial"/>
          <w:color w:val="000000" w:themeColor="text1"/>
        </w:rPr>
      </w:pPr>
      <w:r w:rsidRPr="00347DC2">
        <w:rPr>
          <w:rFonts w:ascii="Arial" w:hAnsi="Arial" w:cs="Arial"/>
          <w:color w:val="000000" w:themeColor="text1"/>
        </w:rPr>
        <w:t xml:space="preserve">ARTICULO 06. CAMPAÑA DE AMNISTIA DE APORTES se  aprueba la realización de una campaña durante los meses de Octubre, Noviembre y Diciembre del presente año,  con l finalidad de realizar una amnistía de Aportes, para los asociados que tengan una inactividad superior a 10 meses,   considerando que desde el inicio de la Pandemia hay muchos </w:t>
      </w:r>
      <w:r w:rsidRPr="00347DC2">
        <w:rPr>
          <w:rFonts w:ascii="Arial" w:hAnsi="Arial" w:cs="Arial"/>
          <w:color w:val="000000" w:themeColor="text1"/>
        </w:rPr>
        <w:lastRenderedPageBreak/>
        <w:t>asociados que dejaron de cancelar oportunamente  los Aportes Sociales; la propuesta va dirigida a  que sean habilitados como Asociados activos de la cooperativa si cancela el 20% de la deuda Actual, al igual que empresas jurídicas  y  en los niños con el 10%; la propuesta es que se  reglamente y que se reactiven muchos Asociados, La campaña tendrá una vigencia por el último trimestre del 2020 y se debe programar una amplia  comunicación por los canales y medios de comunicación.</w:t>
      </w:r>
    </w:p>
    <w:p w:rsidR="00627454" w:rsidRPr="00347DC2" w:rsidRDefault="00627454" w:rsidP="00627454">
      <w:pPr>
        <w:pStyle w:val="Estilo"/>
        <w:spacing w:line="268" w:lineRule="exact"/>
        <w:ind w:right="49"/>
        <w:jc w:val="both"/>
        <w:rPr>
          <w:color w:val="000000"/>
          <w:w w:val="107"/>
          <w:sz w:val="22"/>
          <w:szCs w:val="22"/>
        </w:rPr>
      </w:pPr>
      <w:r w:rsidRPr="00347DC2">
        <w:rPr>
          <w:color w:val="000000" w:themeColor="text1"/>
          <w:sz w:val="22"/>
          <w:szCs w:val="22"/>
        </w:rPr>
        <w:t xml:space="preserve">El presente Acuerdo fue socializado y aprobado en reunión Ordinaria celebrada el </w:t>
      </w:r>
      <w:r w:rsidRPr="00347DC2">
        <w:rPr>
          <w:color w:val="000000"/>
          <w:w w:val="107"/>
          <w:sz w:val="22"/>
          <w:szCs w:val="22"/>
        </w:rPr>
        <w:t xml:space="preserve">Once (11) días del mes de </w:t>
      </w:r>
      <w:bookmarkStart w:id="0" w:name="_GoBack"/>
      <w:bookmarkEnd w:id="0"/>
      <w:r w:rsidR="00174E2D" w:rsidRPr="00347DC2">
        <w:rPr>
          <w:color w:val="000000"/>
          <w:w w:val="107"/>
          <w:sz w:val="22"/>
          <w:szCs w:val="22"/>
        </w:rPr>
        <w:t>septiembre</w:t>
      </w:r>
      <w:r w:rsidRPr="00347DC2">
        <w:rPr>
          <w:color w:val="000000"/>
          <w:w w:val="107"/>
          <w:sz w:val="22"/>
          <w:szCs w:val="22"/>
        </w:rPr>
        <w:t xml:space="preserve"> de 2020</w:t>
      </w:r>
    </w:p>
    <w:p w:rsidR="00627454" w:rsidRPr="00347DC2" w:rsidRDefault="00627454" w:rsidP="00627454">
      <w:pPr>
        <w:jc w:val="both"/>
        <w:rPr>
          <w:rFonts w:ascii="Arial" w:hAnsi="Arial" w:cs="Arial"/>
          <w:color w:val="000000"/>
          <w:w w:val="107"/>
        </w:rPr>
      </w:pPr>
      <w:r w:rsidRPr="00347DC2">
        <w:rPr>
          <w:rFonts w:ascii="Arial" w:hAnsi="Arial" w:cs="Arial"/>
          <w:color w:val="000000" w:themeColor="text1"/>
        </w:rPr>
        <w:t xml:space="preserve"> </w:t>
      </w:r>
      <w:r w:rsidRPr="00347DC2">
        <w:rPr>
          <w:rFonts w:ascii="Arial" w:hAnsi="Arial" w:cs="Arial"/>
          <w:color w:val="000000"/>
          <w:w w:val="107"/>
        </w:rPr>
        <w:t>Comuníquese y cúmplase</w:t>
      </w:r>
    </w:p>
    <w:p w:rsidR="00627454" w:rsidRPr="00347DC2" w:rsidRDefault="00627454" w:rsidP="00627454">
      <w:pPr>
        <w:pStyle w:val="Estilo"/>
        <w:spacing w:line="268" w:lineRule="exact"/>
        <w:ind w:right="49"/>
        <w:jc w:val="both"/>
        <w:rPr>
          <w:color w:val="000000"/>
          <w:w w:val="107"/>
          <w:sz w:val="22"/>
          <w:szCs w:val="22"/>
        </w:rPr>
      </w:pPr>
      <w:r w:rsidRPr="00347DC2">
        <w:rPr>
          <w:color w:val="000000"/>
          <w:w w:val="107"/>
          <w:sz w:val="22"/>
          <w:szCs w:val="22"/>
        </w:rPr>
        <w:t xml:space="preserve">Dado en </w:t>
      </w:r>
      <w:proofErr w:type="spellStart"/>
      <w:r w:rsidRPr="00347DC2">
        <w:rPr>
          <w:color w:val="000000"/>
          <w:w w:val="107"/>
          <w:sz w:val="22"/>
          <w:szCs w:val="22"/>
        </w:rPr>
        <w:t>Aipe</w:t>
      </w:r>
      <w:proofErr w:type="spellEnd"/>
      <w:r w:rsidRPr="00347DC2">
        <w:rPr>
          <w:color w:val="000000"/>
          <w:w w:val="107"/>
          <w:sz w:val="22"/>
          <w:szCs w:val="22"/>
        </w:rPr>
        <w:t xml:space="preserve"> – Huila, a los Once (11) días del mes de septiembre de 2020</w:t>
      </w:r>
    </w:p>
    <w:p w:rsidR="00627454" w:rsidRPr="00347DC2" w:rsidRDefault="00627454" w:rsidP="00627454">
      <w:pPr>
        <w:pStyle w:val="Estilo"/>
        <w:spacing w:line="268" w:lineRule="exact"/>
        <w:ind w:right="49"/>
        <w:jc w:val="both"/>
        <w:rPr>
          <w:color w:val="000000"/>
          <w:w w:val="107"/>
          <w:sz w:val="22"/>
          <w:szCs w:val="22"/>
        </w:rPr>
      </w:pPr>
    </w:p>
    <w:p w:rsidR="00627454" w:rsidRPr="00347DC2" w:rsidRDefault="00627454" w:rsidP="00627454">
      <w:pPr>
        <w:pStyle w:val="Estilo"/>
        <w:spacing w:line="268" w:lineRule="exact"/>
        <w:ind w:right="49"/>
        <w:jc w:val="both"/>
        <w:rPr>
          <w:color w:val="000000"/>
          <w:w w:val="107"/>
          <w:sz w:val="22"/>
          <w:szCs w:val="22"/>
        </w:rPr>
      </w:pPr>
      <w:r w:rsidRPr="00347DC2">
        <w:rPr>
          <w:color w:val="000000"/>
          <w:w w:val="107"/>
          <w:sz w:val="22"/>
          <w:szCs w:val="22"/>
        </w:rPr>
        <w:t>En constancia firman,</w:t>
      </w:r>
    </w:p>
    <w:p w:rsidR="00627454" w:rsidRPr="00347DC2" w:rsidRDefault="00627454" w:rsidP="00627454">
      <w:pPr>
        <w:pStyle w:val="Estilo"/>
        <w:spacing w:line="268" w:lineRule="exact"/>
        <w:ind w:right="49"/>
        <w:jc w:val="both"/>
        <w:rPr>
          <w:color w:val="000000"/>
          <w:w w:val="107"/>
          <w:sz w:val="22"/>
          <w:szCs w:val="22"/>
        </w:rPr>
      </w:pPr>
    </w:p>
    <w:p w:rsidR="00627454" w:rsidRPr="00347DC2" w:rsidRDefault="00627454" w:rsidP="00627454">
      <w:pPr>
        <w:pStyle w:val="Estilo"/>
        <w:spacing w:line="268" w:lineRule="exact"/>
        <w:ind w:right="49"/>
        <w:jc w:val="both"/>
        <w:rPr>
          <w:color w:val="000000"/>
          <w:w w:val="107"/>
          <w:sz w:val="22"/>
          <w:szCs w:val="22"/>
        </w:rPr>
      </w:pPr>
    </w:p>
    <w:p w:rsidR="00627454" w:rsidRPr="00347DC2" w:rsidRDefault="00627454" w:rsidP="00627454">
      <w:pPr>
        <w:pStyle w:val="Estilo"/>
        <w:spacing w:line="268" w:lineRule="exact"/>
        <w:ind w:right="49"/>
        <w:jc w:val="both"/>
        <w:rPr>
          <w:color w:val="000000"/>
          <w:w w:val="107"/>
          <w:sz w:val="22"/>
          <w:szCs w:val="22"/>
        </w:rPr>
      </w:pPr>
    </w:p>
    <w:p w:rsidR="00627454" w:rsidRPr="00347DC2" w:rsidRDefault="00627454" w:rsidP="00627454">
      <w:pPr>
        <w:pStyle w:val="Estilo"/>
        <w:spacing w:line="268" w:lineRule="exact"/>
        <w:ind w:right="49"/>
        <w:jc w:val="both"/>
        <w:rPr>
          <w:color w:val="000000"/>
          <w:w w:val="107"/>
          <w:sz w:val="22"/>
          <w:szCs w:val="22"/>
        </w:rPr>
      </w:pPr>
    </w:p>
    <w:p w:rsidR="00627454" w:rsidRPr="00347DC2" w:rsidRDefault="00627454" w:rsidP="00627454">
      <w:pPr>
        <w:pStyle w:val="Estilo"/>
        <w:spacing w:line="268" w:lineRule="exact"/>
        <w:ind w:right="49"/>
        <w:jc w:val="both"/>
        <w:rPr>
          <w:color w:val="000000"/>
          <w:w w:val="107"/>
          <w:sz w:val="22"/>
          <w:szCs w:val="22"/>
        </w:rPr>
      </w:pPr>
    </w:p>
    <w:p w:rsidR="00627454" w:rsidRPr="00347DC2" w:rsidRDefault="00627454" w:rsidP="00627454">
      <w:pPr>
        <w:pStyle w:val="Estilo"/>
        <w:spacing w:line="268" w:lineRule="exact"/>
        <w:ind w:right="49"/>
        <w:jc w:val="both"/>
        <w:rPr>
          <w:b/>
          <w:color w:val="000000"/>
          <w:w w:val="107"/>
          <w:sz w:val="22"/>
          <w:szCs w:val="22"/>
          <w:lang w:val="es-CO"/>
        </w:rPr>
      </w:pPr>
      <w:r w:rsidRPr="00347DC2">
        <w:rPr>
          <w:b/>
          <w:color w:val="000000"/>
          <w:w w:val="107"/>
          <w:sz w:val="22"/>
          <w:szCs w:val="22"/>
        </w:rPr>
        <w:t>JOSE IVAN CELIS TOVAR</w:t>
      </w:r>
      <w:r w:rsidRPr="00347DC2">
        <w:rPr>
          <w:b/>
          <w:color w:val="000000"/>
          <w:w w:val="107"/>
          <w:sz w:val="22"/>
          <w:szCs w:val="22"/>
        </w:rPr>
        <w:tab/>
      </w:r>
      <w:r w:rsidRPr="00347DC2">
        <w:rPr>
          <w:b/>
          <w:color w:val="000000"/>
          <w:w w:val="107"/>
          <w:sz w:val="22"/>
          <w:szCs w:val="22"/>
        </w:rPr>
        <w:tab/>
      </w:r>
      <w:r w:rsidRPr="00347DC2">
        <w:rPr>
          <w:b/>
          <w:color w:val="000000"/>
          <w:w w:val="107"/>
          <w:sz w:val="22"/>
          <w:szCs w:val="22"/>
        </w:rPr>
        <w:tab/>
        <w:t>CENELIA LEON QUIROGA</w:t>
      </w:r>
    </w:p>
    <w:p w:rsidR="00627454" w:rsidRPr="00347DC2" w:rsidRDefault="00627454" w:rsidP="00627454">
      <w:pPr>
        <w:pStyle w:val="Estilo"/>
        <w:spacing w:line="268" w:lineRule="exact"/>
        <w:ind w:right="49"/>
        <w:jc w:val="both"/>
        <w:rPr>
          <w:color w:val="000000"/>
          <w:w w:val="107"/>
          <w:sz w:val="22"/>
          <w:szCs w:val="22"/>
        </w:rPr>
      </w:pPr>
      <w:r w:rsidRPr="00347DC2">
        <w:rPr>
          <w:color w:val="000000"/>
          <w:w w:val="107"/>
          <w:sz w:val="22"/>
          <w:szCs w:val="22"/>
        </w:rPr>
        <w:t xml:space="preserve">Presidente del consejo </w:t>
      </w:r>
      <w:r w:rsidRPr="00347DC2">
        <w:rPr>
          <w:color w:val="000000"/>
          <w:w w:val="107"/>
          <w:sz w:val="22"/>
          <w:szCs w:val="22"/>
        </w:rPr>
        <w:tab/>
      </w:r>
      <w:r w:rsidRPr="00347DC2">
        <w:rPr>
          <w:color w:val="000000"/>
          <w:w w:val="107"/>
          <w:sz w:val="22"/>
          <w:szCs w:val="22"/>
        </w:rPr>
        <w:tab/>
      </w:r>
      <w:r w:rsidRPr="00347DC2">
        <w:rPr>
          <w:color w:val="000000"/>
          <w:w w:val="107"/>
          <w:sz w:val="22"/>
          <w:szCs w:val="22"/>
        </w:rPr>
        <w:tab/>
      </w:r>
      <w:r w:rsidRPr="00347DC2">
        <w:rPr>
          <w:color w:val="000000"/>
          <w:w w:val="107"/>
          <w:sz w:val="22"/>
          <w:szCs w:val="22"/>
        </w:rPr>
        <w:tab/>
        <w:t>Secretaria</w:t>
      </w:r>
    </w:p>
    <w:p w:rsidR="00627454" w:rsidRPr="00347DC2" w:rsidRDefault="00627454" w:rsidP="00627454">
      <w:pPr>
        <w:pStyle w:val="Estilo"/>
        <w:spacing w:line="268" w:lineRule="exact"/>
        <w:ind w:right="49"/>
        <w:jc w:val="both"/>
        <w:rPr>
          <w:color w:val="000000"/>
          <w:w w:val="107"/>
          <w:sz w:val="22"/>
          <w:szCs w:val="22"/>
        </w:rPr>
      </w:pPr>
    </w:p>
    <w:p w:rsidR="00627454" w:rsidRPr="00347DC2" w:rsidRDefault="00627454" w:rsidP="00627454">
      <w:pPr>
        <w:pStyle w:val="Estilo"/>
        <w:spacing w:line="268" w:lineRule="exact"/>
        <w:ind w:right="49"/>
        <w:jc w:val="both"/>
        <w:rPr>
          <w:color w:val="000000"/>
          <w:w w:val="107"/>
          <w:sz w:val="22"/>
          <w:szCs w:val="22"/>
        </w:rPr>
      </w:pPr>
    </w:p>
    <w:p w:rsidR="00627454" w:rsidRPr="00347DC2" w:rsidRDefault="00627454" w:rsidP="00627454">
      <w:pPr>
        <w:pStyle w:val="Sinespaciado"/>
        <w:jc w:val="both"/>
        <w:rPr>
          <w:rFonts w:ascii="Arial" w:hAnsi="Arial" w:cs="Arial"/>
        </w:rPr>
      </w:pPr>
    </w:p>
    <w:p w:rsidR="00243F8A" w:rsidRPr="00347DC2" w:rsidRDefault="00627454" w:rsidP="00347DC2">
      <w:pPr>
        <w:jc w:val="both"/>
        <w:rPr>
          <w:rFonts w:ascii="Arial" w:hAnsi="Arial" w:cs="Arial"/>
        </w:rPr>
      </w:pPr>
      <w:r w:rsidRPr="00347DC2">
        <w:rPr>
          <w:rFonts w:ascii="Arial" w:hAnsi="Arial" w:cs="Arial"/>
        </w:rPr>
        <w:t>El Presidente somete a consideración el proyecto de Acuerdo No.10 de 2020, y es aprobado por unanimidad por parte de los presentes nominal y pública (Siete de Siete votos).</w:t>
      </w:r>
    </w:p>
    <w:sectPr w:rsidR="00243F8A" w:rsidRPr="00347DC2">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2B7" w:rsidRDefault="001F12B7" w:rsidP="00794EC4">
      <w:pPr>
        <w:spacing w:after="0" w:line="240" w:lineRule="auto"/>
      </w:pPr>
      <w:r>
        <w:separator/>
      </w:r>
    </w:p>
  </w:endnote>
  <w:endnote w:type="continuationSeparator" w:id="0">
    <w:p w:rsidR="001F12B7" w:rsidRDefault="001F12B7" w:rsidP="00794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2B7" w:rsidRDefault="001F12B7" w:rsidP="00794EC4">
      <w:pPr>
        <w:spacing w:after="0" w:line="240" w:lineRule="auto"/>
      </w:pPr>
      <w:r>
        <w:separator/>
      </w:r>
    </w:p>
  </w:footnote>
  <w:footnote w:type="continuationSeparator" w:id="0">
    <w:p w:rsidR="001F12B7" w:rsidRDefault="001F12B7" w:rsidP="00794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EC4" w:rsidRDefault="00794EC4">
    <w:pPr>
      <w:pStyle w:val="Encabezado"/>
    </w:pPr>
    <w:r w:rsidRPr="00794EC4">
      <w:rPr>
        <w:noProof/>
        <w:lang w:val="en-US" w:eastAsia="en-US"/>
      </w:rPr>
      <w:drawing>
        <wp:anchor distT="0" distB="0" distL="114300" distR="114300" simplePos="0" relativeHeight="251661312" behindDoc="1" locked="0" layoutInCell="1" allowOverlap="1" wp14:anchorId="39DB1793" wp14:editId="25242EAE">
          <wp:simplePos x="0" y="0"/>
          <wp:positionH relativeFrom="margin">
            <wp:align>right</wp:align>
          </wp:positionH>
          <wp:positionV relativeFrom="paragraph">
            <wp:posOffset>75565</wp:posOffset>
          </wp:positionV>
          <wp:extent cx="1533525" cy="371475"/>
          <wp:effectExtent l="0" t="0" r="9525" b="9525"/>
          <wp:wrapThrough wrapText="bothSides">
            <wp:wrapPolygon edited="0">
              <wp:start x="0" y="0"/>
              <wp:lineTo x="0" y="21046"/>
              <wp:lineTo x="21466" y="21046"/>
              <wp:lineTo x="21466" y="0"/>
              <wp:lineTo x="0" y="0"/>
            </wp:wrapPolygon>
          </wp:wrapThrough>
          <wp:docPr id="2" name="Imagen 2"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OPEAIPE"/>
                  <pic:cNvPicPr>
                    <a:picLocks noChangeAspect="1" noChangeArrowheads="1"/>
                  </pic:cNvPicPr>
                </pic:nvPicPr>
                <pic:blipFill>
                  <a:blip r:embed="rId1" cstate="print"/>
                  <a:srcRect/>
                  <a:stretch>
                    <a:fillRect/>
                  </a:stretch>
                </pic:blipFill>
                <pic:spPr bwMode="auto">
                  <a:xfrm>
                    <a:off x="0" y="0"/>
                    <a:ext cx="1533525" cy="371475"/>
                  </a:xfrm>
                  <a:prstGeom prst="rect">
                    <a:avLst/>
                  </a:prstGeom>
                  <a:noFill/>
                  <a:ln w="9525">
                    <a:noFill/>
                    <a:miter lim="800000"/>
                    <a:headEnd/>
                    <a:tailEnd/>
                  </a:ln>
                </pic:spPr>
              </pic:pic>
            </a:graphicData>
          </a:graphic>
        </wp:anchor>
      </w:drawing>
    </w:r>
    <w:r w:rsidRPr="00794EC4">
      <w:rPr>
        <w:noProof/>
        <w:lang w:val="en-US" w:eastAsia="en-US"/>
      </w:rPr>
      <w:drawing>
        <wp:anchor distT="0" distB="0" distL="114300" distR="114300" simplePos="0" relativeHeight="251659264" behindDoc="1" locked="0" layoutInCell="1" allowOverlap="1" wp14:anchorId="6F197A02" wp14:editId="3F6A8EAB">
          <wp:simplePos x="0" y="0"/>
          <wp:positionH relativeFrom="margin">
            <wp:align>center</wp:align>
          </wp:positionH>
          <wp:positionV relativeFrom="paragraph">
            <wp:posOffset>3085465</wp:posOffset>
          </wp:positionV>
          <wp:extent cx="4114800" cy="3886200"/>
          <wp:effectExtent l="0" t="0" r="0" b="0"/>
          <wp:wrapNone/>
          <wp:docPr id="1" name="Imagen 1" descr="logo coopeai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opeaipe 2"/>
                  <pic:cNvPicPr>
                    <a:picLocks noChangeAspect="1" noChangeArrowheads="1"/>
                  </pic:cNvPicPr>
                </pic:nvPicPr>
                <pic:blipFill>
                  <a:blip r:embed="rId2">
                    <a:lum bright="70000" contrast="-70000"/>
                  </a:blip>
                  <a:srcRect/>
                  <a:stretch>
                    <a:fillRect/>
                  </a:stretch>
                </pic:blipFill>
                <pic:spPr bwMode="auto">
                  <a:xfrm>
                    <a:off x="0" y="0"/>
                    <a:ext cx="4114800" cy="38862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57080"/>
    <w:multiLevelType w:val="hybridMultilevel"/>
    <w:tmpl w:val="86B8D3A2"/>
    <w:lvl w:ilvl="0" w:tplc="6C709C82">
      <w:start w:val="1"/>
      <w:numFmt w:val="lowerLetter"/>
      <w:lvlText w:val="%1."/>
      <w:lvlJc w:val="left"/>
      <w:pPr>
        <w:ind w:left="502" w:hanging="360"/>
      </w:pPr>
      <w:rPr>
        <w:rFonts w:asciiTheme="minorHAnsi" w:hAnsiTheme="minorHAnsi" w:hint="default"/>
        <w:b/>
        <w:bCs w:val="0"/>
        <w:sz w:val="20"/>
        <w:szCs w:val="20"/>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DC2"/>
    <w:rsid w:val="00013DC2"/>
    <w:rsid w:val="00174E2D"/>
    <w:rsid w:val="001F12B7"/>
    <w:rsid w:val="00243F8A"/>
    <w:rsid w:val="00347DC2"/>
    <w:rsid w:val="00627454"/>
    <w:rsid w:val="0079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ED435"/>
  <w15:chartTrackingRefBased/>
  <w15:docId w15:val="{985A66D8-325B-4A81-B171-FC796F423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454"/>
    <w:pPr>
      <w:spacing w:after="200" w:line="276" w:lineRule="auto"/>
    </w:pPr>
    <w:rPr>
      <w:rFonts w:ascii="Calibri" w:eastAsia="Times New Roman" w:hAnsi="Calibri" w:cs="Times New Roman"/>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27454"/>
    <w:pPr>
      <w:spacing w:after="0" w:line="240" w:lineRule="auto"/>
    </w:pPr>
    <w:rPr>
      <w:rFonts w:ascii="Calibri" w:eastAsia="Times New Roman" w:hAnsi="Calibri" w:cs="Times New Roman"/>
      <w:lang w:val="es-CO" w:eastAsia="es-CO"/>
    </w:rPr>
  </w:style>
  <w:style w:type="paragraph" w:styleId="Prrafodelista">
    <w:name w:val="List Paragraph"/>
    <w:basedOn w:val="Normal"/>
    <w:uiPriority w:val="34"/>
    <w:qFormat/>
    <w:rsid w:val="00627454"/>
    <w:pPr>
      <w:ind w:left="720"/>
      <w:contextualSpacing/>
    </w:pPr>
  </w:style>
  <w:style w:type="character" w:customStyle="1" w:styleId="SinespaciadoCar">
    <w:name w:val="Sin espaciado Car"/>
    <w:link w:val="Sinespaciado"/>
    <w:uiPriority w:val="1"/>
    <w:rsid w:val="00627454"/>
    <w:rPr>
      <w:rFonts w:ascii="Calibri" w:eastAsia="Times New Roman" w:hAnsi="Calibri" w:cs="Times New Roman"/>
      <w:lang w:val="es-CO" w:eastAsia="es-CO"/>
    </w:rPr>
  </w:style>
  <w:style w:type="paragraph" w:customStyle="1" w:styleId="Estilo">
    <w:name w:val="Estilo"/>
    <w:rsid w:val="00627454"/>
    <w:pPr>
      <w:widowControl w:val="0"/>
      <w:autoSpaceDE w:val="0"/>
      <w:autoSpaceDN w:val="0"/>
      <w:adjustRightInd w:val="0"/>
      <w:spacing w:after="0" w:line="240" w:lineRule="auto"/>
    </w:pPr>
    <w:rPr>
      <w:rFonts w:ascii="Arial" w:eastAsiaTheme="minorEastAsia" w:hAnsi="Arial" w:cs="Arial"/>
      <w:sz w:val="24"/>
      <w:szCs w:val="24"/>
      <w:lang w:val="es-MX" w:eastAsia="es-MX"/>
    </w:rPr>
  </w:style>
  <w:style w:type="paragraph" w:styleId="Encabezado">
    <w:name w:val="header"/>
    <w:basedOn w:val="Normal"/>
    <w:link w:val="EncabezadoCar"/>
    <w:uiPriority w:val="99"/>
    <w:unhideWhenUsed/>
    <w:rsid w:val="00794E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4EC4"/>
    <w:rPr>
      <w:rFonts w:ascii="Calibri" w:eastAsia="Times New Roman" w:hAnsi="Calibri" w:cs="Times New Roman"/>
      <w:lang w:val="es-CO" w:eastAsia="es-CO"/>
    </w:rPr>
  </w:style>
  <w:style w:type="paragraph" w:styleId="Piedepgina">
    <w:name w:val="footer"/>
    <w:basedOn w:val="Normal"/>
    <w:link w:val="PiedepginaCar"/>
    <w:uiPriority w:val="99"/>
    <w:unhideWhenUsed/>
    <w:rsid w:val="00794E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4EC4"/>
    <w:rPr>
      <w:rFonts w:ascii="Calibri" w:eastAsia="Times New Roman" w:hAnsi="Calibri"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837</Words>
  <Characters>4772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2020-10-08T22:33:00Z</dcterms:created>
  <dcterms:modified xsi:type="dcterms:W3CDTF">2020-10-08T22:53:00Z</dcterms:modified>
</cp:coreProperties>
</file>