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F37A" w14:textId="77777777" w:rsidR="00D00CC9" w:rsidRPr="00D00CC9" w:rsidRDefault="00D00CC9" w:rsidP="00D00CC9">
      <w:pPr>
        <w:pStyle w:val="Estilo"/>
        <w:ind w:right="23"/>
        <w:jc w:val="center"/>
        <w:rPr>
          <w:b/>
          <w:bCs/>
          <w:lang w:val="es-CO"/>
        </w:rPr>
      </w:pPr>
      <w:r w:rsidRPr="00D00CC9">
        <w:rPr>
          <w:b/>
          <w:bCs/>
          <w:lang w:val="es-CO"/>
        </w:rPr>
        <w:t>COOPERATIVA DE AHORRO Y CRÉDITO DE AIPE - “COOPEAIPE”</w:t>
      </w:r>
    </w:p>
    <w:p w14:paraId="7551336A" w14:textId="0E89A147" w:rsidR="00D00CC9" w:rsidRPr="00D00CC9" w:rsidRDefault="00D00CC9" w:rsidP="00D00CC9">
      <w:pPr>
        <w:pStyle w:val="Estilo"/>
        <w:ind w:right="23"/>
        <w:jc w:val="center"/>
        <w:rPr>
          <w:b/>
          <w:lang w:val="es-CO"/>
        </w:rPr>
      </w:pPr>
      <w:r w:rsidRPr="00D00CC9">
        <w:rPr>
          <w:b/>
          <w:lang w:val="es-CO"/>
        </w:rPr>
        <w:t>MANUAL APLICACIÓN MODELO CAMEL PARA ANÁLISIS DE RIESGO EMISOR – DEPOSITARIO Y CONTRAPARTE</w:t>
      </w:r>
    </w:p>
    <w:p w14:paraId="50FCDF95" w14:textId="77777777" w:rsidR="00D00CC9" w:rsidRPr="00D00CC9" w:rsidRDefault="00D00CC9" w:rsidP="00D00CC9">
      <w:pPr>
        <w:pStyle w:val="Estilo"/>
        <w:ind w:right="23"/>
        <w:jc w:val="center"/>
        <w:rPr>
          <w:b/>
          <w:bCs/>
          <w:lang w:val="es-CO"/>
        </w:rPr>
      </w:pPr>
    </w:p>
    <w:p w14:paraId="472E722D" w14:textId="77777777" w:rsidR="00D00CC9" w:rsidRPr="00D00CC9" w:rsidRDefault="00D00CC9" w:rsidP="00D00CC9">
      <w:pPr>
        <w:pStyle w:val="Estilo"/>
        <w:ind w:right="23"/>
        <w:jc w:val="center"/>
        <w:rPr>
          <w:bCs/>
          <w:lang w:val="es-CO"/>
        </w:rPr>
      </w:pPr>
      <w:r w:rsidRPr="00D00CC9">
        <w:rPr>
          <w:bCs/>
          <w:lang w:val="es-CO"/>
        </w:rPr>
        <w:t>ACUERDO No _ DEL _ de _ de _.</w:t>
      </w:r>
    </w:p>
    <w:p w14:paraId="5BDF0E2D" w14:textId="77777777" w:rsidR="00D00CC9" w:rsidRPr="00D00CC9" w:rsidRDefault="00D00CC9" w:rsidP="00D00CC9">
      <w:pPr>
        <w:pStyle w:val="Estilo"/>
        <w:ind w:right="23"/>
        <w:jc w:val="both"/>
        <w:rPr>
          <w:bCs/>
          <w:lang w:val="es-CO"/>
        </w:rPr>
      </w:pPr>
    </w:p>
    <w:p w14:paraId="172FA86C" w14:textId="48A07346" w:rsidR="00D00CC9" w:rsidRPr="00D00CC9" w:rsidRDefault="00D00CC9" w:rsidP="00D00CC9">
      <w:pPr>
        <w:pStyle w:val="Estilo"/>
        <w:ind w:right="23"/>
        <w:jc w:val="both"/>
        <w:rPr>
          <w:b/>
          <w:bCs/>
          <w:lang w:val="es-CO"/>
        </w:rPr>
      </w:pPr>
      <w:r w:rsidRPr="00D00CC9">
        <w:rPr>
          <w:bCs/>
          <w:lang w:val="es-CO"/>
        </w:rPr>
        <w:t xml:space="preserve">Por medio del cual se aprueba el </w:t>
      </w:r>
      <w:r w:rsidRPr="00D00CC9">
        <w:rPr>
          <w:b/>
          <w:lang w:val="es-CO"/>
        </w:rPr>
        <w:t>MANUAL APLICACIÓN MODELO CAMEL PARA ANÁLISIS DE RIESGO EMISOR – DEPOSITARIO Y CONTRAPARTE,</w:t>
      </w:r>
      <w:r w:rsidRPr="00D00CC9">
        <w:rPr>
          <w:bCs/>
          <w:lang w:val="es-CO"/>
        </w:rPr>
        <w:t xml:space="preserve"> de la </w:t>
      </w:r>
      <w:r w:rsidRPr="00D00CC9">
        <w:rPr>
          <w:b/>
          <w:bCs/>
          <w:lang w:val="es-CO"/>
        </w:rPr>
        <w:t>COOPERATIVA DE AHORRO Y CRÉDITO DE AIPE - “COOPEAIPE”</w:t>
      </w:r>
    </w:p>
    <w:p w14:paraId="1A5CE312" w14:textId="77777777" w:rsidR="00D00CC9" w:rsidRPr="00D00CC9" w:rsidRDefault="00D00CC9" w:rsidP="00D00CC9">
      <w:pPr>
        <w:pStyle w:val="Estilo"/>
        <w:ind w:right="23"/>
        <w:jc w:val="both"/>
        <w:rPr>
          <w:bCs/>
          <w:lang w:val="es-CO"/>
        </w:rPr>
      </w:pPr>
    </w:p>
    <w:p w14:paraId="787FE6FA" w14:textId="77777777" w:rsidR="00D00CC9" w:rsidRPr="00D00CC9" w:rsidRDefault="00D00CC9" w:rsidP="00D00CC9">
      <w:pPr>
        <w:pStyle w:val="Estilo"/>
        <w:ind w:right="23"/>
        <w:jc w:val="both"/>
        <w:rPr>
          <w:bCs/>
          <w:lang w:val="es-CO"/>
        </w:rPr>
      </w:pPr>
      <w:r w:rsidRPr="00D00CC9">
        <w:rPr>
          <w:bCs/>
          <w:lang w:val="es-CO"/>
        </w:rPr>
        <w:t xml:space="preserve">El Consejo De Administración de la </w:t>
      </w:r>
      <w:r w:rsidRPr="00D00CC9">
        <w:rPr>
          <w:b/>
          <w:lang w:val="es-CO"/>
        </w:rPr>
        <w:t>COOPERATIVA DE AHORRO Y CRÉDITO DE AIPE - “</w:t>
      </w:r>
      <w:r w:rsidRPr="00D00CC9">
        <w:rPr>
          <w:b/>
          <w:bCs/>
          <w:lang w:val="es-CO"/>
        </w:rPr>
        <w:t>COOPEAIPE</w:t>
      </w:r>
      <w:r w:rsidRPr="00D00CC9">
        <w:rPr>
          <w:b/>
          <w:lang w:val="es-CO"/>
        </w:rPr>
        <w:t>”,</w:t>
      </w:r>
      <w:r w:rsidRPr="00D00CC9">
        <w:rPr>
          <w:bCs/>
          <w:lang w:val="es-CO"/>
        </w:rPr>
        <w:t xml:space="preserve"> en uso de sus facultades estatutarias que le confiere el Artículo 74 del Estatuto de </w:t>
      </w:r>
      <w:r w:rsidRPr="00D00CC9">
        <w:rPr>
          <w:b/>
          <w:bCs/>
          <w:lang w:val="es-CO"/>
        </w:rPr>
        <w:t>COOPEAIPE</w:t>
      </w:r>
      <w:r w:rsidRPr="00D00CC9">
        <w:rPr>
          <w:bCs/>
          <w:lang w:val="es-CO"/>
        </w:rPr>
        <w:t xml:space="preserve"> y</w:t>
      </w:r>
    </w:p>
    <w:p w14:paraId="5DCD02EC" w14:textId="77777777" w:rsidR="00D00CC9" w:rsidRPr="00D00CC9" w:rsidRDefault="00D00CC9" w:rsidP="00D00CC9">
      <w:pPr>
        <w:pStyle w:val="Estilo"/>
        <w:ind w:right="23"/>
        <w:jc w:val="both"/>
        <w:rPr>
          <w:bCs/>
          <w:lang w:val="es-CO"/>
        </w:rPr>
      </w:pPr>
    </w:p>
    <w:p w14:paraId="1CF60C8D" w14:textId="77777777" w:rsidR="00D00CC9" w:rsidRPr="00D00CC9" w:rsidRDefault="00D00CC9" w:rsidP="00D00CC9">
      <w:pPr>
        <w:pStyle w:val="Estilo"/>
        <w:ind w:right="23"/>
        <w:jc w:val="center"/>
        <w:rPr>
          <w:bCs/>
          <w:lang w:val="es-CO"/>
        </w:rPr>
      </w:pPr>
      <w:r w:rsidRPr="00D00CC9">
        <w:rPr>
          <w:b/>
          <w:lang w:val="es-CO"/>
        </w:rPr>
        <w:t>CONSIDERANDO</w:t>
      </w:r>
      <w:r w:rsidRPr="00D00CC9">
        <w:rPr>
          <w:bCs/>
          <w:lang w:val="es-CO"/>
        </w:rPr>
        <w:t>,</w:t>
      </w:r>
    </w:p>
    <w:p w14:paraId="264C3785" w14:textId="77777777" w:rsidR="00D00CC9" w:rsidRPr="00D00CC9" w:rsidRDefault="00D00CC9" w:rsidP="00D00CC9">
      <w:pPr>
        <w:pStyle w:val="Estilo"/>
        <w:ind w:right="23"/>
        <w:jc w:val="both"/>
        <w:rPr>
          <w:bCs/>
          <w:lang w:val="es-CO"/>
        </w:rPr>
      </w:pPr>
    </w:p>
    <w:p w14:paraId="54FAA8EE" w14:textId="77777777" w:rsidR="00D00CC9" w:rsidRPr="00D00CC9" w:rsidRDefault="00D00CC9" w:rsidP="00D00CC9">
      <w:pPr>
        <w:numPr>
          <w:ilvl w:val="0"/>
          <w:numId w:val="25"/>
        </w:numPr>
        <w:pBdr>
          <w:top w:val="nil"/>
          <w:left w:val="nil"/>
          <w:bottom w:val="nil"/>
          <w:right w:val="nil"/>
          <w:between w:val="nil"/>
        </w:pBdr>
        <w:spacing w:after="0" w:line="240" w:lineRule="auto"/>
        <w:jc w:val="both"/>
        <w:rPr>
          <w:rFonts w:ascii="Arial" w:eastAsia="Arial" w:hAnsi="Arial" w:cs="Arial"/>
          <w:sz w:val="24"/>
          <w:szCs w:val="24"/>
        </w:rPr>
      </w:pPr>
      <w:r w:rsidRPr="00D00CC9">
        <w:rPr>
          <w:rFonts w:ascii="Arial" w:eastAsia="Arial" w:hAnsi="Arial" w:cs="Arial"/>
          <w:sz w:val="24"/>
          <w:szCs w:val="24"/>
        </w:rPr>
        <w:t xml:space="preserve">Que de conformidad con el Estatuto de </w:t>
      </w:r>
      <w:r w:rsidRPr="00D00CC9">
        <w:rPr>
          <w:rFonts w:ascii="Arial" w:eastAsia="Arial" w:hAnsi="Arial" w:cs="Arial"/>
          <w:b/>
          <w:bCs/>
          <w:sz w:val="24"/>
          <w:szCs w:val="24"/>
        </w:rPr>
        <w:t>COOPEAIPE</w:t>
      </w:r>
      <w:r w:rsidRPr="00D00CC9">
        <w:rPr>
          <w:rFonts w:ascii="Arial" w:eastAsia="Arial" w:hAnsi="Arial" w:cs="Arial"/>
          <w:sz w:val="24"/>
          <w:szCs w:val="24"/>
        </w:rPr>
        <w:t>, es función del Consejo expedir las reglamentaciones de los diferentes servicios.</w:t>
      </w:r>
    </w:p>
    <w:p w14:paraId="2F2F9478" w14:textId="77777777" w:rsidR="00D00CC9" w:rsidRPr="00D00CC9" w:rsidRDefault="00D00CC9" w:rsidP="00D00CC9">
      <w:pPr>
        <w:numPr>
          <w:ilvl w:val="0"/>
          <w:numId w:val="25"/>
        </w:numPr>
        <w:pBdr>
          <w:top w:val="nil"/>
          <w:left w:val="nil"/>
          <w:bottom w:val="nil"/>
          <w:right w:val="nil"/>
          <w:between w:val="nil"/>
        </w:pBdr>
        <w:spacing w:after="0" w:line="240" w:lineRule="auto"/>
        <w:jc w:val="both"/>
        <w:rPr>
          <w:rFonts w:ascii="Arial" w:eastAsia="Arial" w:hAnsi="Arial" w:cs="Arial"/>
          <w:sz w:val="24"/>
          <w:szCs w:val="24"/>
        </w:rPr>
      </w:pPr>
      <w:r w:rsidRPr="00D00CC9">
        <w:rPr>
          <w:rFonts w:ascii="Arial" w:eastAsia="Arial" w:hAnsi="Arial" w:cs="Arial"/>
          <w:sz w:val="24"/>
          <w:szCs w:val="24"/>
        </w:rPr>
        <w:t>Que se requiere unificar políticas y procedimientos respecto de las operaciones relacionadas con el Riesgo De Mercado.</w:t>
      </w:r>
    </w:p>
    <w:p w14:paraId="4F5F898C" w14:textId="77777777" w:rsidR="00D00CC9" w:rsidRPr="00D00CC9" w:rsidRDefault="00D00CC9" w:rsidP="00D00CC9">
      <w:pPr>
        <w:numPr>
          <w:ilvl w:val="0"/>
          <w:numId w:val="25"/>
        </w:numPr>
        <w:pBdr>
          <w:top w:val="nil"/>
          <w:left w:val="nil"/>
          <w:bottom w:val="nil"/>
          <w:right w:val="nil"/>
          <w:between w:val="nil"/>
        </w:pBdr>
        <w:spacing w:after="0" w:line="240" w:lineRule="auto"/>
        <w:jc w:val="both"/>
        <w:rPr>
          <w:rFonts w:ascii="Arial" w:eastAsia="Arial" w:hAnsi="Arial" w:cs="Arial"/>
          <w:sz w:val="24"/>
          <w:szCs w:val="24"/>
        </w:rPr>
      </w:pPr>
      <w:r w:rsidRPr="00D00CC9">
        <w:rPr>
          <w:rFonts w:ascii="Arial" w:eastAsia="Arial" w:hAnsi="Arial" w:cs="Arial"/>
          <w:sz w:val="24"/>
          <w:szCs w:val="24"/>
        </w:rPr>
        <w:t xml:space="preserve">Que en mérito de lo expuesto </w:t>
      </w:r>
    </w:p>
    <w:p w14:paraId="1F2CA46A" w14:textId="77777777" w:rsidR="00D00CC9" w:rsidRPr="00D00CC9" w:rsidRDefault="00D00CC9" w:rsidP="00D00CC9">
      <w:pPr>
        <w:pStyle w:val="Prrafodelista"/>
        <w:spacing w:after="0" w:line="240" w:lineRule="auto"/>
        <w:ind w:left="0"/>
        <w:jc w:val="both"/>
        <w:rPr>
          <w:rFonts w:ascii="Arial" w:hAnsi="Arial" w:cs="Arial"/>
          <w:b/>
          <w:sz w:val="24"/>
          <w:szCs w:val="24"/>
        </w:rPr>
      </w:pPr>
    </w:p>
    <w:p w14:paraId="0EAC4735" w14:textId="77777777" w:rsidR="00D00CC9" w:rsidRPr="00D00CC9" w:rsidRDefault="00D00CC9" w:rsidP="00D00CC9">
      <w:pPr>
        <w:pStyle w:val="Prrafodelista"/>
        <w:spacing w:after="0" w:line="240" w:lineRule="auto"/>
        <w:ind w:left="0"/>
        <w:jc w:val="center"/>
        <w:rPr>
          <w:rFonts w:ascii="Arial" w:hAnsi="Arial" w:cs="Arial"/>
          <w:b/>
          <w:sz w:val="24"/>
          <w:szCs w:val="24"/>
        </w:rPr>
      </w:pPr>
      <w:r w:rsidRPr="00D00CC9">
        <w:rPr>
          <w:rFonts w:ascii="Arial" w:hAnsi="Arial" w:cs="Arial"/>
          <w:b/>
          <w:sz w:val="24"/>
          <w:szCs w:val="24"/>
        </w:rPr>
        <w:t>ACUERDA:</w:t>
      </w:r>
    </w:p>
    <w:p w14:paraId="023487C9" w14:textId="77777777" w:rsidR="00D00CC9" w:rsidRPr="00D00CC9" w:rsidRDefault="00D00CC9" w:rsidP="00D00CC9">
      <w:pPr>
        <w:pBdr>
          <w:top w:val="nil"/>
          <w:left w:val="nil"/>
          <w:bottom w:val="nil"/>
          <w:right w:val="nil"/>
          <w:between w:val="nil"/>
        </w:pBdr>
        <w:spacing w:after="0" w:line="240" w:lineRule="auto"/>
        <w:jc w:val="both"/>
        <w:rPr>
          <w:rFonts w:ascii="Arial" w:eastAsia="Arial" w:hAnsi="Arial" w:cs="Arial"/>
          <w:b/>
          <w:sz w:val="24"/>
          <w:szCs w:val="24"/>
        </w:rPr>
      </w:pPr>
    </w:p>
    <w:p w14:paraId="3449E118" w14:textId="2C66E417" w:rsidR="00D00CC9" w:rsidRPr="00D00CC9" w:rsidRDefault="00D00CC9" w:rsidP="00D00CC9">
      <w:pPr>
        <w:pStyle w:val="Default"/>
        <w:numPr>
          <w:ilvl w:val="0"/>
          <w:numId w:val="26"/>
        </w:numPr>
        <w:jc w:val="both"/>
        <w:rPr>
          <w:color w:val="auto"/>
        </w:rPr>
      </w:pPr>
      <w:bookmarkStart w:id="0" w:name="_heading=h.gjdgxs" w:colFirst="0" w:colLast="0"/>
      <w:bookmarkEnd w:id="0"/>
      <w:r w:rsidRPr="00D00CC9">
        <w:rPr>
          <w:rFonts w:eastAsia="MS PGothic"/>
          <w:color w:val="auto"/>
          <w:lang w:eastAsia="en-US"/>
        </w:rPr>
        <w:t xml:space="preserve">Aprobar la Versión 1 del </w:t>
      </w:r>
      <w:r w:rsidRPr="00D00CC9">
        <w:rPr>
          <w:rFonts w:eastAsia="MS PGothic"/>
          <w:b/>
          <w:bCs/>
          <w:color w:val="auto"/>
          <w:lang w:eastAsia="en-US"/>
        </w:rPr>
        <w:t xml:space="preserve">MANUAL APLICACIÓN MODELO CAMEL PARA ANÁLISIS DE RIESGO EMISOR – DEPOSITARIO Y CONTRAPARTE </w:t>
      </w:r>
      <w:r w:rsidRPr="00D00CC9">
        <w:rPr>
          <w:rFonts w:eastAsia="MS PGothic"/>
          <w:color w:val="auto"/>
          <w:lang w:eastAsia="en-US"/>
        </w:rPr>
        <w:t xml:space="preserve">para </w:t>
      </w:r>
      <w:r w:rsidRPr="00D00CC9">
        <w:rPr>
          <w:rFonts w:eastAsia="MS PGothic"/>
          <w:b/>
          <w:bCs/>
          <w:color w:val="auto"/>
          <w:lang w:eastAsia="en-US"/>
        </w:rPr>
        <w:t>COOPEAIPE</w:t>
      </w:r>
      <w:r w:rsidRPr="00D00CC9">
        <w:rPr>
          <w:rFonts w:eastAsia="MS PGothic"/>
          <w:color w:val="auto"/>
          <w:lang w:eastAsia="en-US"/>
        </w:rPr>
        <w:t xml:space="preserve">, código </w:t>
      </w:r>
      <w:r w:rsidRPr="00D00CC9">
        <w:rPr>
          <w:rFonts w:eastAsia="MS PGothic"/>
          <w:b/>
          <w:bCs/>
          <w:color w:val="auto"/>
          <w:lang w:eastAsia="en-US"/>
        </w:rPr>
        <w:t xml:space="preserve">SRMA10 MANUAL APLICACIÓN MODELO CAMEL PARA ANÁLISIS DE RIESGO EMISOR – DEPOSITARIO Y CONTRAPARTE V1, </w:t>
      </w:r>
      <w:r w:rsidRPr="00D00CC9">
        <w:rPr>
          <w:rFonts w:eastAsia="MS PGothic"/>
          <w:color w:val="auto"/>
          <w:lang w:eastAsia="en-US"/>
        </w:rPr>
        <w:t>anexo 1, así mismo lo no previsto en ellos se regirá por las leyes vigentes sobre la materia.</w:t>
      </w:r>
    </w:p>
    <w:p w14:paraId="114D1C9B" w14:textId="77777777" w:rsidR="00D00CC9" w:rsidRPr="00D00CC9" w:rsidRDefault="00D00CC9" w:rsidP="00D00CC9">
      <w:pPr>
        <w:pStyle w:val="Default"/>
        <w:jc w:val="both"/>
        <w:rPr>
          <w:color w:val="auto"/>
        </w:rPr>
      </w:pPr>
    </w:p>
    <w:p w14:paraId="564F2A58" w14:textId="77777777" w:rsidR="00D00CC9" w:rsidRPr="00D00CC9" w:rsidRDefault="00D00CC9" w:rsidP="00D00CC9">
      <w:pPr>
        <w:pStyle w:val="Default"/>
        <w:numPr>
          <w:ilvl w:val="0"/>
          <w:numId w:val="26"/>
        </w:numPr>
        <w:jc w:val="both"/>
        <w:rPr>
          <w:color w:val="auto"/>
        </w:rPr>
      </w:pPr>
      <w:r w:rsidRPr="00D00CC9">
        <w:rPr>
          <w:b/>
          <w:color w:val="auto"/>
          <w:lang w:eastAsia="en-US"/>
        </w:rPr>
        <w:t xml:space="preserve">ÁMBITO DE APLICACIÓN: </w:t>
      </w:r>
      <w:r w:rsidRPr="00D00CC9">
        <w:rPr>
          <w:rFonts w:eastAsia="MS PGothic"/>
          <w:color w:val="auto"/>
          <w:lang w:eastAsia="en-US"/>
        </w:rPr>
        <w:t xml:space="preserve">El presente acuerdo será aplicable a todos los miembros del Consejo de Administración, Junta de vigilancia, comités especializados, funcionarios y, en general, a todos los asociados de </w:t>
      </w:r>
      <w:r w:rsidRPr="00D00CC9">
        <w:rPr>
          <w:rFonts w:eastAsia="MS PGothic"/>
          <w:b/>
          <w:bCs/>
          <w:color w:val="auto"/>
          <w:lang w:eastAsia="en-US"/>
        </w:rPr>
        <w:t>COOPEAIPE</w:t>
      </w:r>
      <w:r w:rsidRPr="00D00CC9">
        <w:rPr>
          <w:rFonts w:eastAsia="MS PGothic"/>
          <w:color w:val="auto"/>
          <w:lang w:eastAsia="en-US"/>
        </w:rPr>
        <w:t>.</w:t>
      </w:r>
    </w:p>
    <w:p w14:paraId="3618491C" w14:textId="77777777" w:rsidR="00D00CC9" w:rsidRPr="00D00CC9" w:rsidRDefault="00D00CC9" w:rsidP="00D00CC9">
      <w:pPr>
        <w:pStyle w:val="Default"/>
        <w:jc w:val="both"/>
        <w:rPr>
          <w:color w:val="auto"/>
        </w:rPr>
      </w:pPr>
    </w:p>
    <w:p w14:paraId="5CB99A86" w14:textId="396917D3" w:rsidR="00D00CC9" w:rsidRPr="00954B0E" w:rsidRDefault="00D00CC9" w:rsidP="00D00CC9">
      <w:pPr>
        <w:pStyle w:val="Default"/>
        <w:numPr>
          <w:ilvl w:val="0"/>
          <w:numId w:val="26"/>
        </w:numPr>
        <w:jc w:val="both"/>
        <w:rPr>
          <w:color w:val="auto"/>
        </w:rPr>
      </w:pPr>
      <w:r w:rsidRPr="00D00CC9">
        <w:rPr>
          <w:rFonts w:eastAsia="Arial"/>
          <w:b/>
          <w:color w:val="auto"/>
        </w:rPr>
        <w:t>CONFIDENCIALIDAD Y MANEJO DE INFORMACIÓN</w:t>
      </w:r>
      <w:r w:rsidRPr="00D00CC9">
        <w:rPr>
          <w:rFonts w:eastAsia="Arial"/>
          <w:bCs/>
          <w:color w:val="auto"/>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D00CC9">
        <w:rPr>
          <w:rFonts w:eastAsia="Arial"/>
          <w:b/>
          <w:bCs/>
          <w:color w:val="auto"/>
        </w:rPr>
        <w:t>COOPEAIPE</w:t>
      </w:r>
      <w:r w:rsidRPr="00D00CC9">
        <w:rPr>
          <w:rFonts w:eastAsia="Arial"/>
          <w:bCs/>
          <w:color w:val="auto"/>
        </w:rPr>
        <w:t xml:space="preserve"> relacionados, solamente podrán ser dados a conocer a través de los canales formales de comunicación </w:t>
      </w:r>
      <w:r w:rsidRPr="00D00CC9">
        <w:rPr>
          <w:rFonts w:eastAsia="Arial"/>
          <w:bCs/>
          <w:color w:val="auto"/>
        </w:rPr>
        <w:lastRenderedPageBreak/>
        <w:t xml:space="preserve">de </w:t>
      </w:r>
      <w:r w:rsidRPr="00D00CC9">
        <w:rPr>
          <w:rFonts w:eastAsia="Arial"/>
          <w:b/>
          <w:bCs/>
          <w:color w:val="auto"/>
        </w:rPr>
        <w:t>COOPEAIPE</w:t>
      </w:r>
      <w:r w:rsidRPr="00D00CC9">
        <w:rPr>
          <w:rFonts w:eastAsia="Arial"/>
          <w:bCs/>
          <w:color w:val="auto"/>
        </w:rPr>
        <w:t xml:space="preserve"> y únicamente a las personas, órganos o entidades a quienes corresponda conocerlos.</w:t>
      </w:r>
    </w:p>
    <w:p w14:paraId="0FC3D717" w14:textId="77777777" w:rsidR="00954B0E" w:rsidRPr="00D00CC9" w:rsidRDefault="00954B0E" w:rsidP="00954B0E">
      <w:pPr>
        <w:pStyle w:val="Default"/>
        <w:jc w:val="both"/>
        <w:rPr>
          <w:color w:val="auto"/>
        </w:rPr>
      </w:pPr>
    </w:p>
    <w:p w14:paraId="576A0156" w14:textId="59ECDD9C" w:rsidR="00D00CC9" w:rsidRPr="00954B0E" w:rsidRDefault="00D00CC9" w:rsidP="00D00CC9">
      <w:pPr>
        <w:pStyle w:val="Default"/>
        <w:numPr>
          <w:ilvl w:val="0"/>
          <w:numId w:val="26"/>
        </w:numPr>
        <w:jc w:val="both"/>
        <w:rPr>
          <w:color w:val="auto"/>
        </w:rPr>
      </w:pPr>
      <w:r w:rsidRPr="00D00CC9">
        <w:rPr>
          <w:rFonts w:eastAsia="Arial"/>
          <w:b/>
          <w:color w:val="auto"/>
        </w:rPr>
        <w:t>APLICACIÓN DE NORMAS SUPERIORES:</w:t>
      </w:r>
      <w:r w:rsidRPr="00D00CC9">
        <w:rPr>
          <w:rFonts w:eastAsia="Arial"/>
          <w:bCs/>
          <w:color w:val="auto"/>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6EFEA0BB" w14:textId="77777777" w:rsidR="00954B0E" w:rsidRPr="00D00CC9" w:rsidRDefault="00954B0E" w:rsidP="00954B0E">
      <w:pPr>
        <w:pStyle w:val="Default"/>
        <w:jc w:val="both"/>
        <w:rPr>
          <w:color w:val="auto"/>
        </w:rPr>
      </w:pPr>
    </w:p>
    <w:p w14:paraId="18C22759" w14:textId="1CF3A193" w:rsidR="00D00CC9" w:rsidRPr="00954B0E" w:rsidRDefault="00D00CC9" w:rsidP="00D00CC9">
      <w:pPr>
        <w:pStyle w:val="Default"/>
        <w:numPr>
          <w:ilvl w:val="0"/>
          <w:numId w:val="26"/>
        </w:numPr>
        <w:jc w:val="both"/>
        <w:rPr>
          <w:color w:val="auto"/>
        </w:rPr>
      </w:pPr>
      <w:r w:rsidRPr="00D00CC9">
        <w:rPr>
          <w:rFonts w:eastAsia="Arial"/>
          <w:b/>
          <w:color w:val="auto"/>
        </w:rPr>
        <w:t>MODIFICACIONES</w:t>
      </w:r>
      <w:r w:rsidRPr="00D00CC9">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498A4E5B" w14:textId="77777777" w:rsidR="00954B0E" w:rsidRPr="00D00CC9" w:rsidRDefault="00954B0E" w:rsidP="00954B0E">
      <w:pPr>
        <w:pStyle w:val="Default"/>
        <w:jc w:val="both"/>
        <w:rPr>
          <w:color w:val="auto"/>
        </w:rPr>
      </w:pPr>
    </w:p>
    <w:p w14:paraId="6B6C3268" w14:textId="77777777" w:rsidR="00D00CC9" w:rsidRPr="00D00CC9" w:rsidRDefault="00D00CC9" w:rsidP="00D00CC9">
      <w:pPr>
        <w:pStyle w:val="Default"/>
        <w:numPr>
          <w:ilvl w:val="0"/>
          <w:numId w:val="26"/>
        </w:numPr>
        <w:jc w:val="both"/>
        <w:rPr>
          <w:color w:val="auto"/>
        </w:rPr>
      </w:pPr>
      <w:r w:rsidRPr="00D00CC9">
        <w:rPr>
          <w:rFonts w:eastAsia="Arial"/>
          <w:b/>
          <w:color w:val="auto"/>
        </w:rPr>
        <w:t>NORMAS APLICABLES</w:t>
      </w:r>
      <w:r w:rsidRPr="00D00CC9">
        <w:rPr>
          <w:rFonts w:eastAsia="Arial"/>
          <w:bCs/>
          <w:color w:val="auto"/>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30D6BF03" w14:textId="77777777" w:rsidR="00D00CC9" w:rsidRPr="00D00CC9" w:rsidRDefault="00D00CC9" w:rsidP="00D00CC9">
      <w:pPr>
        <w:pStyle w:val="Default"/>
        <w:jc w:val="both"/>
        <w:rPr>
          <w:color w:val="auto"/>
        </w:rPr>
      </w:pPr>
    </w:p>
    <w:p w14:paraId="396A9A0D" w14:textId="77777777" w:rsidR="00D00CC9" w:rsidRPr="00D00CC9" w:rsidRDefault="00D00CC9" w:rsidP="00D00CC9">
      <w:pPr>
        <w:pStyle w:val="Default"/>
        <w:numPr>
          <w:ilvl w:val="0"/>
          <w:numId w:val="26"/>
        </w:numPr>
        <w:jc w:val="both"/>
        <w:rPr>
          <w:color w:val="auto"/>
        </w:rPr>
      </w:pPr>
      <w:r w:rsidRPr="00D00CC9">
        <w:rPr>
          <w:rFonts w:eastAsia="Arial"/>
          <w:b/>
          <w:color w:val="auto"/>
        </w:rPr>
        <w:t>MATERIAS NO REGULADAS</w:t>
      </w:r>
      <w:r w:rsidRPr="00D00CC9">
        <w:rPr>
          <w:rFonts w:eastAsia="Arial"/>
          <w:bCs/>
          <w:color w:val="auto"/>
        </w:rPr>
        <w:t xml:space="preserve">: las materias y situaciones no reguladas en el presente acuerdo, así como las dudas de interpretación, serán resueltas por el Consejo de Administración de </w:t>
      </w:r>
      <w:r w:rsidRPr="00D00CC9">
        <w:rPr>
          <w:rFonts w:eastAsia="Arial"/>
          <w:b/>
          <w:bCs/>
          <w:color w:val="auto"/>
        </w:rPr>
        <w:t>COOPEAIPE</w:t>
      </w:r>
      <w:r w:rsidRPr="00D00CC9">
        <w:rPr>
          <w:rFonts w:eastAsia="Arial"/>
          <w:bCs/>
          <w:color w:val="auto"/>
        </w:rPr>
        <w:t xml:space="preserve"> con el voto favorable de la mayoría absoluta (las dos terceras 2/3 partes) de los asistentes</w:t>
      </w:r>
      <w:r w:rsidRPr="00D00CC9">
        <w:rPr>
          <w:color w:val="auto"/>
        </w:rPr>
        <w:t>.</w:t>
      </w:r>
    </w:p>
    <w:p w14:paraId="49A4B4E5" w14:textId="77777777" w:rsidR="00D00CC9" w:rsidRPr="00D00CC9" w:rsidRDefault="00D00CC9" w:rsidP="00D00CC9">
      <w:pPr>
        <w:pStyle w:val="Default"/>
        <w:jc w:val="both"/>
        <w:rPr>
          <w:color w:val="auto"/>
        </w:rPr>
      </w:pPr>
    </w:p>
    <w:p w14:paraId="4EBC9CAB" w14:textId="77777777" w:rsidR="00D00CC9" w:rsidRPr="00D00CC9" w:rsidRDefault="00D00CC9" w:rsidP="00D00CC9">
      <w:pPr>
        <w:pStyle w:val="Default"/>
        <w:numPr>
          <w:ilvl w:val="0"/>
          <w:numId w:val="26"/>
        </w:numPr>
        <w:jc w:val="both"/>
        <w:rPr>
          <w:color w:val="auto"/>
        </w:rPr>
      </w:pPr>
      <w:r w:rsidRPr="00D00CC9">
        <w:rPr>
          <w:rFonts w:eastAsia="Arial"/>
          <w:b/>
          <w:color w:val="auto"/>
        </w:rPr>
        <w:t>VIGENCIA</w:t>
      </w:r>
      <w:r w:rsidRPr="00D00CC9">
        <w:rPr>
          <w:rFonts w:eastAsia="Arial"/>
          <w:bCs/>
          <w:color w:val="auto"/>
        </w:rPr>
        <w:t>: El presente acuerdo rige a partir de la fecha de su aprobación, por parte del Consejo de Administración y deroga todas las normas anteriores sobre la materia.</w:t>
      </w:r>
    </w:p>
    <w:p w14:paraId="34D3200B" w14:textId="77777777" w:rsidR="00D00CC9" w:rsidRPr="00D00CC9" w:rsidRDefault="00D00CC9" w:rsidP="00D00CC9">
      <w:pPr>
        <w:pStyle w:val="Default"/>
        <w:jc w:val="both"/>
        <w:rPr>
          <w:color w:val="auto"/>
        </w:rPr>
      </w:pPr>
    </w:p>
    <w:p w14:paraId="22810A42" w14:textId="77777777" w:rsidR="00D00CC9" w:rsidRPr="00D00CC9" w:rsidRDefault="00D00CC9" w:rsidP="00D00CC9">
      <w:pPr>
        <w:pStyle w:val="Default"/>
        <w:numPr>
          <w:ilvl w:val="0"/>
          <w:numId w:val="26"/>
        </w:numPr>
        <w:jc w:val="both"/>
        <w:rPr>
          <w:color w:val="auto"/>
        </w:rPr>
      </w:pPr>
      <w:r w:rsidRPr="00D00CC9">
        <w:rPr>
          <w:bCs/>
          <w:color w:val="auto"/>
          <w:lang w:eastAsia="en-US"/>
        </w:rPr>
        <w:t>El presente acuerdo fue socializado y aprobado en reunión ____ de Consejo de Administración en sesión realizada el __ de __ de __, según consta en el acta número __ del año __</w:t>
      </w:r>
    </w:p>
    <w:p w14:paraId="4B734BA9" w14:textId="77777777" w:rsidR="00D00CC9" w:rsidRPr="00D00CC9" w:rsidRDefault="00D00CC9" w:rsidP="00D00CC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212A6963" w14:textId="77777777" w:rsidR="00D00CC9" w:rsidRPr="00D00CC9" w:rsidRDefault="00D00CC9" w:rsidP="00D00CC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7319D061" w14:textId="77777777" w:rsidR="00D00CC9" w:rsidRPr="00D00CC9" w:rsidRDefault="00D00CC9" w:rsidP="00D00CC9">
      <w:pPr>
        <w:spacing w:after="0" w:line="240" w:lineRule="auto"/>
        <w:jc w:val="both"/>
        <w:rPr>
          <w:rFonts w:ascii="Arial" w:hAnsi="Arial" w:cs="Arial"/>
          <w:bCs/>
          <w:sz w:val="24"/>
          <w:szCs w:val="24"/>
          <w:lang w:val="es-ES"/>
        </w:rPr>
      </w:pPr>
      <w:r w:rsidRPr="00D00CC9">
        <w:rPr>
          <w:rFonts w:ascii="Arial" w:hAnsi="Arial" w:cs="Arial"/>
          <w:bCs/>
          <w:sz w:val="24"/>
          <w:szCs w:val="24"/>
          <w:lang w:val="es-ES"/>
        </w:rPr>
        <w:t xml:space="preserve">Presidente Consejo de Administración           </w:t>
      </w:r>
      <w:r w:rsidRPr="00D00CC9">
        <w:rPr>
          <w:rFonts w:ascii="Arial" w:hAnsi="Arial" w:cs="Arial"/>
          <w:bCs/>
          <w:sz w:val="24"/>
          <w:szCs w:val="24"/>
          <w:lang w:val="es-ES"/>
        </w:rPr>
        <w:tab/>
        <w:t>secretario Consejo de Administración</w:t>
      </w:r>
    </w:p>
    <w:p w14:paraId="405C1C23" w14:textId="77777777" w:rsidR="00D00CC9" w:rsidRPr="00D00CC9" w:rsidRDefault="00D00CC9" w:rsidP="00D00CC9">
      <w:pPr>
        <w:spacing w:after="0" w:line="240" w:lineRule="auto"/>
        <w:jc w:val="both"/>
        <w:rPr>
          <w:rFonts w:ascii="Arial" w:hAnsi="Arial" w:cs="Arial"/>
          <w:b/>
          <w:bCs/>
          <w:sz w:val="24"/>
          <w:szCs w:val="24"/>
        </w:rPr>
      </w:pPr>
      <w:r w:rsidRPr="00D00CC9">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1D3624ED" w14:textId="77777777" w:rsidR="00D00CC9" w:rsidRPr="00D00CC9" w:rsidRDefault="00D00CC9" w:rsidP="00962017">
      <w:pPr>
        <w:spacing w:after="0" w:line="240" w:lineRule="auto"/>
        <w:jc w:val="center"/>
        <w:rPr>
          <w:rFonts w:ascii="Arial" w:hAnsi="Arial" w:cs="Arial"/>
          <w:b/>
          <w:bCs/>
          <w:sz w:val="24"/>
          <w:szCs w:val="24"/>
        </w:rPr>
        <w:sectPr w:rsidR="00D00CC9" w:rsidRPr="00D00CC9" w:rsidSect="00D00CC9">
          <w:headerReference w:type="default" r:id="rId8"/>
          <w:footerReference w:type="default" r:id="rId9"/>
          <w:pgSz w:w="12240" w:h="15840" w:code="1"/>
          <w:pgMar w:top="1440" w:right="1440" w:bottom="1440" w:left="1440" w:header="1440" w:footer="1440" w:gutter="0"/>
          <w:cols w:space="708"/>
          <w:docGrid w:linePitch="360"/>
        </w:sectPr>
      </w:pPr>
    </w:p>
    <w:p w14:paraId="79DE895C" w14:textId="5DBC4647" w:rsidR="00962017" w:rsidRPr="00D00CC9" w:rsidRDefault="00D00CC9" w:rsidP="00962017">
      <w:pPr>
        <w:spacing w:after="0" w:line="240" w:lineRule="auto"/>
        <w:jc w:val="center"/>
        <w:rPr>
          <w:rFonts w:ascii="Arial" w:hAnsi="Arial" w:cs="Arial"/>
          <w:b/>
          <w:bCs/>
          <w:sz w:val="24"/>
          <w:szCs w:val="24"/>
        </w:rPr>
      </w:pPr>
      <w:r w:rsidRPr="00D00CC9">
        <w:rPr>
          <w:rFonts w:ascii="Arial" w:hAnsi="Arial" w:cs="Arial"/>
          <w:b/>
          <w:bCs/>
          <w:sz w:val="24"/>
          <w:szCs w:val="24"/>
        </w:rPr>
        <w:lastRenderedPageBreak/>
        <w:t>ANEXO 1</w:t>
      </w:r>
    </w:p>
    <w:p w14:paraId="69488F12" w14:textId="77777777" w:rsidR="00962017" w:rsidRPr="00D00CC9" w:rsidRDefault="00962017" w:rsidP="00962017">
      <w:pPr>
        <w:spacing w:after="0" w:line="240" w:lineRule="auto"/>
        <w:jc w:val="center"/>
        <w:rPr>
          <w:rFonts w:ascii="Arial" w:hAnsi="Arial" w:cs="Arial"/>
          <w:b/>
          <w:bCs/>
          <w:sz w:val="24"/>
          <w:szCs w:val="24"/>
        </w:rPr>
      </w:pPr>
    </w:p>
    <w:p w14:paraId="1FA5A119" w14:textId="77777777" w:rsidR="00962017" w:rsidRPr="00D00CC9" w:rsidRDefault="00962017" w:rsidP="00962017">
      <w:pPr>
        <w:spacing w:after="0" w:line="240" w:lineRule="auto"/>
        <w:jc w:val="center"/>
        <w:rPr>
          <w:rFonts w:ascii="Arial" w:hAnsi="Arial" w:cs="Arial"/>
          <w:b/>
          <w:bCs/>
          <w:sz w:val="24"/>
          <w:szCs w:val="24"/>
        </w:rPr>
      </w:pPr>
    </w:p>
    <w:p w14:paraId="302203B7" w14:textId="77777777" w:rsidR="00962017" w:rsidRPr="00D00CC9" w:rsidRDefault="00962017" w:rsidP="00962017">
      <w:pPr>
        <w:spacing w:after="0" w:line="240" w:lineRule="auto"/>
        <w:jc w:val="center"/>
        <w:rPr>
          <w:rFonts w:ascii="Arial" w:hAnsi="Arial" w:cs="Arial"/>
          <w:b/>
          <w:bCs/>
          <w:sz w:val="24"/>
          <w:szCs w:val="24"/>
        </w:rPr>
      </w:pPr>
    </w:p>
    <w:p w14:paraId="23F54FD6" w14:textId="77777777" w:rsidR="00962017" w:rsidRPr="00D00CC9" w:rsidRDefault="00962017" w:rsidP="00962017">
      <w:pPr>
        <w:spacing w:after="0" w:line="240" w:lineRule="auto"/>
        <w:jc w:val="center"/>
        <w:rPr>
          <w:rFonts w:ascii="Arial" w:hAnsi="Arial" w:cs="Arial"/>
          <w:b/>
          <w:bCs/>
          <w:sz w:val="52"/>
          <w:szCs w:val="52"/>
        </w:rPr>
      </w:pPr>
    </w:p>
    <w:p w14:paraId="15047BBE" w14:textId="77777777" w:rsidR="00335845" w:rsidRPr="00D00CC9" w:rsidRDefault="00335845" w:rsidP="00962017">
      <w:pPr>
        <w:spacing w:after="0" w:line="240" w:lineRule="auto"/>
        <w:jc w:val="center"/>
        <w:rPr>
          <w:rFonts w:ascii="Arial" w:hAnsi="Arial" w:cs="Arial"/>
          <w:b/>
          <w:bCs/>
          <w:sz w:val="52"/>
          <w:szCs w:val="52"/>
        </w:rPr>
      </w:pPr>
    </w:p>
    <w:p w14:paraId="680BE7EF" w14:textId="77777777" w:rsidR="00335845" w:rsidRPr="00D00CC9" w:rsidRDefault="00335845" w:rsidP="00962017">
      <w:pPr>
        <w:spacing w:after="0" w:line="240" w:lineRule="auto"/>
        <w:jc w:val="center"/>
        <w:rPr>
          <w:rFonts w:ascii="Arial" w:hAnsi="Arial" w:cs="Arial"/>
          <w:b/>
          <w:bCs/>
          <w:sz w:val="52"/>
          <w:szCs w:val="52"/>
        </w:rPr>
      </w:pPr>
    </w:p>
    <w:p w14:paraId="2BCDB9B5" w14:textId="77777777" w:rsidR="00962017" w:rsidRPr="00D00CC9" w:rsidRDefault="00962017" w:rsidP="00962017">
      <w:pPr>
        <w:spacing w:after="0" w:line="240" w:lineRule="auto"/>
        <w:jc w:val="center"/>
        <w:rPr>
          <w:rFonts w:ascii="Arial" w:hAnsi="Arial" w:cs="Arial"/>
          <w:b/>
          <w:bCs/>
          <w:sz w:val="52"/>
          <w:szCs w:val="52"/>
        </w:rPr>
      </w:pPr>
    </w:p>
    <w:p w14:paraId="0E5A0E3A" w14:textId="77777777" w:rsidR="00962017" w:rsidRPr="00D00CC9" w:rsidRDefault="00962017" w:rsidP="00962017">
      <w:pPr>
        <w:spacing w:after="0" w:line="240" w:lineRule="auto"/>
        <w:jc w:val="center"/>
        <w:rPr>
          <w:rFonts w:ascii="Arial" w:hAnsi="Arial" w:cs="Arial"/>
          <w:b/>
          <w:bCs/>
          <w:sz w:val="52"/>
          <w:szCs w:val="52"/>
        </w:rPr>
      </w:pPr>
    </w:p>
    <w:p w14:paraId="2FE086C3" w14:textId="77777777" w:rsidR="006017D6" w:rsidRPr="00D00CC9" w:rsidRDefault="00F70E72" w:rsidP="006017D6">
      <w:pPr>
        <w:pStyle w:val="Encabezado"/>
        <w:jc w:val="center"/>
        <w:rPr>
          <w:rFonts w:ascii="Arial" w:eastAsia="Batang" w:hAnsi="Arial" w:cs="Arial"/>
          <w:b/>
          <w:bCs/>
          <w:sz w:val="52"/>
          <w:szCs w:val="52"/>
          <w:lang w:val="es-ES"/>
        </w:rPr>
      </w:pPr>
      <w:r w:rsidRPr="00D00CC9">
        <w:rPr>
          <w:rFonts w:ascii="Arial" w:eastAsia="Batang" w:hAnsi="Arial" w:cs="Arial"/>
          <w:b/>
          <w:bCs/>
          <w:sz w:val="52"/>
          <w:szCs w:val="52"/>
          <w:lang w:val="es-ES"/>
        </w:rPr>
        <w:t xml:space="preserve">MANUAL </w:t>
      </w:r>
      <w:r w:rsidR="006017D6" w:rsidRPr="00D00CC9">
        <w:rPr>
          <w:rFonts w:ascii="Arial" w:eastAsia="Batang" w:hAnsi="Arial" w:cs="Arial"/>
          <w:b/>
          <w:bCs/>
          <w:sz w:val="52"/>
          <w:szCs w:val="52"/>
          <w:lang w:val="es-ES"/>
        </w:rPr>
        <w:t xml:space="preserve">APLICACIÓN </w:t>
      </w:r>
    </w:p>
    <w:p w14:paraId="539EA973" w14:textId="77777777" w:rsidR="006017D6" w:rsidRPr="00D00CC9" w:rsidRDefault="006017D6" w:rsidP="006017D6">
      <w:pPr>
        <w:pStyle w:val="Encabezado"/>
        <w:jc w:val="center"/>
        <w:rPr>
          <w:rFonts w:ascii="Arial" w:eastAsia="Batang" w:hAnsi="Arial" w:cs="Arial"/>
          <w:b/>
          <w:bCs/>
          <w:sz w:val="52"/>
          <w:szCs w:val="52"/>
          <w:lang w:val="es-ES"/>
        </w:rPr>
      </w:pPr>
      <w:r w:rsidRPr="00D00CC9">
        <w:rPr>
          <w:rFonts w:ascii="Arial" w:eastAsia="Batang" w:hAnsi="Arial" w:cs="Arial"/>
          <w:b/>
          <w:bCs/>
          <w:sz w:val="52"/>
          <w:szCs w:val="52"/>
          <w:lang w:val="es-ES"/>
        </w:rPr>
        <w:t xml:space="preserve">MODELO CAMEL PARA </w:t>
      </w:r>
    </w:p>
    <w:p w14:paraId="08D78CFA" w14:textId="77777777" w:rsidR="00962017" w:rsidRPr="00D00CC9" w:rsidRDefault="006017D6" w:rsidP="006017D6">
      <w:pPr>
        <w:pStyle w:val="Encabezado"/>
        <w:jc w:val="center"/>
        <w:rPr>
          <w:rFonts w:ascii="Arial" w:hAnsi="Arial" w:cs="Arial"/>
          <w:b/>
          <w:bCs/>
          <w:sz w:val="52"/>
          <w:szCs w:val="52"/>
        </w:rPr>
      </w:pPr>
      <w:r w:rsidRPr="00D00CC9">
        <w:rPr>
          <w:rFonts w:ascii="Arial" w:eastAsia="Batang" w:hAnsi="Arial" w:cs="Arial"/>
          <w:b/>
          <w:bCs/>
          <w:sz w:val="52"/>
          <w:szCs w:val="52"/>
          <w:lang w:val="es-ES"/>
        </w:rPr>
        <w:t>ANÁLISIS DE RIESGO EMISOR – DEPOSITARIO Y CONTRAPARTE</w:t>
      </w:r>
    </w:p>
    <w:p w14:paraId="50481163" w14:textId="77777777" w:rsidR="00962017" w:rsidRPr="00D00CC9" w:rsidRDefault="00962017" w:rsidP="00962017">
      <w:pPr>
        <w:spacing w:after="0" w:line="240" w:lineRule="auto"/>
        <w:jc w:val="center"/>
        <w:rPr>
          <w:rFonts w:ascii="Arial" w:hAnsi="Arial" w:cs="Arial"/>
          <w:b/>
          <w:bCs/>
          <w:sz w:val="52"/>
          <w:szCs w:val="52"/>
        </w:rPr>
      </w:pPr>
    </w:p>
    <w:p w14:paraId="77CFD023" w14:textId="77777777" w:rsidR="00962017" w:rsidRPr="00D00CC9" w:rsidRDefault="00962017" w:rsidP="00962017">
      <w:pPr>
        <w:spacing w:after="0" w:line="240" w:lineRule="auto"/>
        <w:jc w:val="center"/>
        <w:rPr>
          <w:rFonts w:ascii="Arial" w:hAnsi="Arial" w:cs="Arial"/>
          <w:b/>
          <w:bCs/>
          <w:sz w:val="52"/>
          <w:szCs w:val="52"/>
        </w:rPr>
      </w:pPr>
    </w:p>
    <w:p w14:paraId="7A70D25C" w14:textId="77777777" w:rsidR="00962017" w:rsidRPr="00D00CC9" w:rsidRDefault="00962017" w:rsidP="00962017">
      <w:pPr>
        <w:spacing w:after="0" w:line="240" w:lineRule="auto"/>
        <w:jc w:val="center"/>
        <w:rPr>
          <w:rFonts w:ascii="Arial" w:hAnsi="Arial" w:cs="Arial"/>
          <w:b/>
          <w:bCs/>
          <w:sz w:val="52"/>
          <w:szCs w:val="52"/>
        </w:rPr>
      </w:pPr>
    </w:p>
    <w:p w14:paraId="5543192B" w14:textId="77777777" w:rsidR="00962017" w:rsidRPr="00D00CC9" w:rsidRDefault="00962017" w:rsidP="00962017">
      <w:pPr>
        <w:spacing w:after="0" w:line="240" w:lineRule="auto"/>
        <w:jc w:val="center"/>
        <w:rPr>
          <w:rFonts w:ascii="Arial" w:hAnsi="Arial" w:cs="Arial"/>
          <w:b/>
          <w:bCs/>
          <w:sz w:val="52"/>
          <w:szCs w:val="52"/>
        </w:rPr>
      </w:pPr>
    </w:p>
    <w:p w14:paraId="0A29694E" w14:textId="77777777" w:rsidR="00962017" w:rsidRPr="00D00CC9" w:rsidRDefault="00962017" w:rsidP="00962017">
      <w:pPr>
        <w:spacing w:after="0" w:line="240" w:lineRule="auto"/>
        <w:jc w:val="center"/>
        <w:rPr>
          <w:rFonts w:ascii="Arial" w:hAnsi="Arial" w:cs="Arial"/>
          <w:b/>
          <w:bCs/>
          <w:sz w:val="24"/>
          <w:szCs w:val="24"/>
        </w:rPr>
      </w:pPr>
    </w:p>
    <w:p w14:paraId="29E40093" w14:textId="77777777" w:rsidR="00962017" w:rsidRPr="00D00CC9" w:rsidRDefault="00962017">
      <w:pPr>
        <w:rPr>
          <w:rFonts w:ascii="Arial" w:hAnsi="Arial" w:cs="Arial"/>
          <w:sz w:val="24"/>
          <w:szCs w:val="24"/>
        </w:rPr>
      </w:pPr>
    </w:p>
    <w:p w14:paraId="2AF6CF2F" w14:textId="77777777" w:rsidR="00962017" w:rsidRPr="00D00CC9" w:rsidRDefault="00962017">
      <w:pPr>
        <w:rPr>
          <w:rFonts w:ascii="Arial" w:hAnsi="Arial" w:cs="Arial"/>
          <w:sz w:val="24"/>
          <w:szCs w:val="24"/>
        </w:rPr>
      </w:pPr>
    </w:p>
    <w:p w14:paraId="5977185D" w14:textId="77777777" w:rsidR="00962017" w:rsidRPr="00D00CC9" w:rsidRDefault="00962017">
      <w:pPr>
        <w:rPr>
          <w:rFonts w:ascii="Arial" w:hAnsi="Arial" w:cs="Arial"/>
          <w:sz w:val="24"/>
          <w:szCs w:val="24"/>
        </w:rPr>
      </w:pPr>
    </w:p>
    <w:p w14:paraId="66313CCF" w14:textId="77777777" w:rsidR="00D00CC9" w:rsidRPr="00D00CC9" w:rsidRDefault="005D496B" w:rsidP="00D00CC9">
      <w:pPr>
        <w:widowControl w:val="0"/>
        <w:adjustRightInd w:val="0"/>
        <w:snapToGrid w:val="0"/>
        <w:ind w:left="851" w:hanging="851"/>
        <w:jc w:val="both"/>
        <w:rPr>
          <w:rFonts w:ascii="Arial" w:hAnsi="Arial" w:cs="Arial"/>
          <w:b/>
          <w:sz w:val="24"/>
          <w:szCs w:val="24"/>
        </w:rPr>
        <w:sectPr w:rsidR="00D00CC9" w:rsidRPr="00D00CC9" w:rsidSect="00D00CC9">
          <w:pgSz w:w="12240" w:h="15840"/>
          <w:pgMar w:top="1440" w:right="1440" w:bottom="1440" w:left="1440" w:header="708" w:footer="708" w:gutter="0"/>
          <w:cols w:space="708"/>
          <w:docGrid w:linePitch="360"/>
        </w:sectPr>
      </w:pPr>
      <w:r w:rsidRPr="00D00CC9">
        <w:rPr>
          <w:rFonts w:ascii="Arial" w:hAnsi="Arial" w:cs="Arial"/>
          <w:b/>
          <w:sz w:val="24"/>
          <w:szCs w:val="24"/>
        </w:rPr>
        <w:br w:type="page"/>
      </w:r>
    </w:p>
    <w:p w14:paraId="003A90F3" w14:textId="1AE0F826" w:rsidR="005D496B" w:rsidRPr="00D00CC9" w:rsidRDefault="005D496B" w:rsidP="00D00CC9">
      <w:pPr>
        <w:widowControl w:val="0"/>
        <w:adjustRightInd w:val="0"/>
        <w:snapToGrid w:val="0"/>
        <w:ind w:left="851" w:hanging="851"/>
        <w:jc w:val="both"/>
        <w:rPr>
          <w:rFonts w:ascii="Arial" w:hAnsi="Arial" w:cs="Arial"/>
          <w:sz w:val="24"/>
          <w:szCs w:val="24"/>
        </w:rPr>
      </w:pPr>
      <w:r w:rsidRPr="00D00CC9">
        <w:rPr>
          <w:rFonts w:ascii="Arial" w:hAnsi="Arial" w:cs="Arial"/>
          <w:sz w:val="24"/>
          <w:szCs w:val="24"/>
          <w:lang w:val="es-ES"/>
        </w:rPr>
        <w:lastRenderedPageBreak/>
        <w:t>Contenido</w:t>
      </w:r>
    </w:p>
    <w:p w14:paraId="61D76463" w14:textId="77777777" w:rsidR="00331FEA" w:rsidRPr="00D00CC9" w:rsidRDefault="005D496B">
      <w:pPr>
        <w:pStyle w:val="TDC1"/>
        <w:rPr>
          <w:rFonts w:ascii="Arial" w:hAnsi="Arial" w:cs="Arial"/>
          <w:b w:val="0"/>
          <w:bCs w:val="0"/>
          <w:caps w:val="0"/>
          <w:noProof/>
          <w:lang w:val="en-US"/>
        </w:rPr>
      </w:pPr>
      <w:r w:rsidRPr="00D00CC9">
        <w:rPr>
          <w:rFonts w:ascii="Arial" w:hAnsi="Arial" w:cs="Arial"/>
        </w:rPr>
        <w:fldChar w:fldCharType="begin"/>
      </w:r>
      <w:r w:rsidRPr="00D00CC9">
        <w:rPr>
          <w:rFonts w:ascii="Arial" w:hAnsi="Arial" w:cs="Arial"/>
        </w:rPr>
        <w:instrText xml:space="preserve"> TOC \o "1-3" \h \z \u </w:instrText>
      </w:r>
      <w:r w:rsidRPr="00D00CC9">
        <w:rPr>
          <w:rFonts w:ascii="Arial" w:hAnsi="Arial" w:cs="Arial"/>
        </w:rPr>
        <w:fldChar w:fldCharType="separate"/>
      </w:r>
      <w:hyperlink w:anchor="_Toc96174824" w:history="1">
        <w:r w:rsidR="00331FEA" w:rsidRPr="00D00CC9">
          <w:rPr>
            <w:rStyle w:val="Hipervnculo"/>
            <w:rFonts w:ascii="Arial" w:hAnsi="Arial" w:cs="Arial"/>
            <w:noProof/>
            <w:color w:val="auto"/>
          </w:rPr>
          <w:t>INTRODUCCION</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_Toc96174824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4</w:t>
        </w:r>
        <w:r w:rsidR="00331FEA" w:rsidRPr="00D00CC9">
          <w:rPr>
            <w:rFonts w:ascii="Arial" w:hAnsi="Arial" w:cs="Arial"/>
            <w:noProof/>
            <w:webHidden/>
          </w:rPr>
          <w:fldChar w:fldCharType="end"/>
        </w:r>
      </w:hyperlink>
    </w:p>
    <w:p w14:paraId="1F3306F4" w14:textId="439C81ED" w:rsidR="00331FEA" w:rsidRPr="00D00CC9" w:rsidRDefault="00C6298D">
      <w:pPr>
        <w:pStyle w:val="TDC1"/>
        <w:rPr>
          <w:rFonts w:ascii="Arial" w:hAnsi="Arial" w:cs="Arial"/>
          <w:b w:val="0"/>
          <w:bCs w:val="0"/>
          <w:caps w:val="0"/>
          <w:noProof/>
          <w:lang w:val="en-US"/>
        </w:rPr>
      </w:pPr>
      <w:hyperlink w:anchor="_Toc96174825" w:history="1">
        <w:r w:rsidR="00331FEA" w:rsidRPr="00D00CC9">
          <w:rPr>
            <w:rStyle w:val="Hipervnculo"/>
            <w:rFonts w:ascii="Arial" w:hAnsi="Arial" w:cs="Arial"/>
            <w:noProof/>
            <w:color w:val="auto"/>
          </w:rPr>
          <w:t>OBJETIVO GENERAL</w:t>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_Toc96174825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5</w:t>
        </w:r>
        <w:r w:rsidR="00331FEA" w:rsidRPr="00D00CC9">
          <w:rPr>
            <w:rFonts w:ascii="Arial" w:hAnsi="Arial" w:cs="Arial"/>
            <w:noProof/>
            <w:webHidden/>
          </w:rPr>
          <w:fldChar w:fldCharType="end"/>
        </w:r>
      </w:hyperlink>
    </w:p>
    <w:p w14:paraId="039E9077" w14:textId="77777777" w:rsidR="00331FEA" w:rsidRPr="00D00CC9" w:rsidRDefault="00C6298D">
      <w:pPr>
        <w:pStyle w:val="TDC1"/>
        <w:rPr>
          <w:rFonts w:ascii="Arial" w:hAnsi="Arial" w:cs="Arial"/>
          <w:b w:val="0"/>
          <w:bCs w:val="0"/>
          <w:caps w:val="0"/>
          <w:noProof/>
          <w:lang w:val="en-US"/>
        </w:rPr>
      </w:pPr>
      <w:hyperlink w:anchor="_Toc96174826" w:history="1">
        <w:r w:rsidR="00331FEA" w:rsidRPr="00D00CC9">
          <w:rPr>
            <w:rStyle w:val="Hipervnculo"/>
            <w:rFonts w:ascii="Arial" w:hAnsi="Arial" w:cs="Arial"/>
            <w:noProof/>
            <w:color w:val="auto"/>
          </w:rPr>
          <w:t>OBJETIVO ESPECIFICOS</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_Toc96174826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5</w:t>
        </w:r>
        <w:r w:rsidR="00331FEA" w:rsidRPr="00D00CC9">
          <w:rPr>
            <w:rFonts w:ascii="Arial" w:hAnsi="Arial" w:cs="Arial"/>
            <w:noProof/>
            <w:webHidden/>
          </w:rPr>
          <w:fldChar w:fldCharType="end"/>
        </w:r>
      </w:hyperlink>
    </w:p>
    <w:p w14:paraId="7518E631" w14:textId="77777777" w:rsidR="00331FEA" w:rsidRPr="00D00CC9" w:rsidRDefault="00C6298D">
      <w:pPr>
        <w:pStyle w:val="TDC1"/>
        <w:rPr>
          <w:rFonts w:ascii="Arial" w:hAnsi="Arial" w:cs="Arial"/>
          <w:b w:val="0"/>
          <w:bCs w:val="0"/>
          <w:caps w:val="0"/>
          <w:noProof/>
          <w:lang w:val="en-US"/>
        </w:rPr>
      </w:pPr>
      <w:hyperlink w:anchor="_Toc96174827" w:history="1">
        <w:r w:rsidR="00331FEA" w:rsidRPr="00D00CC9">
          <w:rPr>
            <w:rStyle w:val="Hipervnculo"/>
            <w:rFonts w:ascii="Arial" w:hAnsi="Arial" w:cs="Arial"/>
            <w:noProof/>
            <w:color w:val="auto"/>
          </w:rPr>
          <w:t>PRINCIPIOS DE LA GESTIÓN DE RIESGOS</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_Toc96174827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5</w:t>
        </w:r>
        <w:r w:rsidR="00331FEA" w:rsidRPr="00D00CC9">
          <w:rPr>
            <w:rFonts w:ascii="Arial" w:hAnsi="Arial" w:cs="Arial"/>
            <w:noProof/>
            <w:webHidden/>
          </w:rPr>
          <w:fldChar w:fldCharType="end"/>
        </w:r>
      </w:hyperlink>
    </w:p>
    <w:p w14:paraId="5743D225" w14:textId="77777777" w:rsidR="00331FEA" w:rsidRPr="00D00CC9" w:rsidRDefault="00C6298D">
      <w:pPr>
        <w:pStyle w:val="TDC1"/>
        <w:rPr>
          <w:rFonts w:ascii="Arial" w:hAnsi="Arial" w:cs="Arial"/>
          <w:b w:val="0"/>
          <w:bCs w:val="0"/>
          <w:caps w:val="0"/>
          <w:noProof/>
          <w:lang w:val="en-US"/>
        </w:rPr>
      </w:pPr>
      <w:hyperlink w:anchor="_Toc96174828" w:history="1">
        <w:r w:rsidR="00331FEA" w:rsidRPr="00D00CC9">
          <w:rPr>
            <w:rStyle w:val="Hipervnculo"/>
            <w:rFonts w:ascii="Arial" w:hAnsi="Arial" w:cs="Arial"/>
            <w:noProof/>
            <w:color w:val="auto"/>
          </w:rPr>
          <w:t>GLOSARIO</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_Toc96174828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5</w:t>
        </w:r>
        <w:r w:rsidR="00331FEA" w:rsidRPr="00D00CC9">
          <w:rPr>
            <w:rFonts w:ascii="Arial" w:hAnsi="Arial" w:cs="Arial"/>
            <w:noProof/>
            <w:webHidden/>
          </w:rPr>
          <w:fldChar w:fldCharType="end"/>
        </w:r>
      </w:hyperlink>
    </w:p>
    <w:p w14:paraId="5FE1C874" w14:textId="77777777" w:rsidR="00331FEA" w:rsidRPr="00D00CC9" w:rsidRDefault="00C6298D">
      <w:pPr>
        <w:pStyle w:val="TDC1"/>
        <w:rPr>
          <w:rFonts w:ascii="Arial" w:hAnsi="Arial" w:cs="Arial"/>
          <w:b w:val="0"/>
          <w:bCs w:val="0"/>
          <w:caps w:val="0"/>
          <w:noProof/>
          <w:lang w:val="en-US"/>
        </w:rPr>
      </w:pPr>
      <w:hyperlink w:anchor="_Toc96174829" w:history="1">
        <w:r w:rsidR="00331FEA" w:rsidRPr="00D00CC9">
          <w:rPr>
            <w:rStyle w:val="Hipervnculo"/>
            <w:rFonts w:ascii="Arial" w:hAnsi="Arial" w:cs="Arial"/>
            <w:noProof/>
            <w:color w:val="auto"/>
          </w:rPr>
          <w:t>ANTECEDENTES</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_Toc96174829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10</w:t>
        </w:r>
        <w:r w:rsidR="00331FEA" w:rsidRPr="00D00CC9">
          <w:rPr>
            <w:rFonts w:ascii="Arial" w:hAnsi="Arial" w:cs="Arial"/>
            <w:noProof/>
            <w:webHidden/>
          </w:rPr>
          <w:fldChar w:fldCharType="end"/>
        </w:r>
      </w:hyperlink>
    </w:p>
    <w:p w14:paraId="73D4035F" w14:textId="77777777" w:rsidR="00331FEA" w:rsidRPr="00D00CC9" w:rsidRDefault="00C6298D">
      <w:pPr>
        <w:pStyle w:val="TDC1"/>
        <w:rPr>
          <w:rFonts w:ascii="Arial" w:hAnsi="Arial" w:cs="Arial"/>
          <w:b w:val="0"/>
          <w:bCs w:val="0"/>
          <w:caps w:val="0"/>
          <w:noProof/>
          <w:lang w:val="en-US"/>
        </w:rPr>
      </w:pPr>
      <w:hyperlink w:anchor="_Toc96174830" w:history="1">
        <w:r w:rsidR="00331FEA" w:rsidRPr="00D00CC9">
          <w:rPr>
            <w:rStyle w:val="Hipervnculo"/>
            <w:rFonts w:ascii="Arial" w:hAnsi="Arial" w:cs="Arial"/>
            <w:noProof/>
            <w:color w:val="auto"/>
          </w:rPr>
          <w:t>NORMATIVA</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_Toc96174830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11</w:t>
        </w:r>
        <w:r w:rsidR="00331FEA" w:rsidRPr="00D00CC9">
          <w:rPr>
            <w:rFonts w:ascii="Arial" w:hAnsi="Arial" w:cs="Arial"/>
            <w:noProof/>
            <w:webHidden/>
          </w:rPr>
          <w:fldChar w:fldCharType="end"/>
        </w:r>
      </w:hyperlink>
    </w:p>
    <w:p w14:paraId="27924FAB" w14:textId="77777777" w:rsidR="00331FEA" w:rsidRPr="00D00CC9" w:rsidRDefault="00C6298D">
      <w:pPr>
        <w:pStyle w:val="TDC1"/>
        <w:rPr>
          <w:rFonts w:ascii="Arial" w:hAnsi="Arial" w:cs="Arial"/>
          <w:b w:val="0"/>
          <w:bCs w:val="0"/>
          <w:caps w:val="0"/>
          <w:noProof/>
          <w:lang w:val="en-US"/>
        </w:rPr>
      </w:pPr>
      <w:hyperlink w:anchor="_Toc96174831" w:history="1">
        <w:r w:rsidR="00331FEA" w:rsidRPr="00D00CC9">
          <w:rPr>
            <w:rStyle w:val="Hipervnculo"/>
            <w:rFonts w:ascii="Arial" w:hAnsi="Arial" w:cs="Arial"/>
            <w:noProof/>
            <w:color w:val="auto"/>
          </w:rPr>
          <w:t>1.</w:t>
        </w:r>
        <w:r w:rsidR="00331FEA" w:rsidRPr="00D00CC9">
          <w:rPr>
            <w:rFonts w:ascii="Arial" w:hAnsi="Arial" w:cs="Arial"/>
            <w:b w:val="0"/>
            <w:bCs w:val="0"/>
            <w:caps w:val="0"/>
            <w:noProof/>
            <w:lang w:val="en-US"/>
          </w:rPr>
          <w:tab/>
        </w:r>
        <w:r w:rsidR="00331FEA" w:rsidRPr="00D00CC9">
          <w:rPr>
            <w:rStyle w:val="Hipervnculo"/>
            <w:rFonts w:ascii="Arial" w:hAnsi="Arial" w:cs="Arial"/>
            <w:noProof/>
            <w:color w:val="auto"/>
          </w:rPr>
          <w:t>METODOLOGÍA DE CÁLCULO PERFIL GLOBAL DE RIESGO DE MERCADO</w:t>
        </w:r>
        <w:r w:rsidR="00331FEA" w:rsidRPr="00D00CC9">
          <w:rPr>
            <w:rFonts w:ascii="Arial" w:hAnsi="Arial" w:cs="Arial"/>
            <w:noProof/>
            <w:webHidden/>
          </w:rPr>
          <w:tab/>
        </w:r>
        <w:r w:rsidR="00331FEA" w:rsidRPr="00D00CC9">
          <w:rPr>
            <w:rFonts w:ascii="Arial" w:hAnsi="Arial" w:cs="Arial"/>
            <w:noProof/>
            <w:webHidden/>
          </w:rPr>
          <w:fldChar w:fldCharType="begin"/>
        </w:r>
        <w:r w:rsidR="00331FEA" w:rsidRPr="00D00CC9">
          <w:rPr>
            <w:rFonts w:ascii="Arial" w:hAnsi="Arial" w:cs="Arial"/>
            <w:noProof/>
            <w:webHidden/>
          </w:rPr>
          <w:instrText xml:space="preserve"> PAGEREF _Toc96174831 \h </w:instrText>
        </w:r>
        <w:r w:rsidR="00331FEA" w:rsidRPr="00D00CC9">
          <w:rPr>
            <w:rFonts w:ascii="Arial" w:hAnsi="Arial" w:cs="Arial"/>
            <w:noProof/>
            <w:webHidden/>
          </w:rPr>
        </w:r>
        <w:r w:rsidR="00331FEA" w:rsidRPr="00D00CC9">
          <w:rPr>
            <w:rFonts w:ascii="Arial" w:hAnsi="Arial" w:cs="Arial"/>
            <w:noProof/>
            <w:webHidden/>
          </w:rPr>
          <w:fldChar w:fldCharType="separate"/>
        </w:r>
        <w:r w:rsidR="00331FEA" w:rsidRPr="00D00CC9">
          <w:rPr>
            <w:rFonts w:ascii="Arial" w:hAnsi="Arial" w:cs="Arial"/>
            <w:noProof/>
            <w:webHidden/>
          </w:rPr>
          <w:t>12</w:t>
        </w:r>
        <w:r w:rsidR="00331FEA" w:rsidRPr="00D00CC9">
          <w:rPr>
            <w:rFonts w:ascii="Arial" w:hAnsi="Arial" w:cs="Arial"/>
            <w:noProof/>
            <w:webHidden/>
          </w:rPr>
          <w:fldChar w:fldCharType="end"/>
        </w:r>
      </w:hyperlink>
    </w:p>
    <w:p w14:paraId="33072C36" w14:textId="77777777" w:rsidR="00331FEA" w:rsidRPr="00D00CC9" w:rsidRDefault="00C6298D">
      <w:pPr>
        <w:pStyle w:val="TDC2"/>
        <w:tabs>
          <w:tab w:val="left" w:pos="660"/>
          <w:tab w:val="right" w:leader="dot" w:pos="9629"/>
        </w:tabs>
        <w:rPr>
          <w:rFonts w:ascii="Arial" w:hAnsi="Arial" w:cs="Arial"/>
          <w:b w:val="0"/>
          <w:bCs w:val="0"/>
          <w:noProof/>
          <w:sz w:val="24"/>
          <w:szCs w:val="24"/>
          <w:lang w:val="en-US"/>
        </w:rPr>
      </w:pPr>
      <w:hyperlink w:anchor="_Toc96174832" w:history="1">
        <w:r w:rsidR="00331FEA" w:rsidRPr="00D00CC9">
          <w:rPr>
            <w:rStyle w:val="Hipervnculo"/>
            <w:rFonts w:ascii="Arial" w:hAnsi="Arial" w:cs="Arial"/>
            <w:noProof/>
            <w:color w:val="auto"/>
            <w:sz w:val="24"/>
            <w:szCs w:val="24"/>
          </w:rPr>
          <w:t>1.1.</w:t>
        </w:r>
        <w:r w:rsidR="00331FEA" w:rsidRPr="00D00CC9">
          <w:rPr>
            <w:rFonts w:ascii="Arial" w:hAnsi="Arial" w:cs="Arial"/>
            <w:b w:val="0"/>
            <w:bCs w:val="0"/>
            <w:noProof/>
            <w:sz w:val="24"/>
            <w:szCs w:val="24"/>
            <w:lang w:val="en-US"/>
          </w:rPr>
          <w:tab/>
        </w:r>
        <w:r w:rsidR="00331FEA" w:rsidRPr="00D00CC9">
          <w:rPr>
            <w:rStyle w:val="Hipervnculo"/>
            <w:rFonts w:ascii="Arial" w:hAnsi="Arial" w:cs="Arial"/>
            <w:noProof/>
            <w:color w:val="auto"/>
            <w:sz w:val="24"/>
            <w:szCs w:val="24"/>
          </w:rPr>
          <w:t>PERFIL GLOBAL DE RIESGO DE MERCADO</w:t>
        </w:r>
        <w:r w:rsidR="00331FEA" w:rsidRPr="00D00CC9">
          <w:rPr>
            <w:rFonts w:ascii="Arial" w:hAnsi="Arial" w:cs="Arial"/>
            <w:noProof/>
            <w:webHidden/>
            <w:sz w:val="24"/>
            <w:szCs w:val="24"/>
          </w:rPr>
          <w:tab/>
        </w:r>
        <w:r w:rsidR="00331FEA" w:rsidRPr="00D00CC9">
          <w:rPr>
            <w:rFonts w:ascii="Arial" w:hAnsi="Arial" w:cs="Arial"/>
            <w:noProof/>
            <w:webHidden/>
            <w:sz w:val="24"/>
            <w:szCs w:val="24"/>
          </w:rPr>
          <w:fldChar w:fldCharType="begin"/>
        </w:r>
        <w:r w:rsidR="00331FEA" w:rsidRPr="00D00CC9">
          <w:rPr>
            <w:rFonts w:ascii="Arial" w:hAnsi="Arial" w:cs="Arial"/>
            <w:noProof/>
            <w:webHidden/>
            <w:sz w:val="24"/>
            <w:szCs w:val="24"/>
          </w:rPr>
          <w:instrText xml:space="preserve"> PAGEREF _Toc96174832 \h </w:instrText>
        </w:r>
        <w:r w:rsidR="00331FEA" w:rsidRPr="00D00CC9">
          <w:rPr>
            <w:rFonts w:ascii="Arial" w:hAnsi="Arial" w:cs="Arial"/>
            <w:noProof/>
            <w:webHidden/>
            <w:sz w:val="24"/>
            <w:szCs w:val="24"/>
          </w:rPr>
        </w:r>
        <w:r w:rsidR="00331FEA" w:rsidRPr="00D00CC9">
          <w:rPr>
            <w:rFonts w:ascii="Arial" w:hAnsi="Arial" w:cs="Arial"/>
            <w:noProof/>
            <w:webHidden/>
            <w:sz w:val="24"/>
            <w:szCs w:val="24"/>
          </w:rPr>
          <w:fldChar w:fldCharType="separate"/>
        </w:r>
        <w:r w:rsidR="00331FEA" w:rsidRPr="00D00CC9">
          <w:rPr>
            <w:rFonts w:ascii="Arial" w:hAnsi="Arial" w:cs="Arial"/>
            <w:noProof/>
            <w:webHidden/>
            <w:sz w:val="24"/>
            <w:szCs w:val="24"/>
          </w:rPr>
          <w:t>12</w:t>
        </w:r>
        <w:r w:rsidR="00331FEA" w:rsidRPr="00D00CC9">
          <w:rPr>
            <w:rFonts w:ascii="Arial" w:hAnsi="Arial" w:cs="Arial"/>
            <w:noProof/>
            <w:webHidden/>
            <w:sz w:val="24"/>
            <w:szCs w:val="24"/>
          </w:rPr>
          <w:fldChar w:fldCharType="end"/>
        </w:r>
      </w:hyperlink>
    </w:p>
    <w:p w14:paraId="3537EC55" w14:textId="77777777" w:rsidR="00331FEA" w:rsidRPr="00D00CC9" w:rsidRDefault="00C6298D">
      <w:pPr>
        <w:pStyle w:val="TDC2"/>
        <w:tabs>
          <w:tab w:val="left" w:pos="660"/>
          <w:tab w:val="right" w:leader="dot" w:pos="9629"/>
        </w:tabs>
        <w:rPr>
          <w:rFonts w:ascii="Arial" w:hAnsi="Arial" w:cs="Arial"/>
          <w:b w:val="0"/>
          <w:bCs w:val="0"/>
          <w:noProof/>
          <w:sz w:val="24"/>
          <w:szCs w:val="24"/>
          <w:lang w:val="en-US"/>
        </w:rPr>
      </w:pPr>
      <w:hyperlink w:anchor="_Toc96174833" w:history="1">
        <w:r w:rsidR="00331FEA" w:rsidRPr="00D00CC9">
          <w:rPr>
            <w:rStyle w:val="Hipervnculo"/>
            <w:rFonts w:ascii="Arial" w:hAnsi="Arial" w:cs="Arial"/>
            <w:noProof/>
            <w:color w:val="auto"/>
            <w:sz w:val="24"/>
            <w:szCs w:val="24"/>
          </w:rPr>
          <w:t>1.2.</w:t>
        </w:r>
        <w:r w:rsidR="00331FEA" w:rsidRPr="00D00CC9">
          <w:rPr>
            <w:rFonts w:ascii="Arial" w:hAnsi="Arial" w:cs="Arial"/>
            <w:b w:val="0"/>
            <w:bCs w:val="0"/>
            <w:noProof/>
            <w:sz w:val="24"/>
            <w:szCs w:val="24"/>
            <w:lang w:val="en-US"/>
          </w:rPr>
          <w:tab/>
        </w:r>
        <w:r w:rsidR="00331FEA" w:rsidRPr="00D00CC9">
          <w:rPr>
            <w:rStyle w:val="Hipervnculo"/>
            <w:rFonts w:ascii="Arial" w:hAnsi="Arial" w:cs="Arial"/>
            <w:noProof/>
            <w:color w:val="auto"/>
            <w:sz w:val="24"/>
            <w:szCs w:val="24"/>
          </w:rPr>
          <w:t>INDICADORES DEL PERFIL GLOBAL DE RIESGO DE MERCADO</w:t>
        </w:r>
        <w:r w:rsidR="00331FEA" w:rsidRPr="00D00CC9">
          <w:rPr>
            <w:rFonts w:ascii="Arial" w:hAnsi="Arial" w:cs="Arial"/>
            <w:noProof/>
            <w:webHidden/>
            <w:sz w:val="24"/>
            <w:szCs w:val="24"/>
          </w:rPr>
          <w:tab/>
        </w:r>
        <w:r w:rsidR="00331FEA" w:rsidRPr="00D00CC9">
          <w:rPr>
            <w:rFonts w:ascii="Arial" w:hAnsi="Arial" w:cs="Arial"/>
            <w:noProof/>
            <w:webHidden/>
            <w:sz w:val="24"/>
            <w:szCs w:val="24"/>
          </w:rPr>
          <w:fldChar w:fldCharType="begin"/>
        </w:r>
        <w:r w:rsidR="00331FEA" w:rsidRPr="00D00CC9">
          <w:rPr>
            <w:rFonts w:ascii="Arial" w:hAnsi="Arial" w:cs="Arial"/>
            <w:noProof/>
            <w:webHidden/>
            <w:sz w:val="24"/>
            <w:szCs w:val="24"/>
          </w:rPr>
          <w:instrText xml:space="preserve"> PAGEREF _Toc96174833 \h </w:instrText>
        </w:r>
        <w:r w:rsidR="00331FEA" w:rsidRPr="00D00CC9">
          <w:rPr>
            <w:rFonts w:ascii="Arial" w:hAnsi="Arial" w:cs="Arial"/>
            <w:noProof/>
            <w:webHidden/>
            <w:sz w:val="24"/>
            <w:szCs w:val="24"/>
          </w:rPr>
        </w:r>
        <w:r w:rsidR="00331FEA" w:rsidRPr="00D00CC9">
          <w:rPr>
            <w:rFonts w:ascii="Arial" w:hAnsi="Arial" w:cs="Arial"/>
            <w:noProof/>
            <w:webHidden/>
            <w:sz w:val="24"/>
            <w:szCs w:val="24"/>
          </w:rPr>
          <w:fldChar w:fldCharType="separate"/>
        </w:r>
        <w:r w:rsidR="00331FEA" w:rsidRPr="00D00CC9">
          <w:rPr>
            <w:rFonts w:ascii="Arial" w:hAnsi="Arial" w:cs="Arial"/>
            <w:noProof/>
            <w:webHidden/>
            <w:sz w:val="24"/>
            <w:szCs w:val="24"/>
          </w:rPr>
          <w:t>13</w:t>
        </w:r>
        <w:r w:rsidR="00331FEA" w:rsidRPr="00D00CC9">
          <w:rPr>
            <w:rFonts w:ascii="Arial" w:hAnsi="Arial" w:cs="Arial"/>
            <w:noProof/>
            <w:webHidden/>
            <w:sz w:val="24"/>
            <w:szCs w:val="24"/>
          </w:rPr>
          <w:fldChar w:fldCharType="end"/>
        </w:r>
      </w:hyperlink>
    </w:p>
    <w:p w14:paraId="3D72551E" w14:textId="77777777" w:rsidR="00331FEA" w:rsidRPr="00D00CC9" w:rsidRDefault="00C6298D">
      <w:pPr>
        <w:pStyle w:val="TDC2"/>
        <w:tabs>
          <w:tab w:val="left" w:pos="660"/>
          <w:tab w:val="right" w:leader="dot" w:pos="9629"/>
        </w:tabs>
        <w:rPr>
          <w:rFonts w:ascii="Arial" w:hAnsi="Arial" w:cs="Arial"/>
          <w:b w:val="0"/>
          <w:bCs w:val="0"/>
          <w:noProof/>
          <w:sz w:val="24"/>
          <w:szCs w:val="24"/>
          <w:lang w:val="en-US"/>
        </w:rPr>
      </w:pPr>
      <w:hyperlink w:anchor="_Toc96174834" w:history="1">
        <w:r w:rsidR="00331FEA" w:rsidRPr="00D00CC9">
          <w:rPr>
            <w:rStyle w:val="Hipervnculo"/>
            <w:rFonts w:ascii="Arial" w:hAnsi="Arial" w:cs="Arial"/>
            <w:noProof/>
            <w:color w:val="auto"/>
            <w:sz w:val="24"/>
            <w:szCs w:val="24"/>
          </w:rPr>
          <w:t>1.3.</w:t>
        </w:r>
        <w:r w:rsidR="00331FEA" w:rsidRPr="00D00CC9">
          <w:rPr>
            <w:rFonts w:ascii="Arial" w:hAnsi="Arial" w:cs="Arial"/>
            <w:b w:val="0"/>
            <w:bCs w:val="0"/>
            <w:noProof/>
            <w:sz w:val="24"/>
            <w:szCs w:val="24"/>
            <w:lang w:val="en-US"/>
          </w:rPr>
          <w:tab/>
        </w:r>
        <w:r w:rsidR="00331FEA" w:rsidRPr="00D00CC9">
          <w:rPr>
            <w:rStyle w:val="Hipervnculo"/>
            <w:rFonts w:ascii="Arial" w:hAnsi="Arial" w:cs="Arial"/>
            <w:noProof/>
            <w:color w:val="auto"/>
            <w:sz w:val="24"/>
            <w:szCs w:val="24"/>
          </w:rPr>
          <w:t>LÍMITES DE APETITO Y TOLERANCIA</w:t>
        </w:r>
        <w:r w:rsidR="00331FEA" w:rsidRPr="00D00CC9">
          <w:rPr>
            <w:rFonts w:ascii="Arial" w:hAnsi="Arial" w:cs="Arial"/>
            <w:noProof/>
            <w:webHidden/>
            <w:sz w:val="24"/>
            <w:szCs w:val="24"/>
          </w:rPr>
          <w:tab/>
        </w:r>
        <w:r w:rsidR="00331FEA" w:rsidRPr="00D00CC9">
          <w:rPr>
            <w:rFonts w:ascii="Arial" w:hAnsi="Arial" w:cs="Arial"/>
            <w:noProof/>
            <w:webHidden/>
            <w:sz w:val="24"/>
            <w:szCs w:val="24"/>
          </w:rPr>
          <w:fldChar w:fldCharType="begin"/>
        </w:r>
        <w:r w:rsidR="00331FEA" w:rsidRPr="00D00CC9">
          <w:rPr>
            <w:rFonts w:ascii="Arial" w:hAnsi="Arial" w:cs="Arial"/>
            <w:noProof/>
            <w:webHidden/>
            <w:sz w:val="24"/>
            <w:szCs w:val="24"/>
          </w:rPr>
          <w:instrText xml:space="preserve"> PAGEREF _Toc96174834 \h </w:instrText>
        </w:r>
        <w:r w:rsidR="00331FEA" w:rsidRPr="00D00CC9">
          <w:rPr>
            <w:rFonts w:ascii="Arial" w:hAnsi="Arial" w:cs="Arial"/>
            <w:noProof/>
            <w:webHidden/>
            <w:sz w:val="24"/>
            <w:szCs w:val="24"/>
          </w:rPr>
        </w:r>
        <w:r w:rsidR="00331FEA" w:rsidRPr="00D00CC9">
          <w:rPr>
            <w:rFonts w:ascii="Arial" w:hAnsi="Arial" w:cs="Arial"/>
            <w:noProof/>
            <w:webHidden/>
            <w:sz w:val="24"/>
            <w:szCs w:val="24"/>
          </w:rPr>
          <w:fldChar w:fldCharType="separate"/>
        </w:r>
        <w:r w:rsidR="00331FEA" w:rsidRPr="00D00CC9">
          <w:rPr>
            <w:rFonts w:ascii="Arial" w:hAnsi="Arial" w:cs="Arial"/>
            <w:noProof/>
            <w:webHidden/>
            <w:sz w:val="24"/>
            <w:szCs w:val="24"/>
          </w:rPr>
          <w:t>14</w:t>
        </w:r>
        <w:r w:rsidR="00331FEA" w:rsidRPr="00D00CC9">
          <w:rPr>
            <w:rFonts w:ascii="Arial" w:hAnsi="Arial" w:cs="Arial"/>
            <w:noProof/>
            <w:webHidden/>
            <w:sz w:val="24"/>
            <w:szCs w:val="24"/>
          </w:rPr>
          <w:fldChar w:fldCharType="end"/>
        </w:r>
      </w:hyperlink>
    </w:p>
    <w:p w14:paraId="66382A60" w14:textId="77777777" w:rsidR="00331FEA" w:rsidRPr="00D00CC9" w:rsidRDefault="00C6298D">
      <w:pPr>
        <w:pStyle w:val="TDC2"/>
        <w:tabs>
          <w:tab w:val="left" w:pos="660"/>
          <w:tab w:val="right" w:leader="dot" w:pos="9629"/>
        </w:tabs>
        <w:rPr>
          <w:rFonts w:ascii="Arial" w:hAnsi="Arial" w:cs="Arial"/>
          <w:b w:val="0"/>
          <w:bCs w:val="0"/>
          <w:noProof/>
          <w:sz w:val="24"/>
          <w:szCs w:val="24"/>
          <w:lang w:val="en-US"/>
        </w:rPr>
      </w:pPr>
      <w:hyperlink w:anchor="_Toc96174835" w:history="1">
        <w:r w:rsidR="00331FEA" w:rsidRPr="00D00CC9">
          <w:rPr>
            <w:rStyle w:val="Hipervnculo"/>
            <w:rFonts w:ascii="Arial" w:hAnsi="Arial" w:cs="Arial"/>
            <w:noProof/>
            <w:color w:val="auto"/>
            <w:sz w:val="24"/>
            <w:szCs w:val="24"/>
          </w:rPr>
          <w:t>1.4.</w:t>
        </w:r>
        <w:r w:rsidR="00331FEA" w:rsidRPr="00D00CC9">
          <w:rPr>
            <w:rFonts w:ascii="Arial" w:hAnsi="Arial" w:cs="Arial"/>
            <w:b w:val="0"/>
            <w:bCs w:val="0"/>
            <w:noProof/>
            <w:sz w:val="24"/>
            <w:szCs w:val="24"/>
            <w:lang w:val="en-US"/>
          </w:rPr>
          <w:tab/>
        </w:r>
        <w:r w:rsidR="00331FEA" w:rsidRPr="00D00CC9">
          <w:rPr>
            <w:rStyle w:val="Hipervnculo"/>
            <w:rFonts w:ascii="Arial" w:hAnsi="Arial" w:cs="Arial"/>
            <w:noProof/>
            <w:color w:val="auto"/>
            <w:sz w:val="24"/>
            <w:szCs w:val="24"/>
          </w:rPr>
          <w:t>CÁLCULO DEL PERFIL DE RIESGO DE MERCADO -  CONSOLIDADO INDICADORES</w:t>
        </w:r>
        <w:r w:rsidR="00331FEA" w:rsidRPr="00D00CC9">
          <w:rPr>
            <w:rFonts w:ascii="Arial" w:hAnsi="Arial" w:cs="Arial"/>
            <w:noProof/>
            <w:webHidden/>
            <w:sz w:val="24"/>
            <w:szCs w:val="24"/>
          </w:rPr>
          <w:tab/>
        </w:r>
        <w:r w:rsidR="00331FEA" w:rsidRPr="00D00CC9">
          <w:rPr>
            <w:rFonts w:ascii="Arial" w:hAnsi="Arial" w:cs="Arial"/>
            <w:noProof/>
            <w:webHidden/>
            <w:sz w:val="24"/>
            <w:szCs w:val="24"/>
          </w:rPr>
          <w:fldChar w:fldCharType="begin"/>
        </w:r>
        <w:r w:rsidR="00331FEA" w:rsidRPr="00D00CC9">
          <w:rPr>
            <w:rFonts w:ascii="Arial" w:hAnsi="Arial" w:cs="Arial"/>
            <w:noProof/>
            <w:webHidden/>
            <w:sz w:val="24"/>
            <w:szCs w:val="24"/>
          </w:rPr>
          <w:instrText xml:space="preserve"> PAGEREF _Toc96174835 \h </w:instrText>
        </w:r>
        <w:r w:rsidR="00331FEA" w:rsidRPr="00D00CC9">
          <w:rPr>
            <w:rFonts w:ascii="Arial" w:hAnsi="Arial" w:cs="Arial"/>
            <w:noProof/>
            <w:webHidden/>
            <w:sz w:val="24"/>
            <w:szCs w:val="24"/>
          </w:rPr>
        </w:r>
        <w:r w:rsidR="00331FEA" w:rsidRPr="00D00CC9">
          <w:rPr>
            <w:rFonts w:ascii="Arial" w:hAnsi="Arial" w:cs="Arial"/>
            <w:noProof/>
            <w:webHidden/>
            <w:sz w:val="24"/>
            <w:szCs w:val="24"/>
          </w:rPr>
          <w:fldChar w:fldCharType="separate"/>
        </w:r>
        <w:r w:rsidR="00331FEA" w:rsidRPr="00D00CC9">
          <w:rPr>
            <w:rFonts w:ascii="Arial" w:hAnsi="Arial" w:cs="Arial"/>
            <w:noProof/>
            <w:webHidden/>
            <w:sz w:val="24"/>
            <w:szCs w:val="24"/>
          </w:rPr>
          <w:t>15</w:t>
        </w:r>
        <w:r w:rsidR="00331FEA" w:rsidRPr="00D00CC9">
          <w:rPr>
            <w:rFonts w:ascii="Arial" w:hAnsi="Arial" w:cs="Arial"/>
            <w:noProof/>
            <w:webHidden/>
            <w:sz w:val="24"/>
            <w:szCs w:val="24"/>
          </w:rPr>
          <w:fldChar w:fldCharType="end"/>
        </w:r>
      </w:hyperlink>
    </w:p>
    <w:p w14:paraId="13BE93D9" w14:textId="77777777" w:rsidR="00331FEA" w:rsidRPr="00D00CC9" w:rsidRDefault="00C6298D">
      <w:pPr>
        <w:pStyle w:val="TDC2"/>
        <w:tabs>
          <w:tab w:val="left" w:pos="660"/>
          <w:tab w:val="right" w:leader="dot" w:pos="9629"/>
        </w:tabs>
        <w:rPr>
          <w:rFonts w:ascii="Arial" w:hAnsi="Arial" w:cs="Arial"/>
          <w:b w:val="0"/>
          <w:bCs w:val="0"/>
          <w:noProof/>
          <w:sz w:val="24"/>
          <w:szCs w:val="24"/>
          <w:lang w:val="en-US"/>
        </w:rPr>
      </w:pPr>
      <w:hyperlink w:anchor="_Toc96174836" w:history="1">
        <w:r w:rsidR="00331FEA" w:rsidRPr="00D00CC9">
          <w:rPr>
            <w:rStyle w:val="Hipervnculo"/>
            <w:rFonts w:ascii="Arial" w:hAnsi="Arial" w:cs="Arial"/>
            <w:noProof/>
            <w:color w:val="auto"/>
            <w:sz w:val="24"/>
            <w:szCs w:val="24"/>
          </w:rPr>
          <w:t>1.5.</w:t>
        </w:r>
        <w:r w:rsidR="00331FEA" w:rsidRPr="00D00CC9">
          <w:rPr>
            <w:rFonts w:ascii="Arial" w:hAnsi="Arial" w:cs="Arial"/>
            <w:b w:val="0"/>
            <w:bCs w:val="0"/>
            <w:noProof/>
            <w:sz w:val="24"/>
            <w:szCs w:val="24"/>
            <w:lang w:val="en-US"/>
          </w:rPr>
          <w:tab/>
        </w:r>
        <w:r w:rsidR="00331FEA" w:rsidRPr="00D00CC9">
          <w:rPr>
            <w:rStyle w:val="Hipervnculo"/>
            <w:rFonts w:ascii="Arial" w:hAnsi="Arial" w:cs="Arial"/>
            <w:noProof/>
            <w:color w:val="auto"/>
            <w:sz w:val="24"/>
            <w:szCs w:val="24"/>
          </w:rPr>
          <w:t>PLAN DE TRATAMIENTO SEGÚN NIVELES DE RIESGO</w:t>
        </w:r>
        <w:r w:rsidR="00331FEA" w:rsidRPr="00D00CC9">
          <w:rPr>
            <w:rFonts w:ascii="Arial" w:hAnsi="Arial" w:cs="Arial"/>
            <w:noProof/>
            <w:webHidden/>
            <w:sz w:val="24"/>
            <w:szCs w:val="24"/>
          </w:rPr>
          <w:tab/>
        </w:r>
        <w:r w:rsidR="00331FEA" w:rsidRPr="00D00CC9">
          <w:rPr>
            <w:rFonts w:ascii="Arial" w:hAnsi="Arial" w:cs="Arial"/>
            <w:noProof/>
            <w:webHidden/>
            <w:sz w:val="24"/>
            <w:szCs w:val="24"/>
          </w:rPr>
          <w:fldChar w:fldCharType="begin"/>
        </w:r>
        <w:r w:rsidR="00331FEA" w:rsidRPr="00D00CC9">
          <w:rPr>
            <w:rFonts w:ascii="Arial" w:hAnsi="Arial" w:cs="Arial"/>
            <w:noProof/>
            <w:webHidden/>
            <w:sz w:val="24"/>
            <w:szCs w:val="24"/>
          </w:rPr>
          <w:instrText xml:space="preserve"> PAGEREF _Toc96174836 \h </w:instrText>
        </w:r>
        <w:r w:rsidR="00331FEA" w:rsidRPr="00D00CC9">
          <w:rPr>
            <w:rFonts w:ascii="Arial" w:hAnsi="Arial" w:cs="Arial"/>
            <w:noProof/>
            <w:webHidden/>
            <w:sz w:val="24"/>
            <w:szCs w:val="24"/>
          </w:rPr>
        </w:r>
        <w:r w:rsidR="00331FEA" w:rsidRPr="00D00CC9">
          <w:rPr>
            <w:rFonts w:ascii="Arial" w:hAnsi="Arial" w:cs="Arial"/>
            <w:noProof/>
            <w:webHidden/>
            <w:sz w:val="24"/>
            <w:szCs w:val="24"/>
          </w:rPr>
          <w:fldChar w:fldCharType="separate"/>
        </w:r>
        <w:r w:rsidR="00331FEA" w:rsidRPr="00D00CC9">
          <w:rPr>
            <w:rFonts w:ascii="Arial" w:hAnsi="Arial" w:cs="Arial"/>
            <w:noProof/>
            <w:webHidden/>
            <w:sz w:val="24"/>
            <w:szCs w:val="24"/>
          </w:rPr>
          <w:t>16</w:t>
        </w:r>
        <w:r w:rsidR="00331FEA" w:rsidRPr="00D00CC9">
          <w:rPr>
            <w:rFonts w:ascii="Arial" w:hAnsi="Arial" w:cs="Arial"/>
            <w:noProof/>
            <w:webHidden/>
            <w:sz w:val="24"/>
            <w:szCs w:val="24"/>
          </w:rPr>
          <w:fldChar w:fldCharType="end"/>
        </w:r>
      </w:hyperlink>
    </w:p>
    <w:p w14:paraId="113A9FB0" w14:textId="77777777" w:rsidR="005D496B" w:rsidRPr="00D00CC9" w:rsidRDefault="005D496B">
      <w:pPr>
        <w:rPr>
          <w:rFonts w:ascii="Arial" w:hAnsi="Arial" w:cs="Arial"/>
          <w:sz w:val="24"/>
          <w:szCs w:val="24"/>
        </w:rPr>
      </w:pPr>
      <w:r w:rsidRPr="00D00CC9">
        <w:rPr>
          <w:rFonts w:ascii="Arial" w:hAnsi="Arial" w:cs="Arial"/>
          <w:b/>
          <w:bCs/>
          <w:sz w:val="24"/>
          <w:szCs w:val="24"/>
          <w:lang w:val="es-ES"/>
        </w:rPr>
        <w:fldChar w:fldCharType="end"/>
      </w:r>
    </w:p>
    <w:p w14:paraId="110CCABA" w14:textId="77777777" w:rsidR="005D496B" w:rsidRPr="00D00CC9" w:rsidRDefault="005D496B" w:rsidP="00604BE2">
      <w:pPr>
        <w:widowControl w:val="0"/>
        <w:adjustRightInd w:val="0"/>
        <w:snapToGrid w:val="0"/>
        <w:ind w:left="851" w:hanging="851"/>
        <w:jc w:val="both"/>
        <w:rPr>
          <w:rFonts w:ascii="Arial" w:hAnsi="Arial" w:cs="Arial"/>
          <w:b/>
          <w:sz w:val="24"/>
          <w:szCs w:val="24"/>
        </w:rPr>
      </w:pPr>
    </w:p>
    <w:p w14:paraId="32CA065B" w14:textId="77777777" w:rsidR="00604BE2" w:rsidRPr="00D00CC9" w:rsidRDefault="005D496B" w:rsidP="00604BE2">
      <w:pPr>
        <w:widowControl w:val="0"/>
        <w:adjustRightInd w:val="0"/>
        <w:snapToGrid w:val="0"/>
        <w:ind w:left="851" w:hanging="851"/>
        <w:jc w:val="both"/>
        <w:rPr>
          <w:rFonts w:ascii="Arial" w:hAnsi="Arial" w:cs="Arial"/>
          <w:b/>
          <w:sz w:val="24"/>
          <w:szCs w:val="24"/>
        </w:rPr>
      </w:pPr>
      <w:r w:rsidRPr="00D00CC9">
        <w:rPr>
          <w:rFonts w:ascii="Arial" w:hAnsi="Arial" w:cs="Arial"/>
          <w:sz w:val="24"/>
          <w:szCs w:val="24"/>
        </w:rPr>
        <w:br w:type="page"/>
      </w:r>
    </w:p>
    <w:p w14:paraId="09F6B7A1" w14:textId="77777777" w:rsidR="00D00CC9" w:rsidRPr="00D00CC9" w:rsidRDefault="00D00CC9" w:rsidP="00604BE2">
      <w:pPr>
        <w:pStyle w:val="Ttulo1"/>
        <w:rPr>
          <w:rFonts w:cs="Arial"/>
          <w:color w:val="auto"/>
          <w:sz w:val="24"/>
          <w:szCs w:val="24"/>
        </w:rPr>
        <w:sectPr w:rsidR="00D00CC9" w:rsidRPr="00D00CC9" w:rsidSect="00D00CC9">
          <w:pgSz w:w="12240" w:h="15840"/>
          <w:pgMar w:top="1440" w:right="1440" w:bottom="1440" w:left="1440" w:header="708" w:footer="708" w:gutter="0"/>
          <w:cols w:space="708"/>
          <w:docGrid w:linePitch="360"/>
        </w:sectPr>
      </w:pPr>
      <w:bookmarkStart w:id="4" w:name="_Toc96174824"/>
    </w:p>
    <w:bookmarkEnd w:id="4"/>
    <w:p w14:paraId="0B62A129" w14:textId="415B71C5" w:rsidR="00604BE2" w:rsidRPr="00FB66E6" w:rsidRDefault="00FB66E6" w:rsidP="00FB66E6">
      <w:pPr>
        <w:pStyle w:val="Ttulo1"/>
        <w:spacing w:before="0"/>
        <w:rPr>
          <w:rFonts w:cs="Arial"/>
          <w:b/>
          <w:bCs/>
          <w:color w:val="auto"/>
          <w:sz w:val="24"/>
          <w:szCs w:val="24"/>
        </w:rPr>
      </w:pPr>
      <w:r w:rsidRPr="00FB66E6">
        <w:rPr>
          <w:rFonts w:cs="Arial"/>
          <w:b/>
          <w:bCs/>
          <w:color w:val="auto"/>
          <w:sz w:val="24"/>
          <w:szCs w:val="24"/>
        </w:rPr>
        <w:lastRenderedPageBreak/>
        <w:t>INTRODUCCIÓN</w:t>
      </w:r>
    </w:p>
    <w:p w14:paraId="61CD5C0A" w14:textId="77777777" w:rsidR="00604BE2" w:rsidRPr="00D00CC9" w:rsidRDefault="00604BE2" w:rsidP="00FB66E6">
      <w:pPr>
        <w:spacing w:after="0"/>
        <w:jc w:val="both"/>
        <w:rPr>
          <w:rFonts w:ascii="Arial" w:hAnsi="Arial" w:cs="Arial"/>
          <w:sz w:val="24"/>
          <w:szCs w:val="24"/>
        </w:rPr>
      </w:pPr>
    </w:p>
    <w:p w14:paraId="0EBFCF76" w14:textId="77777777" w:rsidR="00FB66E6" w:rsidRDefault="00AD11CD" w:rsidP="00AD11CD">
      <w:pPr>
        <w:jc w:val="both"/>
        <w:rPr>
          <w:rFonts w:ascii="Arial" w:hAnsi="Arial" w:cs="Arial"/>
          <w:sz w:val="24"/>
          <w:szCs w:val="24"/>
        </w:rPr>
      </w:pPr>
      <w:r w:rsidRPr="00D00CC9">
        <w:rPr>
          <w:rFonts w:ascii="Arial" w:hAnsi="Arial" w:cs="Arial"/>
          <w:sz w:val="24"/>
          <w:szCs w:val="24"/>
        </w:rPr>
        <w:t xml:space="preserve">El sistema de administración de riesgo de mercado, es un sistema estrechamente enlazado con el logro de los objetivos estratégicos de cualquier organización y que en el desarrollo de las operaciones de </w:t>
      </w:r>
      <w:r w:rsidR="00FB66E6" w:rsidRPr="00FB66E6">
        <w:rPr>
          <w:rFonts w:ascii="Arial" w:hAnsi="Arial" w:cs="Arial"/>
          <w:b/>
          <w:bCs/>
          <w:sz w:val="24"/>
          <w:szCs w:val="24"/>
        </w:rPr>
        <w:t>COOPEAIPE</w:t>
      </w:r>
      <w:r w:rsidRPr="00D00CC9">
        <w:rPr>
          <w:rFonts w:ascii="Arial" w:hAnsi="Arial" w:cs="Arial"/>
          <w:sz w:val="24"/>
          <w:szCs w:val="24"/>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FB66E6">
        <w:rPr>
          <w:rFonts w:ascii="Arial" w:hAnsi="Arial" w:cs="Arial"/>
          <w:sz w:val="24"/>
          <w:szCs w:val="24"/>
        </w:rPr>
        <w:t>de la Cooperativa</w:t>
      </w:r>
      <w:r w:rsidRPr="00D00CC9">
        <w:rPr>
          <w:rFonts w:ascii="Arial" w:hAnsi="Arial" w:cs="Arial"/>
          <w:sz w:val="24"/>
          <w:szCs w:val="24"/>
        </w:rPr>
        <w:t>.</w:t>
      </w:r>
    </w:p>
    <w:p w14:paraId="1E50C3AD" w14:textId="060F29B6" w:rsidR="00AD11CD" w:rsidRPr="00D00CC9" w:rsidRDefault="00AD11CD" w:rsidP="00AD11CD">
      <w:pPr>
        <w:jc w:val="both"/>
        <w:rPr>
          <w:rFonts w:ascii="Arial" w:hAnsi="Arial" w:cs="Arial"/>
          <w:sz w:val="24"/>
          <w:szCs w:val="24"/>
        </w:rPr>
      </w:pPr>
      <w:r w:rsidRPr="00D00CC9">
        <w:rPr>
          <w:rFonts w:ascii="Arial" w:hAnsi="Arial" w:cs="Arial"/>
          <w:sz w:val="24"/>
          <w:szCs w:val="24"/>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1B6F87BC" w14:textId="1884B7C6" w:rsidR="00087381" w:rsidRPr="00D00CC9" w:rsidRDefault="00AD11CD" w:rsidP="00BC3C6B">
      <w:pPr>
        <w:jc w:val="both"/>
        <w:rPr>
          <w:rFonts w:ascii="Arial" w:hAnsi="Arial" w:cs="Arial"/>
          <w:sz w:val="24"/>
          <w:szCs w:val="24"/>
        </w:rPr>
      </w:pPr>
      <w:r w:rsidRPr="00D00CC9">
        <w:rPr>
          <w:rFonts w:ascii="Arial" w:hAnsi="Arial" w:cs="Arial"/>
          <w:sz w:val="24"/>
          <w:szCs w:val="24"/>
        </w:rPr>
        <w:t xml:space="preserve">En este manual se incorpora los lineamientos </w:t>
      </w:r>
      <w:r w:rsidR="00811534" w:rsidRPr="00D00CC9">
        <w:rPr>
          <w:rFonts w:ascii="Arial" w:hAnsi="Arial" w:cs="Arial"/>
          <w:sz w:val="24"/>
          <w:szCs w:val="24"/>
        </w:rPr>
        <w:t xml:space="preserve">para la aplicación de la metodología CAMEL que permite evaluar a las diferentes entidades financieras con las cuales se realiza operaciones de tesorería e inversiones, y de esta forma establecer cupos por emisor, depositario y contraparte para los establecimientos de crédito de forma que la Entidad pueda tener mediciones de riesgo respecto del desempeño de las entidades o contrapartes, desarrollando así un seguimiento adecuado para la identificación de alertas tempranas en la relación con contrapartes, a fin de proteger los recursos de </w:t>
      </w:r>
      <w:r w:rsidR="00FB66E6" w:rsidRPr="00FB66E6">
        <w:rPr>
          <w:rFonts w:ascii="Arial" w:hAnsi="Arial" w:cs="Arial"/>
          <w:b/>
          <w:bCs/>
          <w:sz w:val="24"/>
          <w:szCs w:val="24"/>
        </w:rPr>
        <w:t>COOPEAIPE</w:t>
      </w:r>
      <w:r w:rsidR="00811534" w:rsidRPr="00D00CC9">
        <w:rPr>
          <w:rFonts w:ascii="Arial" w:hAnsi="Arial" w:cs="Arial"/>
          <w:sz w:val="24"/>
          <w:szCs w:val="24"/>
        </w:rPr>
        <w:t xml:space="preserve">. </w:t>
      </w:r>
    </w:p>
    <w:p w14:paraId="20B70081" w14:textId="77777777" w:rsidR="004629CA" w:rsidRPr="00D00CC9" w:rsidRDefault="004629CA" w:rsidP="00BC3C6B">
      <w:pPr>
        <w:jc w:val="both"/>
        <w:rPr>
          <w:rFonts w:ascii="Arial" w:hAnsi="Arial" w:cs="Arial"/>
          <w:sz w:val="24"/>
          <w:szCs w:val="24"/>
        </w:rPr>
      </w:pPr>
    </w:p>
    <w:p w14:paraId="279B1A19" w14:textId="77777777" w:rsidR="004629CA" w:rsidRPr="00D00CC9" w:rsidRDefault="004629CA" w:rsidP="00BC3C6B">
      <w:pPr>
        <w:jc w:val="both"/>
        <w:rPr>
          <w:rFonts w:ascii="Arial" w:hAnsi="Arial" w:cs="Arial"/>
          <w:sz w:val="24"/>
          <w:szCs w:val="24"/>
        </w:rPr>
      </w:pPr>
    </w:p>
    <w:p w14:paraId="58EF5A94" w14:textId="77777777" w:rsidR="00D00CC9" w:rsidRPr="00D00CC9" w:rsidRDefault="00F3766A" w:rsidP="00BC3C6B">
      <w:pPr>
        <w:pStyle w:val="Ttulo1"/>
        <w:rPr>
          <w:rFonts w:cs="Arial"/>
          <w:color w:val="auto"/>
          <w:sz w:val="24"/>
          <w:szCs w:val="24"/>
        </w:rPr>
        <w:sectPr w:rsidR="00D00CC9" w:rsidRPr="00D00CC9" w:rsidSect="00D00CC9">
          <w:pgSz w:w="12240" w:h="15840"/>
          <w:pgMar w:top="1440" w:right="1440" w:bottom="1440" w:left="1440" w:header="708" w:footer="708" w:gutter="0"/>
          <w:cols w:space="708"/>
          <w:docGrid w:linePitch="360"/>
        </w:sectPr>
      </w:pPr>
      <w:r w:rsidRPr="00D00CC9">
        <w:rPr>
          <w:rFonts w:cs="Arial"/>
          <w:color w:val="auto"/>
          <w:sz w:val="24"/>
          <w:szCs w:val="24"/>
        </w:rPr>
        <w:br w:type="page"/>
      </w:r>
      <w:bookmarkStart w:id="5" w:name="_Toc96174825"/>
    </w:p>
    <w:p w14:paraId="044504A2" w14:textId="77777777" w:rsidR="00F3766A" w:rsidRPr="00FB66E6" w:rsidRDefault="00F3766A" w:rsidP="00FB66E6">
      <w:pPr>
        <w:pStyle w:val="Ttulo1"/>
        <w:spacing w:before="0"/>
        <w:rPr>
          <w:rFonts w:cs="Arial"/>
          <w:b/>
          <w:bCs/>
          <w:color w:val="auto"/>
          <w:sz w:val="24"/>
          <w:szCs w:val="24"/>
        </w:rPr>
      </w:pPr>
      <w:r w:rsidRPr="00FB66E6">
        <w:rPr>
          <w:rFonts w:cs="Arial"/>
          <w:b/>
          <w:bCs/>
          <w:color w:val="auto"/>
          <w:sz w:val="24"/>
          <w:szCs w:val="24"/>
        </w:rPr>
        <w:lastRenderedPageBreak/>
        <w:t>OBJETIVO GENERAL</w:t>
      </w:r>
      <w:bookmarkEnd w:id="5"/>
      <w:r w:rsidRPr="00FB66E6">
        <w:rPr>
          <w:rFonts w:cs="Arial"/>
          <w:b/>
          <w:bCs/>
          <w:color w:val="auto"/>
          <w:sz w:val="24"/>
          <w:szCs w:val="24"/>
        </w:rPr>
        <w:t xml:space="preserve"> </w:t>
      </w:r>
    </w:p>
    <w:p w14:paraId="66CF5C44" w14:textId="77777777" w:rsidR="005B4896" w:rsidRPr="00D00CC9" w:rsidRDefault="005B4896" w:rsidP="00FB66E6">
      <w:pPr>
        <w:spacing w:after="0"/>
        <w:jc w:val="both"/>
        <w:rPr>
          <w:rFonts w:ascii="Arial" w:hAnsi="Arial" w:cs="Arial"/>
          <w:sz w:val="24"/>
          <w:szCs w:val="24"/>
        </w:rPr>
      </w:pPr>
    </w:p>
    <w:p w14:paraId="3C139D5B" w14:textId="77777777" w:rsidR="00811534" w:rsidRPr="00D00CC9" w:rsidRDefault="005B4896" w:rsidP="00FB66E6">
      <w:pPr>
        <w:spacing w:after="0"/>
        <w:jc w:val="both"/>
        <w:rPr>
          <w:rFonts w:ascii="Arial" w:hAnsi="Arial" w:cs="Arial"/>
          <w:sz w:val="24"/>
          <w:szCs w:val="24"/>
        </w:rPr>
      </w:pPr>
      <w:r w:rsidRPr="00D00CC9">
        <w:rPr>
          <w:rFonts w:ascii="Arial" w:hAnsi="Arial" w:cs="Arial"/>
          <w:sz w:val="24"/>
          <w:szCs w:val="24"/>
        </w:rPr>
        <w:t xml:space="preserve">Establecer y difundir la </w:t>
      </w:r>
      <w:r w:rsidR="00811534" w:rsidRPr="00D00CC9">
        <w:rPr>
          <w:rFonts w:ascii="Arial" w:hAnsi="Arial" w:cs="Arial"/>
          <w:sz w:val="24"/>
          <w:szCs w:val="24"/>
        </w:rPr>
        <w:t>aplicación del modelo CAMEL para el cálculo de cupos emisor, deposi</w:t>
      </w:r>
      <w:r w:rsidR="00B21ECE" w:rsidRPr="00D00CC9">
        <w:rPr>
          <w:rFonts w:ascii="Arial" w:hAnsi="Arial" w:cs="Arial"/>
          <w:sz w:val="24"/>
          <w:szCs w:val="24"/>
        </w:rPr>
        <w:t xml:space="preserve">tario y contraparte. </w:t>
      </w:r>
    </w:p>
    <w:p w14:paraId="5788812D" w14:textId="77777777" w:rsidR="00811534" w:rsidRPr="00D00CC9" w:rsidRDefault="00811534" w:rsidP="00954B0E">
      <w:pPr>
        <w:spacing w:after="0"/>
        <w:jc w:val="both"/>
        <w:rPr>
          <w:rFonts w:ascii="Arial" w:hAnsi="Arial" w:cs="Arial"/>
          <w:sz w:val="24"/>
          <w:szCs w:val="24"/>
          <w:lang w:val="es-ES_tradnl"/>
        </w:rPr>
      </w:pPr>
    </w:p>
    <w:p w14:paraId="2AD08260" w14:textId="61D9733B" w:rsidR="007055AC" w:rsidRPr="00FB66E6" w:rsidRDefault="007055AC" w:rsidP="00954B0E">
      <w:pPr>
        <w:pStyle w:val="Ttulo1"/>
        <w:spacing w:before="0"/>
        <w:rPr>
          <w:rFonts w:cs="Arial"/>
          <w:b/>
          <w:bCs/>
          <w:color w:val="auto"/>
          <w:sz w:val="24"/>
          <w:szCs w:val="24"/>
        </w:rPr>
      </w:pPr>
      <w:bookmarkStart w:id="6" w:name="_Toc96174826"/>
      <w:r w:rsidRPr="00FB66E6">
        <w:rPr>
          <w:rFonts w:cs="Arial"/>
          <w:b/>
          <w:bCs/>
          <w:color w:val="auto"/>
          <w:sz w:val="24"/>
          <w:szCs w:val="24"/>
        </w:rPr>
        <w:t xml:space="preserve">OBJETIVO </w:t>
      </w:r>
      <w:bookmarkEnd w:id="6"/>
      <w:r w:rsidR="00FB66E6" w:rsidRPr="00FB66E6">
        <w:rPr>
          <w:rFonts w:cs="Arial"/>
          <w:b/>
          <w:bCs/>
          <w:color w:val="auto"/>
          <w:sz w:val="24"/>
          <w:szCs w:val="24"/>
        </w:rPr>
        <w:t>ESPECÍFICOS</w:t>
      </w:r>
    </w:p>
    <w:p w14:paraId="1C266D5A" w14:textId="77777777" w:rsidR="007055AC" w:rsidRPr="00D00CC9" w:rsidRDefault="007055AC" w:rsidP="00954B0E">
      <w:pPr>
        <w:spacing w:after="0"/>
      </w:pPr>
    </w:p>
    <w:p w14:paraId="093DCC52" w14:textId="02DD51B8" w:rsidR="00B21ECE" w:rsidRPr="00D00CC9" w:rsidRDefault="005B4896" w:rsidP="00FB66E6">
      <w:pPr>
        <w:numPr>
          <w:ilvl w:val="0"/>
          <w:numId w:val="1"/>
        </w:numPr>
        <w:spacing w:after="0"/>
        <w:ind w:left="426"/>
        <w:jc w:val="both"/>
        <w:rPr>
          <w:rFonts w:ascii="Arial" w:hAnsi="Arial" w:cs="Arial"/>
          <w:sz w:val="24"/>
          <w:szCs w:val="24"/>
        </w:rPr>
      </w:pPr>
      <w:r w:rsidRPr="00D00CC9">
        <w:rPr>
          <w:rFonts w:ascii="Arial" w:hAnsi="Arial" w:cs="Arial"/>
          <w:sz w:val="24"/>
          <w:szCs w:val="24"/>
        </w:rPr>
        <w:t xml:space="preserve">Explicar el cálculo del </w:t>
      </w:r>
      <w:r w:rsidR="00B21ECE" w:rsidRPr="00D00CC9">
        <w:rPr>
          <w:rFonts w:ascii="Arial" w:hAnsi="Arial" w:cs="Arial"/>
          <w:sz w:val="24"/>
          <w:szCs w:val="24"/>
        </w:rPr>
        <w:t xml:space="preserve">modelo CAMEL para la identificación, medición y gestión de riesgos de emisor, depositario y contraparte, fijando límites con el fin de apoyar la toma de decisiones de inversión en </w:t>
      </w:r>
      <w:r w:rsidR="00FB66E6">
        <w:rPr>
          <w:rFonts w:ascii="Arial" w:hAnsi="Arial" w:cs="Arial"/>
          <w:sz w:val="24"/>
          <w:szCs w:val="24"/>
        </w:rPr>
        <w:t>la Cooperativa</w:t>
      </w:r>
      <w:r w:rsidR="00B21ECE" w:rsidRPr="00D00CC9">
        <w:rPr>
          <w:rFonts w:ascii="Arial" w:hAnsi="Arial" w:cs="Arial"/>
          <w:sz w:val="24"/>
          <w:szCs w:val="24"/>
        </w:rPr>
        <w:t xml:space="preserve">. </w:t>
      </w:r>
    </w:p>
    <w:p w14:paraId="22D4293A" w14:textId="77777777" w:rsidR="00B21ECE" w:rsidRPr="00D00CC9" w:rsidRDefault="00B21ECE" w:rsidP="00FB66E6">
      <w:pPr>
        <w:numPr>
          <w:ilvl w:val="0"/>
          <w:numId w:val="1"/>
        </w:numPr>
        <w:spacing w:after="0"/>
        <w:ind w:left="426"/>
        <w:jc w:val="both"/>
        <w:rPr>
          <w:rFonts w:ascii="Arial" w:hAnsi="Arial" w:cs="Arial"/>
          <w:sz w:val="24"/>
          <w:szCs w:val="24"/>
        </w:rPr>
      </w:pPr>
      <w:r w:rsidRPr="00D00CC9">
        <w:rPr>
          <w:rFonts w:ascii="Arial" w:hAnsi="Arial" w:cs="Arial"/>
          <w:sz w:val="24"/>
          <w:szCs w:val="24"/>
        </w:rPr>
        <w:t xml:space="preserve">Definir una metodología de reconocido valor técnico como complemento dentro del Sistema de Administración de Riesgo de Mercado. </w:t>
      </w:r>
    </w:p>
    <w:p w14:paraId="7172B75B" w14:textId="77777777" w:rsidR="00D00CC9" w:rsidRPr="00D00CC9" w:rsidRDefault="00D00CC9" w:rsidP="0095366B">
      <w:pPr>
        <w:pStyle w:val="Ttulo1"/>
        <w:jc w:val="both"/>
        <w:rPr>
          <w:rFonts w:cs="Arial"/>
          <w:color w:val="auto"/>
          <w:sz w:val="24"/>
          <w:szCs w:val="24"/>
        </w:rPr>
        <w:sectPr w:rsidR="00D00CC9" w:rsidRPr="00D00CC9" w:rsidSect="00D00CC9">
          <w:pgSz w:w="12240" w:h="15840"/>
          <w:pgMar w:top="1440" w:right="1440" w:bottom="1440" w:left="1440" w:header="708" w:footer="708" w:gutter="0"/>
          <w:cols w:space="708"/>
          <w:docGrid w:linePitch="360"/>
        </w:sectPr>
      </w:pPr>
      <w:bookmarkStart w:id="7" w:name="_Toc96174828"/>
    </w:p>
    <w:p w14:paraId="232D1C9B" w14:textId="77777777" w:rsidR="00283C95" w:rsidRPr="00FB66E6" w:rsidRDefault="00BC3C6B" w:rsidP="00FB66E6">
      <w:pPr>
        <w:pStyle w:val="Ttulo1"/>
        <w:spacing w:before="0"/>
        <w:jc w:val="both"/>
        <w:rPr>
          <w:rFonts w:cs="Arial"/>
          <w:b/>
          <w:bCs/>
          <w:color w:val="auto"/>
          <w:sz w:val="24"/>
          <w:szCs w:val="24"/>
        </w:rPr>
      </w:pPr>
      <w:r w:rsidRPr="00FB66E6">
        <w:rPr>
          <w:rFonts w:cs="Arial"/>
          <w:b/>
          <w:bCs/>
          <w:color w:val="auto"/>
          <w:sz w:val="24"/>
          <w:szCs w:val="24"/>
        </w:rPr>
        <w:lastRenderedPageBreak/>
        <w:t>GLOSARIO</w:t>
      </w:r>
      <w:bookmarkEnd w:id="7"/>
    </w:p>
    <w:p w14:paraId="14AF3B21" w14:textId="77777777" w:rsidR="0095366B" w:rsidRPr="00D00CC9" w:rsidRDefault="0095366B" w:rsidP="00FB66E6">
      <w:pPr>
        <w:spacing w:after="0"/>
        <w:rPr>
          <w:rFonts w:ascii="Arial" w:hAnsi="Arial" w:cs="Arial"/>
          <w:sz w:val="24"/>
          <w:szCs w:val="24"/>
        </w:rPr>
      </w:pPr>
    </w:p>
    <w:p w14:paraId="551146F0" w14:textId="77777777" w:rsidR="00FB66E6" w:rsidRDefault="009A3C86" w:rsidP="009A3C86">
      <w:pPr>
        <w:numPr>
          <w:ilvl w:val="0"/>
          <w:numId w:val="1"/>
        </w:numPr>
        <w:spacing w:after="0"/>
        <w:ind w:left="426"/>
        <w:jc w:val="both"/>
        <w:rPr>
          <w:rFonts w:ascii="Arial" w:hAnsi="Arial" w:cs="Arial"/>
          <w:sz w:val="24"/>
          <w:szCs w:val="24"/>
        </w:rPr>
      </w:pPr>
      <w:r w:rsidRPr="00D00CC9">
        <w:rPr>
          <w:rFonts w:ascii="Arial" w:hAnsi="Arial" w:cs="Arial"/>
          <w:b/>
          <w:sz w:val="24"/>
          <w:szCs w:val="24"/>
        </w:rPr>
        <w:t>Amenaza:</w:t>
      </w:r>
      <w:r w:rsidRPr="00D00CC9">
        <w:rPr>
          <w:rFonts w:ascii="Arial" w:hAnsi="Arial" w:cs="Arial"/>
          <w:sz w:val="24"/>
          <w:szCs w:val="24"/>
        </w:rPr>
        <w:t xml:space="preserve"> Causa potencial de un incidente no deseado, que puede causar daños a un sistema u organización.</w:t>
      </w:r>
    </w:p>
    <w:p w14:paraId="7E90F62C" w14:textId="77777777" w:rsidR="00FB66E6" w:rsidRDefault="009A3C86" w:rsidP="009A3C86">
      <w:pPr>
        <w:numPr>
          <w:ilvl w:val="0"/>
          <w:numId w:val="1"/>
        </w:numPr>
        <w:spacing w:after="0"/>
        <w:ind w:left="426"/>
        <w:jc w:val="both"/>
        <w:rPr>
          <w:rFonts w:ascii="Arial" w:hAnsi="Arial" w:cs="Arial"/>
          <w:sz w:val="24"/>
          <w:szCs w:val="24"/>
        </w:rPr>
      </w:pPr>
      <w:r w:rsidRPr="00FB66E6">
        <w:rPr>
          <w:rFonts w:ascii="Arial" w:hAnsi="Arial" w:cs="Arial"/>
          <w:b/>
          <w:sz w:val="24"/>
          <w:szCs w:val="24"/>
          <w:lang w:val="es-ES_tradnl"/>
        </w:rPr>
        <w:t xml:space="preserve">Apetito de riesgo: </w:t>
      </w:r>
      <w:r w:rsidRPr="00FB66E6">
        <w:rPr>
          <w:rFonts w:ascii="Arial" w:hAnsi="Arial" w:cs="Arial"/>
          <w:sz w:val="24"/>
          <w:szCs w:val="24"/>
          <w:lang w:val="es-ES_tradnl"/>
        </w:rPr>
        <w:t>Es el nivel de exposición al riesgo que una organización solidaria está dispuesta a asumir en el desarrollo de sus actividades, con el propósito de alcanzar sus objetivos estratégicos y cumplir con su plan de negocios.</w:t>
      </w:r>
    </w:p>
    <w:p w14:paraId="024559AE" w14:textId="77777777" w:rsidR="00FB66E6" w:rsidRDefault="009A3C86" w:rsidP="009A3C86">
      <w:pPr>
        <w:numPr>
          <w:ilvl w:val="0"/>
          <w:numId w:val="1"/>
        </w:numPr>
        <w:spacing w:after="0"/>
        <w:ind w:left="426"/>
        <w:jc w:val="both"/>
        <w:rPr>
          <w:rFonts w:ascii="Arial" w:hAnsi="Arial" w:cs="Arial"/>
          <w:sz w:val="24"/>
          <w:szCs w:val="24"/>
        </w:rPr>
      </w:pPr>
      <w:r w:rsidRPr="00FB66E6">
        <w:rPr>
          <w:rFonts w:ascii="Arial" w:hAnsi="Arial" w:cs="Arial"/>
          <w:b/>
          <w:sz w:val="24"/>
          <w:szCs w:val="24"/>
        </w:rPr>
        <w:t xml:space="preserve">Área de impacto: </w:t>
      </w:r>
      <w:r w:rsidRPr="00FB66E6">
        <w:rPr>
          <w:rFonts w:ascii="Arial" w:hAnsi="Arial" w:cs="Arial"/>
          <w:sz w:val="24"/>
          <w:szCs w:val="24"/>
        </w:rPr>
        <w:t xml:space="preserve">Es todo recurso, bien u oportunidad, al cual la organización le </w:t>
      </w:r>
      <w:r w:rsidRPr="00FB66E6">
        <w:rPr>
          <w:rFonts w:ascii="Arial" w:hAnsi="Arial" w:cs="Arial"/>
          <w:sz w:val="24"/>
          <w:szCs w:val="24"/>
          <w:lang w:val="es-ES_tradnl"/>
        </w:rPr>
        <w:t xml:space="preserve">ha (o debe) asignar un valor y su afectación o generación (en mayor o menor valor) podría comprometerse el cumplimiento de sus objetivos y metas. </w:t>
      </w:r>
    </w:p>
    <w:p w14:paraId="478B1873" w14:textId="77777777" w:rsidR="00FB66E6" w:rsidRDefault="009A3C86" w:rsidP="009A3C86">
      <w:pPr>
        <w:numPr>
          <w:ilvl w:val="0"/>
          <w:numId w:val="1"/>
        </w:numPr>
        <w:spacing w:after="0"/>
        <w:ind w:left="426"/>
        <w:jc w:val="both"/>
        <w:rPr>
          <w:rFonts w:ascii="Arial" w:hAnsi="Arial" w:cs="Arial"/>
          <w:sz w:val="24"/>
          <w:szCs w:val="24"/>
        </w:rPr>
      </w:pPr>
      <w:r w:rsidRPr="00FB66E6">
        <w:rPr>
          <w:rFonts w:ascii="Arial" w:hAnsi="Arial" w:cs="Arial"/>
          <w:b/>
          <w:sz w:val="24"/>
          <w:szCs w:val="24"/>
        </w:rPr>
        <w:t>Back Office:</w:t>
      </w:r>
      <w:r w:rsidRPr="00FB66E6">
        <w:rPr>
          <w:rFonts w:ascii="Arial" w:hAnsi="Arial" w:cs="Arial"/>
          <w:sz w:val="24"/>
          <w:szCs w:val="24"/>
        </w:rPr>
        <w:t xml:space="preserv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Middle y Back Office) sean independientes, con el fin de que haya un adecuado control y evitar conflictos de interés.</w:t>
      </w:r>
    </w:p>
    <w:p w14:paraId="742FCF60" w14:textId="77777777" w:rsidR="00FB66E6" w:rsidRDefault="009A3C8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Cadena de valor de una organización solidaria</w:t>
      </w:r>
      <w:r w:rsidRPr="00FB66E6">
        <w:rPr>
          <w:rFonts w:ascii="Arial" w:hAnsi="Arial" w:cs="Arial"/>
          <w:sz w:val="24"/>
          <w:szCs w:val="24"/>
        </w:rPr>
        <w:t xml:space="preserve">: La cadena de valor es un concepto que hace referencia al conjunto de procesos encadenados que estratégicamente son fundamentales para entender y gestionar las ventajas competitivas de </w:t>
      </w:r>
      <w:r w:rsidR="00FB66E6" w:rsidRPr="00FB66E6">
        <w:rPr>
          <w:rFonts w:ascii="Arial" w:hAnsi="Arial" w:cs="Arial"/>
          <w:b/>
          <w:bCs/>
          <w:sz w:val="24"/>
          <w:szCs w:val="24"/>
        </w:rPr>
        <w:t>COOPEAIPE</w:t>
      </w:r>
      <w:r w:rsidRPr="00FB66E6">
        <w:rPr>
          <w:rFonts w:ascii="Arial" w:hAnsi="Arial" w:cs="Arial"/>
          <w:sz w:val="24"/>
          <w:szCs w:val="24"/>
        </w:rPr>
        <w:t xml:space="preserve">. Se dividen en tres conjuntos de procesos: estratégicos, misionales, y de apoyo y control. </w:t>
      </w:r>
    </w:p>
    <w:p w14:paraId="66F67B16" w14:textId="77777777" w:rsidR="00FB66E6" w:rsidRDefault="00FB66E6" w:rsidP="00FB66E6">
      <w:pPr>
        <w:numPr>
          <w:ilvl w:val="0"/>
          <w:numId w:val="1"/>
        </w:numPr>
        <w:spacing w:after="0"/>
        <w:ind w:left="426"/>
        <w:jc w:val="both"/>
        <w:rPr>
          <w:rFonts w:ascii="Arial" w:hAnsi="Arial" w:cs="Arial"/>
          <w:sz w:val="24"/>
          <w:szCs w:val="24"/>
        </w:rPr>
      </w:pPr>
      <w:r w:rsidRPr="00FB66E6">
        <w:rPr>
          <w:rFonts w:ascii="Arial" w:hAnsi="Arial" w:cs="Arial"/>
          <w:b/>
          <w:bCs/>
          <w:sz w:val="24"/>
          <w:szCs w:val="24"/>
        </w:rPr>
        <w:t xml:space="preserve">Confidencialidad: </w:t>
      </w:r>
      <w:r w:rsidRPr="00FB66E6">
        <w:rPr>
          <w:rFonts w:ascii="Arial" w:hAnsi="Arial" w:cs="Arial"/>
          <w:sz w:val="24"/>
          <w:szCs w:val="24"/>
        </w:rPr>
        <w:t>La propiedad de que la información sólo sea conocida por aquellas personas que tienen derecho legítimo a conocerla.</w:t>
      </w:r>
    </w:p>
    <w:p w14:paraId="5EDE5A54" w14:textId="77777777" w:rsidR="00FB66E6" w:rsidRDefault="00FB66E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Conflictos de Interés:</w:t>
      </w:r>
      <w:r w:rsidRPr="00FB66E6">
        <w:rPr>
          <w:rFonts w:ascii="Arial" w:hAnsi="Arial" w:cs="Arial"/>
          <w:sz w:val="24"/>
          <w:szCs w:val="24"/>
        </w:rPr>
        <w:t xml:space="preserve"> Para efectos de lo previsto en el presente capítulo será aplicable la definición de conflicto de interés descrita en el Articulo 2.11.11.8.2 del Decreto 1068 de 2015, incorporado por el Decreto 962 de 2018 el cual señala lo 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6D8A80D8" w14:textId="77777777" w:rsidR="00FB66E6" w:rsidRDefault="00FB66E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 xml:space="preserve">Consecuencia: </w:t>
      </w:r>
      <w:r w:rsidRPr="00FB66E6">
        <w:rPr>
          <w:rFonts w:ascii="Arial" w:hAnsi="Arial" w:cs="Arial"/>
          <w:sz w:val="24"/>
          <w:szCs w:val="24"/>
        </w:rPr>
        <w:t>resultado de un evento que afecta a los objetivos.</w:t>
      </w:r>
    </w:p>
    <w:p w14:paraId="0A42F5A2" w14:textId="77777777" w:rsidR="00FB66E6" w:rsidRDefault="00FB66E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Control:</w:t>
      </w:r>
      <w:r w:rsidRPr="00FB66E6">
        <w:rPr>
          <w:rFonts w:ascii="Arial" w:hAnsi="Arial" w:cs="Arial"/>
          <w:sz w:val="24"/>
          <w:szCs w:val="24"/>
        </w:rPr>
        <w:t xml:space="preserve"> </w:t>
      </w:r>
      <w:r w:rsidRPr="00FB66E6">
        <w:rPr>
          <w:rFonts w:ascii="Arial" w:hAnsi="Arial" w:cs="Arial"/>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r w:rsidRPr="00FB66E6">
        <w:rPr>
          <w:rFonts w:ascii="Arial" w:hAnsi="Arial" w:cs="Arial"/>
          <w:sz w:val="24"/>
          <w:szCs w:val="24"/>
        </w:rPr>
        <w:t>Medida o acción que modifica un riesgo para prevenir su materialización.</w:t>
      </w:r>
    </w:p>
    <w:p w14:paraId="1BE281AF" w14:textId="77777777" w:rsidR="00FB66E6" w:rsidRDefault="00FB66E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 xml:space="preserve">Contraparte: </w:t>
      </w:r>
      <w:r w:rsidRPr="00FB66E6">
        <w:rPr>
          <w:rFonts w:ascii="Arial" w:hAnsi="Arial" w:cs="Arial"/>
          <w:sz w:val="24"/>
          <w:szCs w:val="24"/>
          <w:lang w:val="es-ES_tradnl"/>
        </w:rPr>
        <w:t xml:space="preserve">es una entidad legal o un conjunto de entidades para las que puede existir una exposición de riesgo financiero y con las cuales se establece una relación contractual. </w:t>
      </w:r>
    </w:p>
    <w:p w14:paraId="3A93419A" w14:textId="77777777" w:rsidR="00954B0E" w:rsidRDefault="00FB66E6" w:rsidP="00954B0E">
      <w:pPr>
        <w:numPr>
          <w:ilvl w:val="0"/>
          <w:numId w:val="1"/>
        </w:numPr>
        <w:spacing w:after="0"/>
        <w:ind w:left="426"/>
        <w:jc w:val="both"/>
        <w:rPr>
          <w:rFonts w:ascii="Arial" w:hAnsi="Arial" w:cs="Arial"/>
          <w:sz w:val="24"/>
          <w:szCs w:val="24"/>
        </w:rPr>
      </w:pPr>
      <w:r w:rsidRPr="00FB66E6">
        <w:rPr>
          <w:rFonts w:ascii="Arial" w:hAnsi="Arial" w:cs="Arial"/>
          <w:b/>
          <w:sz w:val="24"/>
          <w:szCs w:val="24"/>
        </w:rPr>
        <w:t xml:space="preserve">Derivados Financieros: </w:t>
      </w:r>
      <w:r w:rsidRPr="00FB66E6">
        <w:rPr>
          <w:rFonts w:ascii="Arial" w:hAnsi="Arial" w:cs="Arial"/>
          <w:sz w:val="24"/>
          <w:szCs w:val="24"/>
          <w:lang w:val="es-ES_tradnl"/>
        </w:rPr>
        <w:t xml:space="preserve">es un producto financiero cuyo valor depende del valor de otro activo. El comprador acepta adquirir el derivado en una fecha específica a un </w:t>
      </w:r>
      <w:r w:rsidRPr="00FB66E6">
        <w:rPr>
          <w:rFonts w:ascii="Arial" w:hAnsi="Arial" w:cs="Arial"/>
          <w:sz w:val="24"/>
          <w:szCs w:val="24"/>
          <w:lang w:val="es-ES_tradnl"/>
        </w:rPr>
        <w:lastRenderedPageBreak/>
        <w:t xml:space="preserve">precio específico. Los derivados financieros con fines de cobertura son aquellos contratados en el curso ordinario de las operaciones de las organizaciones con el objeto de evitar, atenuar o eliminar el riesgo, por el efecto de futuras fluctuaciones. </w:t>
      </w:r>
    </w:p>
    <w:p w14:paraId="6E9890A0"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Disponibilidad: </w:t>
      </w:r>
      <w:r w:rsidRPr="00954B0E">
        <w:rPr>
          <w:rFonts w:ascii="Arial" w:hAnsi="Arial" w:cs="Arial"/>
          <w:sz w:val="24"/>
          <w:szCs w:val="24"/>
        </w:rPr>
        <w:t xml:space="preserve">La propiedad de que la información se encuentre disponible en los puntos de uso cuando ésta sea requerida por una persona autorizada, al igual que los recursos necesarios para su uso. </w:t>
      </w:r>
    </w:p>
    <w:p w14:paraId="3C1198BB"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lang w:val="es-ES_tradnl"/>
        </w:rPr>
        <w:t xml:space="preserve">Dueño del proceso: </w:t>
      </w:r>
      <w:r w:rsidRPr="00954B0E">
        <w:rPr>
          <w:rFonts w:ascii="Arial" w:hAnsi="Arial" w:cs="Arial"/>
          <w:bCs/>
          <w:sz w:val="24"/>
          <w:szCs w:val="24"/>
          <w:lang w:val="es-ES_tradnl"/>
        </w:rPr>
        <w:t>Empleado</w:t>
      </w:r>
      <w:r w:rsidRPr="00954B0E">
        <w:rPr>
          <w:rFonts w:ascii="Arial" w:hAnsi="Arial" w:cs="Arial"/>
          <w:b/>
          <w:sz w:val="24"/>
          <w:szCs w:val="24"/>
          <w:lang w:val="es-ES_tradnl"/>
        </w:rPr>
        <w:t xml:space="preserve"> </w:t>
      </w:r>
      <w:r w:rsidRPr="00954B0E">
        <w:rPr>
          <w:rFonts w:ascii="Arial" w:hAnsi="Arial" w:cs="Arial"/>
          <w:sz w:val="24"/>
          <w:szCs w:val="24"/>
          <w:lang w:val="es-ES_tradnl"/>
        </w:rPr>
        <w:t>responsable de la administración de un proceso; es decir, de su planeación, organización, dirección y control.</w:t>
      </w:r>
    </w:p>
    <w:p w14:paraId="3D46A697"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Entidad Externa o Tercero: </w:t>
      </w:r>
      <w:r w:rsidRPr="00954B0E">
        <w:rPr>
          <w:rFonts w:ascii="Arial" w:hAnsi="Arial" w:cs="Arial"/>
          <w:sz w:val="24"/>
          <w:szCs w:val="24"/>
        </w:rPr>
        <w:t xml:space="preserve">Cualquier persona o empresa ajena a </w:t>
      </w:r>
      <w:r w:rsidRPr="00954B0E">
        <w:rPr>
          <w:rFonts w:ascii="Arial" w:hAnsi="Arial" w:cs="Arial"/>
          <w:b/>
          <w:bCs/>
          <w:sz w:val="24"/>
          <w:szCs w:val="24"/>
        </w:rPr>
        <w:t>COOPEAIPE</w:t>
      </w:r>
      <w:r w:rsidRPr="00954B0E">
        <w:rPr>
          <w:rFonts w:ascii="Arial" w:hAnsi="Arial" w:cs="Arial"/>
          <w:sz w:val="24"/>
          <w:szCs w:val="24"/>
        </w:rPr>
        <w:t xml:space="preserve"> (cliente, proveedor, usuario, contratista, etc.) que por razón de sus actividades deba acceder a información contenida o bajo custodia de la entidad.</w:t>
      </w:r>
    </w:p>
    <w:p w14:paraId="36C23D04"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lang w:val="es-ES_tradnl"/>
        </w:rPr>
        <w:t xml:space="preserve">Eventos de pérdida: </w:t>
      </w:r>
      <w:r w:rsidRPr="00954B0E">
        <w:rPr>
          <w:rFonts w:ascii="Arial" w:hAnsi="Arial" w:cs="Arial"/>
          <w:sz w:val="24"/>
          <w:szCs w:val="24"/>
          <w:lang w:val="es-ES_tradnl"/>
        </w:rPr>
        <w:t>Son aquellos incidentes que generan pérdidas por riesgo operativo a las entidades.</w:t>
      </w:r>
    </w:p>
    <w:p w14:paraId="5EE7F63F"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Front Office:</w:t>
      </w:r>
      <w:r w:rsidRPr="00954B0E">
        <w:rPr>
          <w:rFonts w:ascii="Arial" w:hAnsi="Arial" w:cs="Arial"/>
          <w:bCs/>
          <w:sz w:val="24"/>
          <w:szCs w:val="24"/>
        </w:rPr>
        <w:t xml:space="preserve"> Es el área encargada o persona responsable de la negociación y contratación de las operaciones de tesorería. Adicionalmente, se encarga del relacionamiento con el intermediario de valores y se encarga de los aspectos comerciales de la tesorería.</w:t>
      </w:r>
    </w:p>
    <w:p w14:paraId="354F8A8C"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Impacto: </w:t>
      </w:r>
      <w:r w:rsidRPr="00954B0E">
        <w:rPr>
          <w:rFonts w:ascii="Arial" w:hAnsi="Arial" w:cs="Arial"/>
          <w:sz w:val="24"/>
          <w:szCs w:val="24"/>
        </w:rPr>
        <w:t>Esta variable hace referencia a los efectos adversos sobre la organización, es decir, lo que ésta podría perder y/o lo que podría salir mal.</w:t>
      </w:r>
    </w:p>
    <w:p w14:paraId="4D1845B3"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Incidente: </w:t>
      </w:r>
      <w:r w:rsidRPr="00954B0E">
        <w:rPr>
          <w:rFonts w:ascii="Arial" w:hAnsi="Arial" w:cs="Arial"/>
          <w:sz w:val="24"/>
          <w:szCs w:val="24"/>
        </w:rPr>
        <w:t xml:space="preserve">Cualquier situación que tenga características observables y que afecte negativamente la confidencialidad, integridad o disponibilidad de un activo de información. </w:t>
      </w:r>
    </w:p>
    <w:p w14:paraId="71673909"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Información Privada: </w:t>
      </w:r>
      <w:r w:rsidRPr="00954B0E">
        <w:rPr>
          <w:rFonts w:ascii="Arial" w:hAnsi="Arial" w:cs="Arial"/>
          <w:sz w:val="24"/>
          <w:szCs w:val="24"/>
        </w:rPr>
        <w:t>Aquella que por versar sobre información personal o no, y que, por encontrarse en un ámbito privado, solo puede ser obtenida y ofrecida por orden de autoridad judicial en el cumplimiento de sus funciones.</w:t>
      </w:r>
    </w:p>
    <w:p w14:paraId="3D8DA1DC"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Infraestructura: </w:t>
      </w:r>
      <w:r w:rsidRPr="00954B0E">
        <w:rPr>
          <w:rFonts w:ascii="Arial" w:hAnsi="Arial" w:cs="Arial"/>
          <w:sz w:val="24"/>
          <w:szCs w:val="24"/>
        </w:rPr>
        <w:t>Es el conjunto de elementos de apoyo para el funcionamiento de una organización que incluye entre otros los siguientes: edificios, espacios de trabajo, almacenamiento y transporte.</w:t>
      </w:r>
    </w:p>
    <w:p w14:paraId="2F673ADA"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Instrumento Financiero Derivado:</w:t>
      </w:r>
      <w:r w:rsidRPr="00954B0E">
        <w:rPr>
          <w:rFonts w:ascii="Arial" w:hAnsi="Arial" w:cs="Arial"/>
          <w:sz w:val="24"/>
          <w:szCs w:val="24"/>
        </w:rPr>
        <w:t xml:space="preserve"> Es una operación cuya principal característica consiste en que su precio justo de intercambio depende de uno o más subyacentes y su cumplimiento o liquidación se realiza en un momento posterior. Dicha liquidación puede ser en efectivo, en instrumentos financieros o en productos o bienes transables, según se establezca en el contrato o en el correspondiente reglamento del sistema de negociación de valores, del sistema de registro de operaciones sobre valores o del sistema de compensación y liquidación de valores. Un instrumento financiero derivado permite la administración o asunción, de uno o más riesgos asociados con los subyacentes y cumple cualquiera de las siguientes dos (2) condiciones alternativas: (i) No requerir una inversión neta inicial. (ii) Requerir una inversión neta inicial inferior a la que se necesitaría para adquirir instrumentos que provean el mismo pago esperado como respuesta a cambios en los factores de mercado.</w:t>
      </w:r>
    </w:p>
    <w:p w14:paraId="2BCB3741"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lastRenderedPageBreak/>
        <w:t xml:space="preserve">Integridad: </w:t>
      </w:r>
      <w:r w:rsidRPr="00954B0E">
        <w:rPr>
          <w:rFonts w:ascii="Arial" w:hAnsi="Arial" w:cs="Arial"/>
          <w:sz w:val="24"/>
          <w:szCs w:val="24"/>
        </w:rPr>
        <w:t>La propiedad de que la información sea integra, confiable y no haya sido alterada en ninguna circunstancia, siempre se debe prevenir modificaciones no autorizadas de la información.</w:t>
      </w:r>
    </w:p>
    <w:p w14:paraId="293657C9"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Medio: </w:t>
      </w:r>
      <w:r w:rsidRPr="00954B0E">
        <w:rPr>
          <w:rFonts w:ascii="Arial" w:hAnsi="Arial" w:cs="Arial"/>
          <w:sz w:val="24"/>
          <w:szCs w:val="24"/>
        </w:rPr>
        <w:t xml:space="preserve">Cualquier elemento o dispositivo que contenga información. </w:t>
      </w:r>
    </w:p>
    <w:p w14:paraId="44C7367F"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Middle Office:</w:t>
      </w:r>
      <w:r w:rsidRPr="00954B0E">
        <w:rPr>
          <w:rFonts w:ascii="Arial" w:hAnsi="Arial" w:cs="Arial"/>
          <w:sz w:val="24"/>
          <w:szCs w:val="24"/>
        </w:rPr>
        <w:t xml:space="preserve">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1F801F53"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Modelo CAMEL:  </w:t>
      </w:r>
      <w:r w:rsidRPr="00954B0E">
        <w:rPr>
          <w:rFonts w:ascii="Arial" w:hAnsi="Arial" w:cs="Arial"/>
          <w:sz w:val="24"/>
          <w:szCs w:val="24"/>
        </w:rPr>
        <w:t>La metodología CAMEL evalúa la solidez financiera de las empresas con base en indicadores cuantitativos, contemplando cinco áreas: capital adecuado (C), calidad del activo (A), capacidad de la gerencia (M), rentabilidad (E) y situación de liquidez (L).</w:t>
      </w:r>
    </w:p>
    <w:p w14:paraId="684FDC37"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Nivel de riesgo:</w:t>
      </w:r>
      <w:r w:rsidRPr="00954B0E">
        <w:rPr>
          <w:rFonts w:ascii="Arial" w:hAnsi="Arial" w:cs="Arial"/>
          <w:sz w:val="24"/>
          <w:szCs w:val="24"/>
        </w:rPr>
        <w:t xml:space="preserve"> Evaluación del riesgo identificando su posible materialización frente al impacto y probabilidad de ocurrencia.</w:t>
      </w:r>
    </w:p>
    <w:p w14:paraId="6C37A116"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Operaciones de Tesorería:</w:t>
      </w:r>
      <w:r w:rsidRPr="00954B0E">
        <w:rPr>
          <w:rFonts w:ascii="Arial" w:hAnsi="Arial" w:cs="Arial"/>
          <w:sz w:val="24"/>
          <w:szCs w:val="24"/>
        </w:rPr>
        <w:t xml:space="preserve"> Se definen como aquellas negociaciones realizadas a nombre de la organización solidaria y que serán tomadas como una inversión. Estas operaciones pueden ser realizadas en pesos (COP), en divisas (por ejemplo: USD, EUR, entre otras) o en otra denominación (por ejemplo, UVR).</w:t>
      </w:r>
    </w:p>
    <w:p w14:paraId="06D653B2"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Parte interesada:</w:t>
      </w:r>
      <w:r w:rsidRPr="00954B0E">
        <w:rPr>
          <w:rFonts w:ascii="Arial" w:hAnsi="Arial" w:cs="Arial"/>
          <w:sz w:val="24"/>
          <w:szCs w:val="24"/>
        </w:rPr>
        <w:t xml:space="preserve"> persona u organización que puede afectar, verse afectada, o percibirse como afectada por una decisión o actividad.</w:t>
      </w:r>
    </w:p>
    <w:p w14:paraId="51C9D634"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Pérdidas:</w:t>
      </w:r>
      <w:r w:rsidRPr="00954B0E">
        <w:rPr>
          <w:rFonts w:ascii="Arial" w:hAnsi="Arial" w:cs="Arial"/>
          <w:sz w:val="24"/>
          <w:szCs w:val="24"/>
        </w:rPr>
        <w:t xml:space="preserve"> Es la cuantificación económica de la ocurrencia de un evento de riesgo operativo, así como los gastos derivados de su atención. </w:t>
      </w:r>
    </w:p>
    <w:p w14:paraId="66AF32B2"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Perfil de Riesgo: </w:t>
      </w:r>
      <w:r w:rsidRPr="00954B0E">
        <w:rPr>
          <w:rFonts w:ascii="Arial" w:hAnsi="Arial" w:cs="Arial"/>
          <w:sz w:val="24"/>
          <w:szCs w:val="24"/>
        </w:rPr>
        <w:t>Resultado consolidado de la medición permanente de los riesgos a los que se ve expuesta la entidad</w:t>
      </w:r>
      <w:r w:rsidRPr="00954B0E">
        <w:rPr>
          <w:rFonts w:ascii="Arial" w:hAnsi="Arial" w:cs="Arial"/>
          <w:b/>
          <w:sz w:val="24"/>
          <w:szCs w:val="24"/>
        </w:rPr>
        <w:t>.</w:t>
      </w:r>
    </w:p>
    <w:p w14:paraId="701FA219" w14:textId="77777777" w:rsidR="00954B0E" w:rsidRDefault="00FB66E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Portafolios o posiciones de tesorería:</w:t>
      </w:r>
      <w:r w:rsidRPr="00954B0E">
        <w:rPr>
          <w:rFonts w:ascii="Arial" w:hAnsi="Arial" w:cs="Arial"/>
          <w:sz w:val="24"/>
          <w:szCs w:val="24"/>
        </w:rPr>
        <w:t xml:space="preserve"> Son el conjunto de operaciones de tesorería que la organización solidaria mantiene con el objetivo de cumplir con los requerimientos legales, como el portafolio del fondo de liquidez, o aquellas otras inversiones realizadas con los recursos que no son colocados en cartera de crédito.</w:t>
      </w:r>
    </w:p>
    <w:p w14:paraId="29DD18BA" w14:textId="6C1EAEAA" w:rsidR="00FB66E6" w:rsidRP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Procesos estratégicos:</w:t>
      </w:r>
      <w:r w:rsidRPr="00954B0E">
        <w:rPr>
          <w:rFonts w:ascii="Arial" w:hAnsi="Arial" w:cs="Arial"/>
          <w:sz w:val="24"/>
          <w:szCs w:val="24"/>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recursos financieros etc. </w:t>
      </w:r>
    </w:p>
    <w:p w14:paraId="552D6FF7" w14:textId="77777777" w:rsidR="00FB66E6" w:rsidRDefault="009A3C86" w:rsidP="00FB66E6">
      <w:pPr>
        <w:numPr>
          <w:ilvl w:val="0"/>
          <w:numId w:val="1"/>
        </w:numPr>
        <w:spacing w:after="0"/>
        <w:ind w:left="426"/>
        <w:jc w:val="both"/>
        <w:rPr>
          <w:rFonts w:ascii="Arial" w:hAnsi="Arial" w:cs="Arial"/>
          <w:sz w:val="24"/>
          <w:szCs w:val="24"/>
        </w:rPr>
      </w:pPr>
      <w:r w:rsidRPr="00FB66E6">
        <w:rPr>
          <w:rFonts w:ascii="Arial" w:hAnsi="Arial" w:cs="Arial"/>
          <w:b/>
          <w:sz w:val="24"/>
          <w:szCs w:val="24"/>
        </w:rPr>
        <w:t>Procesos misionales</w:t>
      </w:r>
      <w:r w:rsidRPr="00FB66E6">
        <w:rPr>
          <w:rFonts w:ascii="Arial" w:hAnsi="Arial" w:cs="Arial"/>
          <w:sz w:val="24"/>
          <w:szCs w:val="24"/>
        </w:rPr>
        <w:t>: Son aquellos procesos que añaden valor al asociado o inciden directamente en su satisfacción o insatisfacción. Son procesos claves que intervienen en la misión de la organización y en el cumplimiento del objeto social.</w:t>
      </w:r>
    </w:p>
    <w:p w14:paraId="4CE83F1A" w14:textId="77777777" w:rsidR="00954B0E" w:rsidRDefault="009A3C86" w:rsidP="009A3C86">
      <w:pPr>
        <w:numPr>
          <w:ilvl w:val="0"/>
          <w:numId w:val="1"/>
        </w:numPr>
        <w:spacing w:after="0"/>
        <w:ind w:left="426"/>
        <w:jc w:val="both"/>
        <w:rPr>
          <w:rFonts w:ascii="Arial" w:hAnsi="Arial" w:cs="Arial"/>
          <w:sz w:val="24"/>
          <w:szCs w:val="24"/>
        </w:rPr>
      </w:pPr>
      <w:r w:rsidRPr="00FB66E6">
        <w:rPr>
          <w:rFonts w:ascii="Arial" w:hAnsi="Arial" w:cs="Arial"/>
          <w:b/>
          <w:sz w:val="24"/>
          <w:szCs w:val="24"/>
        </w:rPr>
        <w:t>Procesos de apoyo</w:t>
      </w:r>
      <w:r w:rsidR="00E153A6" w:rsidRPr="00FB66E6">
        <w:rPr>
          <w:rFonts w:ascii="Arial" w:hAnsi="Arial" w:cs="Arial"/>
          <w:b/>
          <w:sz w:val="24"/>
          <w:szCs w:val="24"/>
        </w:rPr>
        <w:t xml:space="preserve"> y control</w:t>
      </w:r>
      <w:r w:rsidRPr="00FB66E6">
        <w:rPr>
          <w:rFonts w:ascii="Arial" w:hAnsi="Arial" w:cs="Arial"/>
          <w:b/>
          <w:sz w:val="24"/>
          <w:szCs w:val="24"/>
        </w:rPr>
        <w:t>:</w:t>
      </w:r>
      <w:r w:rsidRPr="00FB66E6">
        <w:rPr>
          <w:rFonts w:ascii="Arial" w:hAnsi="Arial" w:cs="Arial"/>
          <w:sz w:val="24"/>
          <w:szCs w:val="24"/>
        </w:rPr>
        <w:t xml:space="preserve"> </w:t>
      </w:r>
      <w:r w:rsidR="00E153A6" w:rsidRPr="00FB66E6">
        <w:rPr>
          <w:rFonts w:ascii="Arial" w:hAnsi="Arial" w:cs="Arial"/>
          <w:sz w:val="24"/>
          <w:szCs w:val="24"/>
        </w:rPr>
        <w:t>Los procesos de apoyo son los que suministran los recursos necesarios para el buen desempeño de las operaciones del negocio, como son: financieros, humanos, tecnológicos, jurídicos, físicos e intangibles, entre otros y en los procesos de control se tiene la gestión de riesgos, control interno, etc</w:t>
      </w:r>
    </w:p>
    <w:p w14:paraId="08D2F5A2" w14:textId="2025FAF4"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lastRenderedPageBreak/>
        <w:t>Probabilidad:</w:t>
      </w:r>
      <w:r w:rsidRPr="00954B0E">
        <w:rPr>
          <w:rFonts w:ascii="Arial" w:hAnsi="Arial" w:cs="Arial"/>
          <w:sz w:val="24"/>
          <w:szCs w:val="24"/>
        </w:rPr>
        <w:t xml:space="preserve"> Posibilidad del riesgo que se pueda materializar frente a un incidente de seguridad de la información</w:t>
      </w:r>
      <w:r w:rsidR="00954B0E">
        <w:rPr>
          <w:rFonts w:ascii="Arial" w:hAnsi="Arial" w:cs="Arial"/>
          <w:sz w:val="24"/>
          <w:szCs w:val="24"/>
        </w:rPr>
        <w:t>.</w:t>
      </w:r>
    </w:p>
    <w:p w14:paraId="4F7E10BE" w14:textId="77777777"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Recurso Humano: </w:t>
      </w:r>
      <w:r w:rsidRPr="00954B0E">
        <w:rPr>
          <w:rFonts w:ascii="Arial" w:hAnsi="Arial" w:cs="Arial"/>
          <w:sz w:val="24"/>
          <w:szCs w:val="24"/>
        </w:rPr>
        <w:t>Es el conjunto de personas vinculadas directa o indirectamente con la ejecución de los procesos de la entidad. Se entiende por vinculación directa, aquella basada en un contrato de trabajo en los términos de la legislación vigente</w:t>
      </w:r>
      <w:r w:rsidR="00954B0E">
        <w:rPr>
          <w:rFonts w:ascii="Arial" w:hAnsi="Arial" w:cs="Arial"/>
          <w:sz w:val="24"/>
          <w:szCs w:val="24"/>
        </w:rPr>
        <w:t xml:space="preserve">. </w:t>
      </w:r>
      <w:r w:rsidRPr="00954B0E">
        <w:rPr>
          <w:rFonts w:ascii="Arial" w:hAnsi="Arial" w:cs="Arial"/>
          <w:sz w:val="24"/>
          <w:szCs w:val="24"/>
        </w:rPr>
        <w:t>La vinculación indirecta hace referencia a aquellas personas que tienen con la entidad una relación jurídica de prestación de servicios diferente a aquella que se origina en un contrato de trabajo.</w:t>
      </w:r>
    </w:p>
    <w:p w14:paraId="5278E97D" w14:textId="77777777"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Riesgo de Contraparte:</w:t>
      </w:r>
      <w:r w:rsidRPr="00954B0E">
        <w:rPr>
          <w:rFonts w:ascii="Arial" w:hAnsi="Arial" w:cs="Arial"/>
          <w:sz w:val="24"/>
          <w:szCs w:val="24"/>
        </w:rPr>
        <w:t xml:space="preserve"> El Riesgo de contraparte se refiere a la posibilidad de que </w:t>
      </w:r>
      <w:r w:rsidR="00FB66E6" w:rsidRPr="00954B0E">
        <w:rPr>
          <w:rFonts w:ascii="Arial" w:hAnsi="Arial" w:cs="Arial"/>
          <w:b/>
          <w:bCs/>
          <w:sz w:val="24"/>
          <w:szCs w:val="24"/>
        </w:rPr>
        <w:t>COOPEAIPE</w:t>
      </w:r>
      <w:r w:rsidRPr="00954B0E">
        <w:rPr>
          <w:rFonts w:ascii="Arial" w:hAnsi="Arial" w:cs="Arial"/>
          <w:sz w:val="24"/>
          <w:szCs w:val="24"/>
        </w:rPr>
        <w:t xml:space="preserve"> incurra en pérdidas y disminuya el valor de sus activos como consecuencia del incumplimiento de una contraparte, eventos en los cuales deberá atender el incumplimiento con sus propios recursos o materializar una pérdida en su balance.</w:t>
      </w:r>
    </w:p>
    <w:p w14:paraId="77DCC4BC" w14:textId="77777777"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Riesgo de Mercado</w:t>
      </w:r>
      <w:r w:rsidRPr="00954B0E">
        <w:rPr>
          <w:rFonts w:ascii="Arial" w:hAnsi="Arial" w:cs="Arial"/>
          <w:sz w:val="24"/>
          <w:szCs w:val="24"/>
        </w:rPr>
        <w:t>: Para los efectos del presente capítulo se entenderá por riesgo de mercado la posibilidad de que las organizaciones solidarias incurran en pérdidas asociadas a la disminución del valor de sus portafolios de tesorería, por efecto de cambios en el precio de los instrumentos financieros en los cuales se mantienen posiciones dentro o fuera del estado de situación financiera.</w:t>
      </w:r>
    </w:p>
    <w:p w14:paraId="2465BEA9" w14:textId="77777777"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Riesgo de Tasas de Interés:</w:t>
      </w:r>
      <w:r w:rsidRPr="00954B0E">
        <w:rPr>
          <w:rFonts w:ascii="Arial" w:hAnsi="Arial" w:cs="Arial"/>
          <w:sz w:val="24"/>
          <w:szCs w:val="24"/>
        </w:rPr>
        <w:t xml:space="preserve">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43691C5E"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Riesgo de Tasa de Cambio:</w:t>
      </w:r>
      <w:r w:rsidRPr="00954B0E">
        <w:rPr>
          <w:rFonts w:ascii="Arial" w:hAnsi="Arial" w:cs="Arial"/>
          <w:sz w:val="24"/>
          <w:szCs w:val="24"/>
        </w:rPr>
        <w:t xml:space="preserve"> Es la contingencia de pérdidas financieras por variaciones inesperadas en las tasas de cambio de las divisas en las cuales </w:t>
      </w:r>
      <w:r w:rsidR="00FB66E6" w:rsidRPr="00954B0E">
        <w:rPr>
          <w:rFonts w:ascii="Arial" w:hAnsi="Arial" w:cs="Arial"/>
          <w:b/>
          <w:bCs/>
          <w:sz w:val="24"/>
          <w:szCs w:val="24"/>
        </w:rPr>
        <w:t>COOPEAIPE</w:t>
      </w:r>
      <w:r w:rsidRPr="00954B0E">
        <w:rPr>
          <w:rFonts w:ascii="Arial" w:hAnsi="Arial" w:cs="Arial"/>
          <w:sz w:val="24"/>
          <w:szCs w:val="24"/>
        </w:rPr>
        <w:t xml:space="preserve"> mantiene posiciones en moneda extranjera.</w:t>
      </w:r>
    </w:p>
    <w:p w14:paraId="3C3C1A03"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Riesgo Legal:</w:t>
      </w:r>
      <w:r w:rsidRPr="00954B0E">
        <w:rPr>
          <w:rFonts w:ascii="Arial" w:hAnsi="Arial" w:cs="Arial"/>
          <w:sz w:val="24"/>
          <w:szCs w:val="24"/>
        </w:rPr>
        <w:t xml:space="preserve"> Es la posibilidad de pérdida en que incurre </w:t>
      </w:r>
      <w:r w:rsidR="00FB66E6" w:rsidRPr="00954B0E">
        <w:rPr>
          <w:rFonts w:ascii="Arial" w:hAnsi="Arial" w:cs="Arial"/>
          <w:b/>
          <w:bCs/>
          <w:sz w:val="24"/>
          <w:szCs w:val="24"/>
        </w:rPr>
        <w:t>COOPEAIPE</w:t>
      </w:r>
      <w:r w:rsidR="0035326B" w:rsidRPr="00954B0E">
        <w:rPr>
          <w:rFonts w:ascii="Arial" w:hAnsi="Arial" w:cs="Arial"/>
          <w:sz w:val="24"/>
          <w:szCs w:val="24"/>
        </w:rPr>
        <w:t xml:space="preserve"> </w:t>
      </w:r>
      <w:r w:rsidRPr="00954B0E">
        <w:rPr>
          <w:rFonts w:ascii="Arial" w:hAnsi="Arial" w:cs="Arial"/>
          <w:sz w:val="24"/>
          <w:szCs w:val="24"/>
        </w:rPr>
        <w:t xml:space="preserve">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67CB1C52" w14:textId="77777777" w:rsidR="00954B0E" w:rsidRP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Riesgo Inherente</w:t>
      </w:r>
      <w:r w:rsidRPr="00954B0E">
        <w:rPr>
          <w:rFonts w:ascii="Arial" w:hAnsi="Arial" w:cs="Arial"/>
          <w:sz w:val="24"/>
          <w:szCs w:val="24"/>
        </w:rPr>
        <w:t>: es aquel que puede existir de manera intrínseca en toda actividad. Puede generarse por factores internos o externos y afectar la rentabilidad y el capital de las empresas</w:t>
      </w:r>
      <w:r w:rsidR="00954B0E">
        <w:rPr>
          <w:rFonts w:ascii="Arial" w:hAnsi="Arial" w:cs="Arial"/>
          <w:sz w:val="24"/>
          <w:szCs w:val="24"/>
        </w:rPr>
        <w:t>.</w:t>
      </w:r>
    </w:p>
    <w:p w14:paraId="32BC6FB2"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Riesgo Operativo:</w:t>
      </w:r>
      <w:r w:rsidRPr="00954B0E">
        <w:rPr>
          <w:rFonts w:ascii="Arial" w:hAnsi="Arial" w:cs="Arial"/>
          <w:sz w:val="24"/>
          <w:szCs w:val="24"/>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4AEDA06C"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lastRenderedPageBreak/>
        <w:t xml:space="preserve">Riesgo reputacional: </w:t>
      </w:r>
      <w:r w:rsidRPr="00954B0E">
        <w:rPr>
          <w:rFonts w:ascii="Arial" w:hAnsi="Arial" w:cs="Arial"/>
          <w:sz w:val="24"/>
          <w:szCs w:val="24"/>
        </w:rPr>
        <w:t xml:space="preserve">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5145CA9A"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Riesgo residual</w:t>
      </w:r>
      <w:r w:rsidRPr="00954B0E">
        <w:rPr>
          <w:rFonts w:ascii="Arial" w:hAnsi="Arial" w:cs="Arial"/>
          <w:sz w:val="24"/>
          <w:szCs w:val="24"/>
        </w:rPr>
        <w:t xml:space="preserve">: Nivel resultante del riesgo después de aplicar los controles al riesgo inherente. </w:t>
      </w:r>
    </w:p>
    <w:p w14:paraId="413CEF8D" w14:textId="77777777" w:rsidR="00954B0E" w:rsidRDefault="009A3C86" w:rsidP="00954B0E">
      <w:pPr>
        <w:numPr>
          <w:ilvl w:val="0"/>
          <w:numId w:val="1"/>
        </w:numPr>
        <w:spacing w:after="0"/>
        <w:ind w:left="426"/>
        <w:jc w:val="both"/>
        <w:rPr>
          <w:rFonts w:ascii="Arial" w:hAnsi="Arial" w:cs="Arial"/>
          <w:sz w:val="24"/>
          <w:szCs w:val="24"/>
        </w:rPr>
      </w:pPr>
      <w:r w:rsidRPr="00954B0E">
        <w:rPr>
          <w:rFonts w:ascii="Arial" w:hAnsi="Arial" w:cs="Arial"/>
          <w:b/>
          <w:sz w:val="24"/>
          <w:szCs w:val="24"/>
        </w:rPr>
        <w:t>Seguridad de la Información:</w:t>
      </w:r>
      <w:r w:rsidRPr="00954B0E">
        <w:rPr>
          <w:rFonts w:ascii="Arial" w:hAnsi="Arial" w:cs="Arial"/>
          <w:sz w:val="24"/>
          <w:szCs w:val="24"/>
        </w:rPr>
        <w:t xml:space="preserve">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p>
    <w:p w14:paraId="111103CA"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 xml:space="preserve">Tecnología: </w:t>
      </w:r>
      <w:r w:rsidRPr="00954B0E">
        <w:rPr>
          <w:rFonts w:ascii="Arial" w:hAnsi="Arial" w:cs="Arial"/>
          <w:sz w:val="24"/>
          <w:szCs w:val="24"/>
        </w:rPr>
        <w:t xml:space="preserve">Es el conjunto de herramientas empleadas para soportar los procesos de la entidad. Incluye: hardware, software y telecomunicaciones. </w:t>
      </w:r>
    </w:p>
    <w:p w14:paraId="10D85ACE"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Tratamiento: </w:t>
      </w:r>
      <w:r w:rsidRPr="00954B0E">
        <w:rPr>
          <w:rFonts w:ascii="Arial" w:hAnsi="Arial" w:cs="Arial"/>
          <w:sz w:val="24"/>
          <w:szCs w:val="24"/>
        </w:rPr>
        <w:t xml:space="preserve">Cualquier operación o conjunto de operaciones sobre datos personales, tales como a recolección, almacenamiento, uso, circulación o supresión. </w:t>
      </w:r>
    </w:p>
    <w:p w14:paraId="632A60FB" w14:textId="77777777" w:rsid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sz w:val="24"/>
          <w:szCs w:val="24"/>
        </w:rPr>
        <w:t>Valor en Riesgo:</w:t>
      </w:r>
      <w:r w:rsidRPr="00954B0E">
        <w:rPr>
          <w:rFonts w:ascii="Arial" w:hAnsi="Arial" w:cs="Arial"/>
          <w:sz w:val="24"/>
          <w:szCs w:val="24"/>
        </w:rPr>
        <w:t xml:space="preserve"> El Valor en Riesgo corresponde a la máxima pérdida que puede tener una organización solidaria por variaciones en la tasa de interés, la tasa de cambio, las carteras colectivas y acciones en un horizonte de tiempo y con un nivel de confianza determinado</w:t>
      </w:r>
    </w:p>
    <w:p w14:paraId="59DAAD5E" w14:textId="44614895" w:rsidR="009A3C86" w:rsidRPr="00954B0E" w:rsidRDefault="009A3C86" w:rsidP="009A3C86">
      <w:pPr>
        <w:numPr>
          <w:ilvl w:val="0"/>
          <w:numId w:val="1"/>
        </w:numPr>
        <w:spacing w:after="0"/>
        <w:ind w:left="426"/>
        <w:jc w:val="both"/>
        <w:rPr>
          <w:rFonts w:ascii="Arial" w:hAnsi="Arial" w:cs="Arial"/>
          <w:sz w:val="24"/>
          <w:szCs w:val="24"/>
        </w:rPr>
      </w:pPr>
      <w:r w:rsidRPr="00954B0E">
        <w:rPr>
          <w:rFonts w:ascii="Arial" w:hAnsi="Arial" w:cs="Arial"/>
          <w:b/>
          <w:bCs/>
          <w:sz w:val="24"/>
          <w:szCs w:val="24"/>
        </w:rPr>
        <w:t xml:space="preserve">Vulnerabilidad: </w:t>
      </w:r>
      <w:r w:rsidRPr="00954B0E">
        <w:rPr>
          <w:rFonts w:ascii="Arial" w:hAnsi="Arial" w:cs="Arial"/>
          <w:sz w:val="24"/>
          <w:szCs w:val="24"/>
        </w:rPr>
        <w:t>Situación anómala que crea una debilidad, generalmente causada por el hombre y que puede ser explotada por una amenaza para poner en riesgo un activo de información. Debilidad de un activo o control que puede ser explotado por una o más amenazas.</w:t>
      </w:r>
    </w:p>
    <w:p w14:paraId="31544DDB" w14:textId="77777777" w:rsidR="00D00CC9" w:rsidRPr="00D00CC9" w:rsidRDefault="00D00CC9" w:rsidP="000A4F9C">
      <w:pPr>
        <w:pStyle w:val="Ttulo1"/>
        <w:numPr>
          <w:ilvl w:val="0"/>
          <w:numId w:val="2"/>
        </w:numPr>
        <w:jc w:val="both"/>
        <w:rPr>
          <w:rFonts w:cs="Arial"/>
          <w:color w:val="auto"/>
          <w:sz w:val="24"/>
          <w:szCs w:val="24"/>
        </w:rPr>
        <w:sectPr w:rsidR="00D00CC9" w:rsidRPr="00D00CC9" w:rsidSect="00D00CC9">
          <w:pgSz w:w="12240" w:h="15840"/>
          <w:pgMar w:top="1440" w:right="1440" w:bottom="1440" w:left="1440" w:header="708" w:footer="708" w:gutter="0"/>
          <w:cols w:space="708"/>
          <w:docGrid w:linePitch="360"/>
        </w:sectPr>
      </w:pPr>
    </w:p>
    <w:p w14:paraId="65F7484E" w14:textId="77777777" w:rsidR="00954B0E" w:rsidRDefault="00F32847" w:rsidP="00954B0E">
      <w:pPr>
        <w:pStyle w:val="Ttulo1"/>
        <w:spacing w:before="0"/>
        <w:jc w:val="both"/>
        <w:rPr>
          <w:rFonts w:cs="Arial"/>
          <w:b/>
          <w:bCs/>
          <w:color w:val="auto"/>
          <w:sz w:val="24"/>
          <w:szCs w:val="24"/>
        </w:rPr>
      </w:pPr>
      <w:r w:rsidRPr="00954B0E">
        <w:rPr>
          <w:rFonts w:cs="Arial"/>
          <w:b/>
          <w:bCs/>
          <w:color w:val="auto"/>
          <w:sz w:val="24"/>
          <w:szCs w:val="24"/>
        </w:rPr>
        <w:lastRenderedPageBreak/>
        <w:t>MODELO CAMEL</w:t>
      </w:r>
    </w:p>
    <w:p w14:paraId="5F8A5C25" w14:textId="3AC9ACCF" w:rsidR="000A4F9C" w:rsidRPr="00954B0E" w:rsidRDefault="00F32847" w:rsidP="00954B0E">
      <w:pPr>
        <w:spacing w:after="0"/>
      </w:pPr>
      <w:r w:rsidRPr="00954B0E">
        <w:t xml:space="preserve"> </w:t>
      </w:r>
    </w:p>
    <w:p w14:paraId="59FDD879" w14:textId="77777777" w:rsidR="000A4F9C" w:rsidRPr="00954B0E" w:rsidRDefault="00F32847" w:rsidP="00954B0E">
      <w:pPr>
        <w:pStyle w:val="Ttulo2"/>
        <w:spacing w:before="0" w:after="0"/>
        <w:jc w:val="both"/>
        <w:rPr>
          <w:rFonts w:ascii="Arial" w:hAnsi="Arial" w:cs="Arial"/>
          <w:i w:val="0"/>
          <w:sz w:val="24"/>
          <w:szCs w:val="24"/>
        </w:rPr>
      </w:pPr>
      <w:r w:rsidRPr="00954B0E">
        <w:rPr>
          <w:rFonts w:ascii="Arial" w:hAnsi="Arial" w:cs="Arial"/>
          <w:i w:val="0"/>
          <w:sz w:val="24"/>
          <w:szCs w:val="24"/>
        </w:rPr>
        <w:t>GENERALIDADES MODELO CAMEL</w:t>
      </w:r>
    </w:p>
    <w:p w14:paraId="7A667C69" w14:textId="77777777" w:rsidR="000A4F9C" w:rsidRPr="00D00CC9" w:rsidRDefault="000A4F9C" w:rsidP="00954B0E">
      <w:pPr>
        <w:spacing w:after="0"/>
        <w:rPr>
          <w:rFonts w:ascii="Arial" w:hAnsi="Arial" w:cs="Arial"/>
          <w:sz w:val="24"/>
          <w:szCs w:val="24"/>
        </w:rPr>
      </w:pPr>
    </w:p>
    <w:p w14:paraId="48BFBBE9" w14:textId="4938762D" w:rsidR="00F32847" w:rsidRPr="00D00CC9" w:rsidRDefault="00DE45CF" w:rsidP="00954B0E">
      <w:pPr>
        <w:pStyle w:val="Sangradetextonormal"/>
        <w:spacing w:after="0"/>
        <w:ind w:left="0"/>
        <w:rPr>
          <w:rFonts w:eastAsia="Calibri" w:cs="Arial"/>
          <w:szCs w:val="24"/>
          <w:shd w:val="clear" w:color="auto" w:fill="FFFFFF"/>
          <w:lang w:val="es-CO"/>
        </w:rPr>
      </w:pPr>
      <w:r w:rsidRPr="00D00CC9">
        <w:rPr>
          <w:rFonts w:eastAsia="Calibri" w:cs="Arial"/>
          <w:szCs w:val="24"/>
          <w:shd w:val="clear" w:color="auto" w:fill="FFFFFF"/>
          <w:lang w:val="es-CO"/>
        </w:rPr>
        <w:t xml:space="preserve">El modelo CAMEL </w:t>
      </w:r>
      <w:r w:rsidR="00F32847" w:rsidRPr="00D00CC9">
        <w:rPr>
          <w:rFonts w:eastAsia="Calibri" w:cs="Arial"/>
          <w:szCs w:val="24"/>
          <w:shd w:val="clear" w:color="auto" w:fill="FFFFFF"/>
          <w:lang w:val="es-CO"/>
        </w:rPr>
        <w:t xml:space="preserve">es una metodología uniforme de evaluación de riesgo de las instituciones financieras, que permite a </w:t>
      </w:r>
      <w:r w:rsidR="00FB66E6" w:rsidRPr="00FB66E6">
        <w:rPr>
          <w:rFonts w:cs="Arial"/>
          <w:b/>
          <w:bCs/>
          <w:szCs w:val="24"/>
        </w:rPr>
        <w:t>COOPEAIPE</w:t>
      </w:r>
      <w:r w:rsidR="00F32847" w:rsidRPr="00D00CC9">
        <w:rPr>
          <w:rFonts w:eastAsia="Calibri" w:cs="Arial"/>
          <w:szCs w:val="24"/>
          <w:shd w:val="clear" w:color="auto" w:fill="FFFFFF"/>
          <w:lang w:val="es-CO"/>
        </w:rPr>
        <w:t xml:space="preserve"> seleccionar las mejores condiciones de Riesgo de emisor, depositario y contraparte para colocar sus recursos. Esta evaluación es utilizada principalmente en el sector financiero, basa</w:t>
      </w:r>
      <w:r w:rsidRPr="00D00CC9">
        <w:rPr>
          <w:rFonts w:eastAsia="Calibri" w:cs="Arial"/>
          <w:szCs w:val="24"/>
          <w:shd w:val="clear" w:color="auto" w:fill="FFFFFF"/>
          <w:lang w:val="es-CO"/>
        </w:rPr>
        <w:t>d</w:t>
      </w:r>
      <w:r w:rsidR="00F32847" w:rsidRPr="00D00CC9">
        <w:rPr>
          <w:rFonts w:eastAsia="Calibri" w:cs="Arial"/>
          <w:szCs w:val="24"/>
          <w:shd w:val="clear" w:color="auto" w:fill="FFFFFF"/>
          <w:lang w:val="es-CO"/>
        </w:rPr>
        <w:t>os en los resultados de los estados financieros que son publicados mensualmente por parte de la Superintendencia Financiera de Colombia</w:t>
      </w:r>
      <w:r w:rsidR="001704D5" w:rsidRPr="00D00CC9">
        <w:rPr>
          <w:rFonts w:eastAsia="Calibri" w:cs="Arial"/>
          <w:szCs w:val="24"/>
          <w:shd w:val="clear" w:color="auto" w:fill="FFFFFF"/>
          <w:lang w:val="es-CO"/>
        </w:rPr>
        <w:t xml:space="preserve">, de esta forma se garantiza el uso de información confiable. </w:t>
      </w:r>
    </w:p>
    <w:p w14:paraId="7E98A58B" w14:textId="77777777" w:rsidR="00F32847" w:rsidRPr="00D00CC9" w:rsidRDefault="00F32847" w:rsidP="00F32847">
      <w:pPr>
        <w:pStyle w:val="Sangradetextonormal"/>
        <w:spacing w:after="0"/>
        <w:ind w:left="0"/>
        <w:rPr>
          <w:rFonts w:eastAsia="Calibri" w:cs="Arial"/>
          <w:szCs w:val="24"/>
          <w:shd w:val="clear" w:color="auto" w:fill="FFFFFF"/>
          <w:lang w:val="es-CO"/>
        </w:rPr>
      </w:pPr>
    </w:p>
    <w:p w14:paraId="4113C5C6" w14:textId="77777777"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szCs w:val="24"/>
          <w:shd w:val="clear" w:color="auto" w:fill="FFFFFF"/>
          <w:lang w:val="es-CO"/>
        </w:rPr>
        <w:t>El desarrollo de esta metodología se basa en 5 variables que se consideran críticas para dichas entidades:</w:t>
      </w:r>
    </w:p>
    <w:p w14:paraId="2E971592" w14:textId="77777777" w:rsidR="00F32847" w:rsidRPr="00D00CC9" w:rsidRDefault="00F32847" w:rsidP="00F32847">
      <w:pPr>
        <w:pStyle w:val="Sangradetextonormal"/>
        <w:ind w:left="0"/>
        <w:rPr>
          <w:rFonts w:eastAsia="Calibri" w:cs="Arial"/>
          <w:szCs w:val="24"/>
          <w:shd w:val="clear" w:color="auto" w:fill="FFFFFF"/>
          <w:lang w:val="es-CO"/>
        </w:rPr>
      </w:pPr>
    </w:p>
    <w:p w14:paraId="7523574E" w14:textId="090E7FF1"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b/>
          <w:szCs w:val="24"/>
          <w:shd w:val="clear" w:color="auto" w:fill="FFFFFF"/>
          <w:lang w:val="es-CO"/>
        </w:rPr>
        <w:t>C:</w:t>
      </w:r>
      <w:r w:rsidR="00954B0E">
        <w:rPr>
          <w:rFonts w:eastAsia="Calibri" w:cs="Arial"/>
          <w:szCs w:val="24"/>
          <w:shd w:val="clear" w:color="auto" w:fill="FFFFFF"/>
          <w:lang w:val="es-CO"/>
        </w:rPr>
        <w:t xml:space="preserve"> </w:t>
      </w:r>
      <w:r w:rsidR="00DE45CF" w:rsidRPr="00D00CC9">
        <w:rPr>
          <w:rFonts w:eastAsia="Calibri" w:cs="Arial"/>
          <w:szCs w:val="24"/>
          <w:shd w:val="clear" w:color="auto" w:fill="FFFFFF"/>
          <w:lang w:val="es-CO"/>
        </w:rPr>
        <w:t>Capital Adecuacy (</w:t>
      </w:r>
      <w:r w:rsidRPr="00D00CC9">
        <w:rPr>
          <w:rFonts w:eastAsia="Calibri" w:cs="Arial"/>
          <w:szCs w:val="24"/>
          <w:shd w:val="clear" w:color="auto" w:fill="FFFFFF"/>
          <w:lang w:val="es-CO"/>
        </w:rPr>
        <w:t>Capital adecuado</w:t>
      </w:r>
      <w:r w:rsidR="00DE45CF" w:rsidRPr="00D00CC9">
        <w:rPr>
          <w:rFonts w:eastAsia="Calibri" w:cs="Arial"/>
          <w:szCs w:val="24"/>
          <w:shd w:val="clear" w:color="auto" w:fill="FFFFFF"/>
          <w:lang w:val="es-CO"/>
        </w:rPr>
        <w:t>)</w:t>
      </w:r>
    </w:p>
    <w:p w14:paraId="67D9404C" w14:textId="7FDCFB37"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b/>
          <w:szCs w:val="24"/>
          <w:shd w:val="clear" w:color="auto" w:fill="FFFFFF"/>
          <w:lang w:val="es-CO"/>
        </w:rPr>
        <w:t>A:</w:t>
      </w:r>
      <w:r w:rsidR="00954B0E">
        <w:rPr>
          <w:rFonts w:eastAsia="Calibri" w:cs="Arial"/>
          <w:szCs w:val="24"/>
          <w:shd w:val="clear" w:color="auto" w:fill="FFFFFF"/>
          <w:lang w:val="es-CO"/>
        </w:rPr>
        <w:t xml:space="preserve"> </w:t>
      </w:r>
      <w:r w:rsidRPr="00D00CC9">
        <w:rPr>
          <w:rFonts w:eastAsia="Calibri" w:cs="Arial"/>
          <w:szCs w:val="24"/>
          <w:shd w:val="clear" w:color="auto" w:fill="FFFFFF"/>
          <w:lang w:val="es-CO"/>
        </w:rPr>
        <w:t>Assets (calidad de activos)</w:t>
      </w:r>
    </w:p>
    <w:p w14:paraId="14849248" w14:textId="53C025B2"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b/>
          <w:szCs w:val="24"/>
          <w:shd w:val="clear" w:color="auto" w:fill="FFFFFF"/>
          <w:lang w:val="es-CO"/>
        </w:rPr>
        <w:t>M:</w:t>
      </w:r>
      <w:r w:rsidR="00954B0E">
        <w:rPr>
          <w:rFonts w:eastAsia="Calibri" w:cs="Arial"/>
          <w:szCs w:val="24"/>
          <w:shd w:val="clear" w:color="auto" w:fill="FFFFFF"/>
          <w:lang w:val="es-CO"/>
        </w:rPr>
        <w:t xml:space="preserve"> </w:t>
      </w:r>
      <w:r w:rsidRPr="00D00CC9">
        <w:rPr>
          <w:rFonts w:eastAsia="Calibri" w:cs="Arial"/>
          <w:szCs w:val="24"/>
          <w:shd w:val="clear" w:color="auto" w:fill="FFFFFF"/>
          <w:lang w:val="es-CO"/>
        </w:rPr>
        <w:t>Management (calidad de la administración)</w:t>
      </w:r>
    </w:p>
    <w:p w14:paraId="3CEC927F" w14:textId="5285D601"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b/>
          <w:szCs w:val="24"/>
          <w:shd w:val="clear" w:color="auto" w:fill="FFFFFF"/>
          <w:lang w:val="es-CO"/>
        </w:rPr>
        <w:t>E:</w:t>
      </w:r>
      <w:r w:rsidR="00954B0E">
        <w:rPr>
          <w:rFonts w:eastAsia="Calibri" w:cs="Arial"/>
          <w:szCs w:val="24"/>
          <w:shd w:val="clear" w:color="auto" w:fill="FFFFFF"/>
          <w:lang w:val="es-CO"/>
        </w:rPr>
        <w:t xml:space="preserve"> </w:t>
      </w:r>
      <w:r w:rsidRPr="00D00CC9">
        <w:rPr>
          <w:rFonts w:eastAsia="Calibri" w:cs="Arial"/>
          <w:szCs w:val="24"/>
          <w:shd w:val="clear" w:color="auto" w:fill="FFFFFF"/>
          <w:lang w:val="es-CO"/>
        </w:rPr>
        <w:t>Earnings (capacidad de generar ganancias)</w:t>
      </w:r>
    </w:p>
    <w:p w14:paraId="5ABCF0C5" w14:textId="7869C1F2" w:rsidR="00F32847" w:rsidRPr="00D00CC9" w:rsidRDefault="00F32847" w:rsidP="00F32847">
      <w:pPr>
        <w:pStyle w:val="Sangradetextonormal"/>
        <w:spacing w:after="0"/>
        <w:ind w:left="0"/>
        <w:rPr>
          <w:rFonts w:eastAsia="Calibri" w:cs="Arial"/>
          <w:szCs w:val="24"/>
          <w:shd w:val="clear" w:color="auto" w:fill="FFFFFF"/>
          <w:lang w:val="es-CO"/>
        </w:rPr>
      </w:pPr>
      <w:r w:rsidRPr="00D00CC9">
        <w:rPr>
          <w:rFonts w:eastAsia="Calibri" w:cs="Arial"/>
          <w:b/>
          <w:szCs w:val="24"/>
          <w:shd w:val="clear" w:color="auto" w:fill="FFFFFF"/>
          <w:lang w:val="es-CO"/>
        </w:rPr>
        <w:t>L:</w:t>
      </w:r>
      <w:r w:rsidR="00954B0E">
        <w:rPr>
          <w:rFonts w:eastAsia="Calibri" w:cs="Arial"/>
          <w:b/>
          <w:szCs w:val="24"/>
          <w:shd w:val="clear" w:color="auto" w:fill="FFFFFF"/>
          <w:lang w:val="es-CO"/>
        </w:rPr>
        <w:t xml:space="preserve"> </w:t>
      </w:r>
      <w:r w:rsidRPr="00D00CC9">
        <w:rPr>
          <w:rFonts w:eastAsia="Calibri" w:cs="Arial"/>
          <w:szCs w:val="24"/>
          <w:shd w:val="clear" w:color="auto" w:fill="FFFFFF"/>
          <w:lang w:val="es-CO"/>
        </w:rPr>
        <w:t>Liquidity (capacidad de liquidez)</w:t>
      </w:r>
    </w:p>
    <w:p w14:paraId="1D6D9F38" w14:textId="77777777" w:rsidR="00F32847" w:rsidRPr="00D00CC9" w:rsidRDefault="00F32847" w:rsidP="00954B0E">
      <w:pPr>
        <w:pStyle w:val="Sangradetextonormal"/>
        <w:spacing w:after="0"/>
        <w:ind w:left="0"/>
        <w:rPr>
          <w:rFonts w:eastAsia="Calibri" w:cs="Arial"/>
          <w:szCs w:val="24"/>
          <w:shd w:val="clear" w:color="auto" w:fill="FFFFFF"/>
          <w:lang w:val="es-CO"/>
        </w:rPr>
      </w:pPr>
    </w:p>
    <w:p w14:paraId="1181DF2B" w14:textId="77777777" w:rsidR="00F32847" w:rsidRPr="00D00CC9" w:rsidRDefault="00F32847" w:rsidP="00F32847">
      <w:pPr>
        <w:pStyle w:val="Textoindependiente"/>
        <w:tabs>
          <w:tab w:val="left" w:pos="360"/>
        </w:tabs>
        <w:jc w:val="both"/>
        <w:rPr>
          <w:rFonts w:ascii="Arial" w:hAnsi="Arial" w:cs="Arial"/>
          <w:sz w:val="24"/>
          <w:szCs w:val="24"/>
          <w:shd w:val="clear" w:color="auto" w:fill="FFFFFF"/>
        </w:rPr>
      </w:pPr>
      <w:r w:rsidRPr="00D00CC9">
        <w:rPr>
          <w:rFonts w:ascii="Arial" w:hAnsi="Arial" w:cs="Arial"/>
          <w:sz w:val="24"/>
          <w:szCs w:val="24"/>
          <w:shd w:val="clear" w:color="auto" w:fill="FFFFFF"/>
        </w:rPr>
        <w:t xml:space="preserve">A continuación, se exponen los motivos por los cuales cada variable es objeto de estudio. No obstante, la agrupación de estas variables se convierte en un indicador integral para medir el perfil de riesgo de emisor, depositario y contraparte de una entidad en particular. </w:t>
      </w:r>
    </w:p>
    <w:p w14:paraId="2BEDF9FE" w14:textId="77777777" w:rsidR="00954B0E" w:rsidRDefault="00F32847" w:rsidP="00954B0E">
      <w:pPr>
        <w:numPr>
          <w:ilvl w:val="0"/>
          <w:numId w:val="1"/>
        </w:numPr>
        <w:spacing w:after="0"/>
        <w:ind w:left="426"/>
        <w:jc w:val="both"/>
        <w:rPr>
          <w:rFonts w:ascii="Arial" w:hAnsi="Arial" w:cs="Arial"/>
          <w:sz w:val="24"/>
          <w:szCs w:val="24"/>
          <w:shd w:val="clear" w:color="auto" w:fill="FFFFFF"/>
        </w:rPr>
      </w:pPr>
      <w:r w:rsidRPr="00D00CC9">
        <w:rPr>
          <w:rFonts w:ascii="Arial" w:hAnsi="Arial" w:cs="Arial"/>
          <w:b/>
          <w:sz w:val="24"/>
          <w:szCs w:val="24"/>
          <w:shd w:val="clear" w:color="auto" w:fill="FFFFFF"/>
        </w:rPr>
        <w:t>Capital (Capital):</w:t>
      </w:r>
      <w:r w:rsidRPr="00D00CC9">
        <w:rPr>
          <w:rFonts w:ascii="Arial" w:hAnsi="Arial" w:cs="Arial"/>
          <w:sz w:val="24"/>
          <w:szCs w:val="24"/>
          <w:shd w:val="clear" w:color="auto" w:fill="FFFFFF"/>
        </w:rPr>
        <w:t xml:space="preserve"> Contablemente se define como el derecho de los propietarios en los activos de la empresa y es considerada una variable fundamental en el análisis de funcionamiento de las entidades vigiladas por la Superfinanciera, en tanto </w:t>
      </w:r>
      <w:r w:rsidR="001704D5" w:rsidRPr="00D00CC9">
        <w:rPr>
          <w:rFonts w:ascii="Arial" w:hAnsi="Arial" w:cs="Arial"/>
          <w:sz w:val="24"/>
          <w:szCs w:val="24"/>
          <w:shd w:val="clear" w:color="auto" w:fill="FFFFFF"/>
        </w:rPr>
        <w:t xml:space="preserve">que </w:t>
      </w:r>
      <w:r w:rsidRPr="00D00CC9">
        <w:rPr>
          <w:rFonts w:ascii="Arial" w:hAnsi="Arial" w:cs="Arial"/>
          <w:sz w:val="24"/>
          <w:szCs w:val="24"/>
          <w:shd w:val="clear" w:color="auto" w:fill="FFFFFF"/>
        </w:rPr>
        <w:t>permite medir la solidez de una institución y su posible capacidad para enfrentar choques externos y para soportar pérdidas futuras no anticipadas.</w:t>
      </w:r>
    </w:p>
    <w:p w14:paraId="2D5B31D6" w14:textId="77777777" w:rsidR="00954B0E" w:rsidRDefault="00F32847" w:rsidP="00954B0E">
      <w:pPr>
        <w:numPr>
          <w:ilvl w:val="0"/>
          <w:numId w:val="1"/>
        </w:numPr>
        <w:spacing w:after="0"/>
        <w:ind w:left="426"/>
        <w:jc w:val="both"/>
        <w:rPr>
          <w:rFonts w:ascii="Arial" w:hAnsi="Arial" w:cs="Arial"/>
          <w:sz w:val="24"/>
          <w:szCs w:val="24"/>
          <w:shd w:val="clear" w:color="auto" w:fill="FFFFFF"/>
        </w:rPr>
      </w:pPr>
      <w:r w:rsidRPr="00954B0E">
        <w:rPr>
          <w:rFonts w:ascii="Arial" w:hAnsi="Arial" w:cs="Arial"/>
          <w:b/>
          <w:sz w:val="24"/>
          <w:szCs w:val="24"/>
          <w:shd w:val="clear" w:color="auto" w:fill="FFFFFF"/>
        </w:rPr>
        <w:t>Activos (Assets):</w:t>
      </w:r>
      <w:r w:rsidRPr="00954B0E">
        <w:rPr>
          <w:rFonts w:ascii="Arial" w:hAnsi="Arial" w:cs="Arial"/>
          <w:sz w:val="24"/>
          <w:szCs w:val="24"/>
          <w:shd w:val="clear" w:color="auto" w:fill="FFFFFF"/>
        </w:rPr>
        <w:t xml:space="preserve"> Los activos constituyen los recursos que dispone la entidad y que tienen la capacidad de generar flujos futuros de ingresos a la entidad financiera, por lo que la evaluación de su composición y calidad se convierten en determinantes fundamentales para captar cualquier anomalía.  La adecuada estructura de los activos productivos de bajo nivel de riesgo constituye un elemento fundamental que permite predecir el desempeño de este tipo de entidades. </w:t>
      </w:r>
    </w:p>
    <w:p w14:paraId="2D0F07B6" w14:textId="77777777" w:rsidR="00954B0E" w:rsidRDefault="00F32847" w:rsidP="00954B0E">
      <w:pPr>
        <w:numPr>
          <w:ilvl w:val="0"/>
          <w:numId w:val="1"/>
        </w:numPr>
        <w:spacing w:after="0"/>
        <w:ind w:left="426"/>
        <w:jc w:val="both"/>
        <w:rPr>
          <w:rFonts w:ascii="Arial" w:hAnsi="Arial" w:cs="Arial"/>
          <w:sz w:val="24"/>
          <w:szCs w:val="24"/>
          <w:shd w:val="clear" w:color="auto" w:fill="FFFFFF"/>
        </w:rPr>
      </w:pPr>
      <w:r w:rsidRPr="00954B0E">
        <w:rPr>
          <w:rFonts w:ascii="Arial" w:hAnsi="Arial" w:cs="Arial"/>
          <w:b/>
          <w:sz w:val="24"/>
          <w:szCs w:val="24"/>
          <w:shd w:val="clear" w:color="auto" w:fill="FFFFFF"/>
        </w:rPr>
        <w:t>Gestión (Management):</w:t>
      </w:r>
      <w:r w:rsidRPr="00954B0E">
        <w:rPr>
          <w:rFonts w:ascii="Arial" w:hAnsi="Arial" w:cs="Arial"/>
          <w:sz w:val="24"/>
          <w:szCs w:val="24"/>
          <w:shd w:val="clear" w:color="auto" w:fill="FFFFFF"/>
        </w:rPr>
        <w:t xml:space="preserve"> La permanencia de las instituciones dentro del sector, sin duda alguna depende en medida de la forma como éstas han sido dirigidas y de las políticas que se hayan implementado a través del tiempo. La administración se convierte en eje fundamental que, de llevarse a cabo correctamente, permite alcanzar mayores niveles de eficiencia, sostenibilidad y crecimiento.</w:t>
      </w:r>
    </w:p>
    <w:p w14:paraId="7D97AF51" w14:textId="77777777" w:rsidR="00954B0E" w:rsidRDefault="00F32847" w:rsidP="00954B0E">
      <w:pPr>
        <w:numPr>
          <w:ilvl w:val="0"/>
          <w:numId w:val="1"/>
        </w:numPr>
        <w:spacing w:after="0"/>
        <w:ind w:left="426"/>
        <w:jc w:val="both"/>
        <w:rPr>
          <w:rFonts w:ascii="Arial" w:hAnsi="Arial" w:cs="Arial"/>
          <w:sz w:val="24"/>
          <w:szCs w:val="24"/>
          <w:shd w:val="clear" w:color="auto" w:fill="FFFFFF"/>
        </w:rPr>
      </w:pPr>
      <w:r w:rsidRPr="00954B0E">
        <w:rPr>
          <w:rFonts w:ascii="Arial" w:hAnsi="Arial" w:cs="Arial"/>
          <w:b/>
          <w:sz w:val="24"/>
          <w:szCs w:val="24"/>
          <w:shd w:val="clear" w:color="auto" w:fill="FFFFFF"/>
        </w:rPr>
        <w:t>Ganancias (Earning):</w:t>
      </w:r>
      <w:r w:rsidRPr="00954B0E">
        <w:rPr>
          <w:rFonts w:ascii="Arial" w:hAnsi="Arial" w:cs="Arial"/>
          <w:sz w:val="24"/>
          <w:szCs w:val="24"/>
          <w:shd w:val="clear" w:color="auto" w:fill="FFFFFF"/>
        </w:rPr>
        <w:t xml:space="preserve"> Es el objetivo final de cualquier institución financiera. Las ganancias reflejan la eficiencia y proporcionan recursos para aumentar el capital y </w:t>
      </w:r>
      <w:r w:rsidRPr="00954B0E">
        <w:rPr>
          <w:rFonts w:ascii="Arial" w:hAnsi="Arial" w:cs="Arial"/>
          <w:sz w:val="24"/>
          <w:szCs w:val="24"/>
          <w:shd w:val="clear" w:color="auto" w:fill="FFFFFF"/>
        </w:rPr>
        <w:lastRenderedPageBreak/>
        <w:t>así permitir su crecimiento. Por el contrario, las pérdidas, ganancias insuficientes o las ganancias generadas por una fuente inestable constituyen una amenaza para la entidad financiera. La calidad de las ganancias es también un factor determinante en la perpetuidad de dichas organizaciones.</w:t>
      </w:r>
    </w:p>
    <w:p w14:paraId="68AB1C2C" w14:textId="770F658B" w:rsidR="00F32847" w:rsidRPr="00954B0E" w:rsidRDefault="00F32847" w:rsidP="000A4F9C">
      <w:pPr>
        <w:numPr>
          <w:ilvl w:val="0"/>
          <w:numId w:val="1"/>
        </w:numPr>
        <w:spacing w:after="0"/>
        <w:ind w:left="426"/>
        <w:jc w:val="both"/>
        <w:rPr>
          <w:rFonts w:ascii="Arial" w:hAnsi="Arial" w:cs="Arial"/>
          <w:sz w:val="24"/>
          <w:szCs w:val="24"/>
          <w:shd w:val="clear" w:color="auto" w:fill="FFFFFF"/>
        </w:rPr>
      </w:pPr>
      <w:r w:rsidRPr="00954B0E">
        <w:rPr>
          <w:rFonts w:ascii="Arial" w:hAnsi="Arial" w:cs="Arial"/>
          <w:b/>
          <w:sz w:val="24"/>
          <w:szCs w:val="24"/>
          <w:shd w:val="clear" w:color="auto" w:fill="FFFFFF"/>
        </w:rPr>
        <w:t>Liquidez (Liquidity):</w:t>
      </w:r>
      <w:r w:rsidRPr="00954B0E">
        <w:rPr>
          <w:rFonts w:ascii="Arial" w:hAnsi="Arial" w:cs="Arial"/>
          <w:sz w:val="24"/>
          <w:szCs w:val="24"/>
          <w:shd w:val="clear" w:color="auto" w:fill="FFFFFF"/>
        </w:rPr>
        <w:t xml:space="preserve"> En el caso de las instituciones financieras esta variable toma mayor importancia debido a que constantemente atienden demandas de efectivo por parte de sus clientes.  La necesidad de liquidez de los depositantes suele aumentarse en épocas anteriores a las crisis, desencadenando corridas de depósitos que debilitan la entidad, incluso hasta su quiebra. Un elemento poderosamente importante es que históricamente las entidades han colapsado por dificultades de su flujo de caja.</w:t>
      </w:r>
    </w:p>
    <w:p w14:paraId="0764A2C6" w14:textId="77777777" w:rsidR="007A3CC7" w:rsidRPr="00954B0E" w:rsidRDefault="00AE73D3" w:rsidP="00954B0E">
      <w:pPr>
        <w:pStyle w:val="Ttulo2"/>
        <w:jc w:val="both"/>
        <w:rPr>
          <w:rFonts w:ascii="Arial" w:hAnsi="Arial" w:cs="Arial"/>
          <w:bCs w:val="0"/>
          <w:i w:val="0"/>
          <w:sz w:val="24"/>
          <w:szCs w:val="24"/>
        </w:rPr>
      </w:pPr>
      <w:r w:rsidRPr="00954B0E">
        <w:rPr>
          <w:rFonts w:ascii="Arial" w:hAnsi="Arial" w:cs="Arial"/>
          <w:bCs w:val="0"/>
          <w:i w:val="0"/>
          <w:sz w:val="24"/>
          <w:szCs w:val="24"/>
        </w:rPr>
        <w:t xml:space="preserve">DESCRIPCIÓN TÉCNICA MODELO CAMEL </w:t>
      </w:r>
    </w:p>
    <w:p w14:paraId="3AC530CA" w14:textId="77777777" w:rsidR="00AE73D3" w:rsidRPr="00D00CC9" w:rsidRDefault="00AE73D3" w:rsidP="00954B0E">
      <w:pPr>
        <w:spacing w:after="0"/>
        <w:rPr>
          <w:shd w:val="clear" w:color="auto" w:fill="FFFFFF"/>
        </w:rPr>
      </w:pPr>
    </w:p>
    <w:p w14:paraId="39ED8B54" w14:textId="77777777" w:rsidR="00AE73D3" w:rsidRPr="00D00CC9" w:rsidRDefault="00AE73D3" w:rsidP="00AE73D3">
      <w:pPr>
        <w:rPr>
          <w:rFonts w:ascii="Arial" w:hAnsi="Arial" w:cs="Arial"/>
          <w:sz w:val="24"/>
          <w:szCs w:val="24"/>
          <w:shd w:val="clear" w:color="auto" w:fill="FFFFFF"/>
        </w:rPr>
      </w:pPr>
      <w:r w:rsidRPr="00D00CC9">
        <w:rPr>
          <w:rFonts w:ascii="Arial" w:hAnsi="Arial" w:cs="Arial"/>
          <w:sz w:val="24"/>
          <w:szCs w:val="24"/>
          <w:shd w:val="clear" w:color="auto" w:fill="FFFFFF"/>
        </w:rPr>
        <w:t xml:space="preserve">El desarrollo del Modelo CAMEL se realiza aplicando los siguientes 12 pasos: </w:t>
      </w:r>
    </w:p>
    <w:p w14:paraId="1D38F467" w14:textId="3034587A" w:rsidR="00954B0E" w:rsidRPr="00954B0E" w:rsidRDefault="00AE73D3" w:rsidP="00954B0E">
      <w:pPr>
        <w:pStyle w:val="Ttulo3"/>
        <w:rPr>
          <w:rFonts w:ascii="Arial" w:hAnsi="Arial" w:cs="Arial"/>
          <w:bCs w:val="0"/>
          <w:sz w:val="24"/>
          <w:szCs w:val="24"/>
          <w:shd w:val="clear" w:color="auto" w:fill="FFFFFF"/>
        </w:rPr>
      </w:pPr>
      <w:r w:rsidRPr="00954B0E">
        <w:rPr>
          <w:rFonts w:ascii="Arial" w:hAnsi="Arial" w:cs="Arial"/>
          <w:bCs w:val="0"/>
          <w:sz w:val="24"/>
          <w:szCs w:val="24"/>
          <w:shd w:val="clear" w:color="auto" w:fill="FFFFFF"/>
        </w:rPr>
        <w:t>CONSOLIDAR INFORMACIÓN FINANCIERA DE ENTIDADES A ANALIZAR</w:t>
      </w:r>
    </w:p>
    <w:p w14:paraId="63332000" w14:textId="77777777" w:rsidR="00954B0E" w:rsidRPr="00954B0E" w:rsidRDefault="00954B0E" w:rsidP="00954B0E">
      <w:pPr>
        <w:spacing w:after="0"/>
      </w:pPr>
    </w:p>
    <w:p w14:paraId="1C30452C" w14:textId="77777777" w:rsidR="00AE73D3" w:rsidRPr="00D00CC9" w:rsidRDefault="00AE73D3" w:rsidP="00AE73D3">
      <w:pPr>
        <w:pStyle w:val="Sangradetextonormal"/>
        <w:spacing w:after="0"/>
        <w:ind w:left="0"/>
        <w:rPr>
          <w:rFonts w:eastAsia="Calibri" w:cs="Arial"/>
          <w:szCs w:val="24"/>
          <w:shd w:val="clear" w:color="auto" w:fill="FFFFFF"/>
          <w:lang w:val="es-CO"/>
        </w:rPr>
      </w:pPr>
      <w:r w:rsidRPr="00D00CC9">
        <w:rPr>
          <w:rFonts w:eastAsia="Calibri" w:cs="Arial"/>
          <w:szCs w:val="24"/>
          <w:shd w:val="clear" w:color="auto" w:fill="FFFFFF"/>
          <w:lang w:val="es-CO"/>
        </w:rPr>
        <w:t>Cada una de las variables a analizar (</w:t>
      </w:r>
      <w:r w:rsidRPr="00D00CC9">
        <w:rPr>
          <w:rFonts w:eastAsia="Calibri" w:cs="Arial"/>
          <w:b/>
          <w:szCs w:val="24"/>
          <w:shd w:val="clear" w:color="auto" w:fill="FFFFFF"/>
          <w:lang w:val="es-CO"/>
        </w:rPr>
        <w:t>C:</w:t>
      </w:r>
      <w:r w:rsidRPr="00D00CC9">
        <w:rPr>
          <w:rFonts w:eastAsia="Calibri" w:cs="Arial"/>
          <w:szCs w:val="24"/>
          <w:shd w:val="clear" w:color="auto" w:fill="FFFFFF"/>
          <w:lang w:val="es-CO"/>
        </w:rPr>
        <w:t xml:space="preserve"> Capital Adecuacy - Capital adecuado, </w:t>
      </w:r>
      <w:r w:rsidRPr="00D00CC9">
        <w:rPr>
          <w:rFonts w:eastAsia="Calibri" w:cs="Arial"/>
          <w:b/>
          <w:szCs w:val="24"/>
          <w:shd w:val="clear" w:color="auto" w:fill="FFFFFF"/>
          <w:lang w:val="es-CO"/>
        </w:rPr>
        <w:t>A:</w:t>
      </w:r>
      <w:r w:rsidRPr="00D00CC9">
        <w:rPr>
          <w:rFonts w:eastAsia="Calibri" w:cs="Arial"/>
          <w:szCs w:val="24"/>
          <w:shd w:val="clear" w:color="auto" w:fill="FFFFFF"/>
          <w:lang w:val="es-CO"/>
        </w:rPr>
        <w:t xml:space="preserve"> Assets - calidad de activos </w:t>
      </w:r>
      <w:r w:rsidRPr="00D00CC9">
        <w:rPr>
          <w:rFonts w:eastAsia="Calibri" w:cs="Arial"/>
          <w:b/>
          <w:szCs w:val="24"/>
          <w:shd w:val="clear" w:color="auto" w:fill="FFFFFF"/>
          <w:lang w:val="es-CO"/>
        </w:rPr>
        <w:t xml:space="preserve">M: </w:t>
      </w:r>
      <w:r w:rsidRPr="00D00CC9">
        <w:rPr>
          <w:rFonts w:eastAsia="Calibri" w:cs="Arial"/>
          <w:szCs w:val="24"/>
          <w:shd w:val="clear" w:color="auto" w:fill="FFFFFF"/>
          <w:lang w:val="es-CO"/>
        </w:rPr>
        <w:t xml:space="preserve">Management - calidad de la administración, </w:t>
      </w:r>
      <w:r w:rsidRPr="00D00CC9">
        <w:rPr>
          <w:rFonts w:eastAsia="Calibri" w:cs="Arial"/>
          <w:b/>
          <w:szCs w:val="24"/>
          <w:shd w:val="clear" w:color="auto" w:fill="FFFFFF"/>
          <w:lang w:val="es-CO"/>
        </w:rPr>
        <w:t>E:</w:t>
      </w:r>
      <w:r w:rsidRPr="00D00CC9">
        <w:rPr>
          <w:rFonts w:eastAsia="Calibri" w:cs="Arial"/>
          <w:szCs w:val="24"/>
          <w:shd w:val="clear" w:color="auto" w:fill="FFFFFF"/>
          <w:lang w:val="es-CO"/>
        </w:rPr>
        <w:t xml:space="preserve"> Earnings - capacidad de generar ganancias, </w:t>
      </w:r>
      <w:r w:rsidRPr="00D00CC9">
        <w:rPr>
          <w:rFonts w:eastAsia="Calibri" w:cs="Arial"/>
          <w:b/>
          <w:szCs w:val="24"/>
          <w:shd w:val="clear" w:color="auto" w:fill="FFFFFF"/>
          <w:lang w:val="es-CO"/>
        </w:rPr>
        <w:t>L:</w:t>
      </w:r>
      <w:r w:rsidRPr="00D00CC9">
        <w:rPr>
          <w:rFonts w:eastAsia="Calibri" w:cs="Arial"/>
          <w:szCs w:val="24"/>
          <w:shd w:val="clear" w:color="auto" w:fill="FFFFFF"/>
          <w:lang w:val="es-CO"/>
        </w:rPr>
        <w:t xml:space="preserve"> Liquidity - capacidad de liquidez), es calculada con una selección técnica de indicadores financieros y gerenciales, que </w:t>
      </w:r>
      <w:r w:rsidR="00E153A6" w:rsidRPr="00D00CC9">
        <w:rPr>
          <w:rFonts w:eastAsia="Calibri" w:cs="Arial"/>
          <w:szCs w:val="24"/>
          <w:shd w:val="clear" w:color="auto" w:fill="FFFFFF"/>
          <w:lang w:val="es-CO"/>
        </w:rPr>
        <w:t>el área</w:t>
      </w:r>
      <w:r w:rsidRPr="00D00CC9">
        <w:rPr>
          <w:rFonts w:eastAsia="Calibri" w:cs="Arial"/>
          <w:szCs w:val="24"/>
          <w:shd w:val="clear" w:color="auto" w:fill="FFFFFF"/>
          <w:lang w:val="es-CO"/>
        </w:rPr>
        <w:t xml:space="preserve"> de Riesgos debe obtener de la información pública expuesta por parte de la Superintendencia Financiera de Colombia en su sitio web relacionada con los estados financieros (balance general y estado de resultados) de los establecimientos de crédito existentes en Colombia. </w:t>
      </w:r>
    </w:p>
    <w:p w14:paraId="02DA6C0D" w14:textId="77777777" w:rsidR="00AE73D3" w:rsidRPr="00D00CC9" w:rsidRDefault="00AE73D3" w:rsidP="00954B0E">
      <w:pPr>
        <w:pStyle w:val="Sangradetextonormal"/>
        <w:spacing w:after="0"/>
        <w:ind w:left="0"/>
        <w:rPr>
          <w:rFonts w:eastAsia="Calibri" w:cs="Arial"/>
          <w:szCs w:val="24"/>
          <w:shd w:val="clear" w:color="auto" w:fill="FFFFFF"/>
          <w:lang w:val="es-CO"/>
        </w:rPr>
      </w:pPr>
    </w:p>
    <w:p w14:paraId="106FD1A4" w14:textId="77777777" w:rsidR="00AE73D3" w:rsidRPr="00954B0E" w:rsidRDefault="00AE73D3" w:rsidP="00954B0E">
      <w:pPr>
        <w:pStyle w:val="Ttulo3"/>
        <w:spacing w:before="0" w:after="0" w:line="240" w:lineRule="auto"/>
        <w:rPr>
          <w:rFonts w:ascii="Arial" w:hAnsi="Arial" w:cs="Arial"/>
          <w:bCs w:val="0"/>
          <w:sz w:val="24"/>
          <w:szCs w:val="24"/>
          <w:shd w:val="clear" w:color="auto" w:fill="FFFFFF"/>
        </w:rPr>
      </w:pPr>
      <w:r w:rsidRPr="00954B0E">
        <w:rPr>
          <w:rFonts w:ascii="Arial" w:hAnsi="Arial" w:cs="Arial"/>
          <w:bCs w:val="0"/>
          <w:sz w:val="24"/>
          <w:szCs w:val="24"/>
          <w:shd w:val="clear" w:color="auto" w:fill="FFFFFF"/>
        </w:rPr>
        <w:t xml:space="preserve">ALISTAMIENTO DE INDICADORES PARA CADA VARIABLE </w:t>
      </w:r>
    </w:p>
    <w:p w14:paraId="2CCA4CC9" w14:textId="77777777" w:rsidR="00014937" w:rsidRPr="00954B0E" w:rsidRDefault="00014937" w:rsidP="00954B0E">
      <w:pPr>
        <w:pStyle w:val="Textoindependiente"/>
        <w:tabs>
          <w:tab w:val="left" w:pos="360"/>
        </w:tabs>
        <w:spacing w:after="0" w:line="240" w:lineRule="auto"/>
        <w:jc w:val="both"/>
        <w:rPr>
          <w:rFonts w:ascii="Arial" w:hAnsi="Arial" w:cs="Arial"/>
          <w:b/>
          <w:sz w:val="24"/>
          <w:szCs w:val="24"/>
          <w:shd w:val="clear" w:color="auto" w:fill="FFFFFF"/>
        </w:rPr>
      </w:pPr>
    </w:p>
    <w:p w14:paraId="67F07B15" w14:textId="77777777" w:rsidR="00AE73D3" w:rsidRPr="00D00CC9" w:rsidRDefault="00821E81" w:rsidP="00AE73D3">
      <w:pPr>
        <w:pStyle w:val="Textoindependiente"/>
        <w:tabs>
          <w:tab w:val="left" w:pos="360"/>
        </w:tabs>
        <w:jc w:val="both"/>
        <w:rPr>
          <w:rFonts w:ascii="Arial" w:hAnsi="Arial" w:cs="Arial"/>
          <w:sz w:val="24"/>
          <w:szCs w:val="24"/>
          <w:shd w:val="clear" w:color="auto" w:fill="FFFFFF"/>
        </w:rPr>
      </w:pPr>
      <w:r w:rsidRPr="00D00CC9">
        <w:rPr>
          <w:rFonts w:ascii="Arial" w:hAnsi="Arial" w:cs="Arial"/>
          <w:sz w:val="24"/>
          <w:szCs w:val="24"/>
          <w:shd w:val="clear" w:color="auto" w:fill="FFFFFF"/>
        </w:rPr>
        <w:t>El</w:t>
      </w:r>
      <w:r w:rsidR="00014937" w:rsidRPr="00D00CC9">
        <w:rPr>
          <w:rFonts w:ascii="Arial" w:hAnsi="Arial" w:cs="Arial"/>
          <w:sz w:val="24"/>
          <w:szCs w:val="24"/>
          <w:shd w:val="clear" w:color="auto" w:fill="FFFFFF"/>
        </w:rPr>
        <w:t xml:space="preserve"> </w:t>
      </w:r>
      <w:r w:rsidR="00E153A6" w:rsidRPr="00D00CC9">
        <w:rPr>
          <w:rFonts w:ascii="Arial" w:hAnsi="Arial" w:cs="Arial"/>
          <w:sz w:val="24"/>
          <w:szCs w:val="24"/>
          <w:shd w:val="clear" w:color="auto" w:fill="FFFFFF"/>
        </w:rPr>
        <w:t>área de</w:t>
      </w:r>
      <w:r w:rsidRPr="00D00CC9">
        <w:rPr>
          <w:rFonts w:ascii="Arial" w:hAnsi="Arial" w:cs="Arial"/>
          <w:sz w:val="24"/>
          <w:szCs w:val="24"/>
          <w:shd w:val="clear" w:color="auto" w:fill="FFFFFF"/>
        </w:rPr>
        <w:t xml:space="preserve"> Riesgos </w:t>
      </w:r>
      <w:r w:rsidR="00AE73D3" w:rsidRPr="00D00CC9">
        <w:rPr>
          <w:rFonts w:ascii="Arial" w:hAnsi="Arial" w:cs="Arial"/>
          <w:sz w:val="24"/>
          <w:szCs w:val="24"/>
          <w:shd w:val="clear" w:color="auto" w:fill="FFFFFF"/>
        </w:rPr>
        <w:t xml:space="preserve">debe obtener los estados financieros y los indicadores gerenciales del sitio web </w:t>
      </w:r>
      <w:r w:rsidR="00014937" w:rsidRPr="00D00CC9">
        <w:rPr>
          <w:rFonts w:ascii="Arial" w:hAnsi="Arial" w:cs="Arial"/>
          <w:sz w:val="24"/>
          <w:szCs w:val="24"/>
          <w:shd w:val="clear" w:color="auto" w:fill="FFFFFF"/>
        </w:rPr>
        <w:t>oficial</w:t>
      </w:r>
      <w:r w:rsidR="00AE73D3" w:rsidRPr="00D00CC9">
        <w:rPr>
          <w:rFonts w:ascii="Arial" w:hAnsi="Arial" w:cs="Arial"/>
          <w:sz w:val="24"/>
          <w:szCs w:val="24"/>
          <w:shd w:val="clear" w:color="auto" w:fill="FFFFFF"/>
        </w:rPr>
        <w:t xml:space="preserve"> de la Superfinanciera. Algunos de los indicadores gerenciales que se utilizarán </w:t>
      </w:r>
      <w:r w:rsidR="00014937" w:rsidRPr="00D00CC9">
        <w:rPr>
          <w:rFonts w:ascii="Arial" w:hAnsi="Arial" w:cs="Arial"/>
          <w:sz w:val="24"/>
          <w:szCs w:val="24"/>
          <w:shd w:val="clear" w:color="auto" w:fill="FFFFFF"/>
        </w:rPr>
        <w:t xml:space="preserve">para </w:t>
      </w:r>
      <w:r w:rsidR="00AE73D3" w:rsidRPr="00D00CC9">
        <w:rPr>
          <w:rFonts w:ascii="Arial" w:hAnsi="Arial" w:cs="Arial"/>
          <w:sz w:val="24"/>
          <w:szCs w:val="24"/>
          <w:shd w:val="clear" w:color="auto" w:fill="FFFFFF"/>
        </w:rPr>
        <w:t xml:space="preserve">medir el riesgo de emisor, depositario y contraparte generado por los establecimientos de crédito se presentan en el siguiente cuadro: </w:t>
      </w:r>
    </w:p>
    <w:p w14:paraId="0FAEBA16" w14:textId="77777777" w:rsidR="00014937" w:rsidRPr="00D00CC9" w:rsidRDefault="00014937" w:rsidP="00AE73D3">
      <w:pPr>
        <w:pStyle w:val="Textoindependiente"/>
        <w:tabs>
          <w:tab w:val="left" w:pos="360"/>
        </w:tabs>
        <w:jc w:val="both"/>
        <w:rPr>
          <w:rFonts w:ascii="Arial" w:hAnsi="Arial" w:cs="Arial"/>
          <w:sz w:val="24"/>
          <w:szCs w:val="24"/>
          <w:shd w:val="clear" w:color="auto" w:fill="FFFFFF"/>
        </w:rPr>
      </w:pPr>
    </w:p>
    <w:p w14:paraId="1C317D94" w14:textId="31AB5FD2" w:rsidR="00954B0E" w:rsidRPr="00954B0E" w:rsidRDefault="00C80FFE" w:rsidP="00954B0E">
      <w:pPr>
        <w:pStyle w:val="Textoindependiente"/>
        <w:tabs>
          <w:tab w:val="left" w:pos="360"/>
        </w:tabs>
        <w:jc w:val="center"/>
        <w:rPr>
          <w:rFonts w:ascii="Arial" w:hAnsi="Arial" w:cs="Arial"/>
          <w:sz w:val="24"/>
          <w:szCs w:val="24"/>
          <w:shd w:val="clear" w:color="auto" w:fill="FFFFFF"/>
        </w:rPr>
      </w:pPr>
      <w:r w:rsidRPr="00D00CC9">
        <w:rPr>
          <w:rFonts w:ascii="Arial" w:hAnsi="Arial" w:cs="Arial"/>
          <w:noProof/>
          <w:sz w:val="24"/>
          <w:szCs w:val="24"/>
        </w:rPr>
        <w:lastRenderedPageBreak/>
        <w:drawing>
          <wp:inline distT="0" distB="0" distL="0" distR="0" wp14:anchorId="0D71C387" wp14:editId="7C5ECA04">
            <wp:extent cx="5610225" cy="32861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noFill/>
                    </a:ln>
                  </pic:spPr>
                </pic:pic>
              </a:graphicData>
            </a:graphic>
          </wp:inline>
        </w:drawing>
      </w:r>
    </w:p>
    <w:p w14:paraId="0900F360" w14:textId="77777777" w:rsidR="00D5470F" w:rsidRPr="00D00CC9" w:rsidRDefault="00D5470F" w:rsidP="00AE73D3">
      <w:pPr>
        <w:rPr>
          <w:rFonts w:ascii="Arial" w:eastAsia="Arial" w:hAnsi="Arial" w:cs="Arial"/>
          <w:sz w:val="24"/>
          <w:szCs w:val="24"/>
          <w:lang w:eastAsia="es-ES" w:bidi="es-ES"/>
        </w:rPr>
      </w:pPr>
      <w:r w:rsidRPr="00D00CC9">
        <w:rPr>
          <w:rFonts w:ascii="Arial" w:eastAsia="Arial" w:hAnsi="Arial" w:cs="Arial"/>
          <w:sz w:val="24"/>
          <w:szCs w:val="24"/>
          <w:lang w:eastAsia="es-ES" w:bidi="es-ES"/>
        </w:rPr>
        <w:t xml:space="preserve">Para cada una de las variables generales del modelo se establece un porcentaje de participación del 20%, identificando dos indicadores para cada variable. </w:t>
      </w:r>
    </w:p>
    <w:p w14:paraId="04856CDD" w14:textId="77777777" w:rsidR="00D5470F" w:rsidRPr="00D00CC9" w:rsidRDefault="00D5470F" w:rsidP="00AE73D3">
      <w:pPr>
        <w:rPr>
          <w:rFonts w:ascii="Arial" w:eastAsia="Arial" w:hAnsi="Arial" w:cs="Arial"/>
          <w:b/>
          <w:sz w:val="24"/>
          <w:szCs w:val="24"/>
          <w:lang w:eastAsia="es-ES" w:bidi="es-ES"/>
        </w:rPr>
      </w:pPr>
      <w:r w:rsidRPr="00D00CC9">
        <w:rPr>
          <w:rFonts w:ascii="Arial" w:eastAsia="Arial" w:hAnsi="Arial" w:cs="Arial"/>
          <w:b/>
          <w:sz w:val="24"/>
          <w:szCs w:val="24"/>
          <w:lang w:eastAsia="es-ES" w:bidi="es-ES"/>
        </w:rPr>
        <w:t>Indicadores de Capital (C): 20%</w:t>
      </w:r>
    </w:p>
    <w:p w14:paraId="0DAE1C9A" w14:textId="77777777" w:rsidR="00D5470F" w:rsidRPr="00D00CC9" w:rsidRDefault="00D5470F"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Solvencia (10%):</w:t>
      </w:r>
      <w:r w:rsidRPr="00D00CC9">
        <w:rPr>
          <w:rFonts w:ascii="Arial" w:eastAsia="Arial" w:hAnsi="Arial" w:cs="Arial"/>
          <w:sz w:val="24"/>
          <w:szCs w:val="24"/>
          <w:lang w:eastAsia="es-ES" w:bidi="es-ES"/>
        </w:rPr>
        <w:t xml:space="preserve"> Margen de Solvencia o Relación de Solvencia, el cual es un indicador útil para medir el capital necesario para asumir el Riesgo de Crédito o Contraparte derivado de los activos. El margen de solvencia regulatorio es mínimo 9%.</w:t>
      </w:r>
    </w:p>
    <w:p w14:paraId="6B8BE9E7" w14:textId="77777777" w:rsidR="00D5470F" w:rsidRPr="00D00CC9" w:rsidRDefault="00D5470F"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 xml:space="preserve">Patrimonio / Activo: </w:t>
      </w:r>
      <w:r w:rsidRPr="00D00CC9">
        <w:rPr>
          <w:rFonts w:ascii="Arial" w:eastAsia="Arial" w:hAnsi="Arial" w:cs="Arial"/>
          <w:sz w:val="24"/>
          <w:szCs w:val="24"/>
          <w:lang w:eastAsia="es-ES" w:bidi="es-ES"/>
        </w:rPr>
        <w:t xml:space="preserve">permite identificar la participación del patrimonio en función del activo de la entidad. </w:t>
      </w:r>
    </w:p>
    <w:p w14:paraId="71993854" w14:textId="77777777" w:rsidR="00D5470F" w:rsidRPr="00D00CC9" w:rsidRDefault="00D5470F" w:rsidP="00D5470F">
      <w:pPr>
        <w:spacing w:after="0" w:line="240" w:lineRule="auto"/>
        <w:jc w:val="both"/>
        <w:rPr>
          <w:rFonts w:ascii="Arial" w:eastAsia="Arial" w:hAnsi="Arial" w:cs="Arial"/>
          <w:b/>
          <w:sz w:val="24"/>
          <w:szCs w:val="24"/>
          <w:lang w:eastAsia="es-ES" w:bidi="es-ES"/>
        </w:rPr>
      </w:pPr>
    </w:p>
    <w:p w14:paraId="1E12E0A2" w14:textId="77777777" w:rsidR="00D5470F" w:rsidRPr="00D00CC9" w:rsidRDefault="00D5470F" w:rsidP="00D5470F">
      <w:pPr>
        <w:spacing w:line="240" w:lineRule="auto"/>
        <w:rPr>
          <w:rFonts w:ascii="Arial" w:eastAsia="Arial" w:hAnsi="Arial" w:cs="Arial"/>
          <w:b/>
          <w:sz w:val="24"/>
          <w:szCs w:val="24"/>
          <w:lang w:eastAsia="es-ES" w:bidi="es-ES"/>
        </w:rPr>
      </w:pPr>
      <w:r w:rsidRPr="00D00CC9">
        <w:rPr>
          <w:rFonts w:ascii="Arial" w:eastAsia="Arial" w:hAnsi="Arial" w:cs="Arial"/>
          <w:b/>
          <w:sz w:val="24"/>
          <w:szCs w:val="24"/>
          <w:lang w:eastAsia="es-ES" w:bidi="es-ES"/>
        </w:rPr>
        <w:t>Indicadores de Calidad de Activos (A): 20%</w:t>
      </w:r>
    </w:p>
    <w:p w14:paraId="554072E7" w14:textId="77777777" w:rsidR="00F77099" w:rsidRPr="00D00CC9" w:rsidRDefault="00F77099"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Calidad de Cartera (1</w:t>
      </w:r>
      <w:r w:rsidR="00D5470F" w:rsidRPr="00D00CC9">
        <w:rPr>
          <w:rFonts w:ascii="Arial" w:eastAsia="Arial" w:hAnsi="Arial" w:cs="Arial"/>
          <w:b/>
          <w:sz w:val="24"/>
          <w:szCs w:val="24"/>
          <w:lang w:eastAsia="es-ES" w:bidi="es-ES"/>
        </w:rPr>
        <w:t>0%)</w:t>
      </w:r>
      <w:r w:rsidR="00D5470F" w:rsidRPr="00D00CC9">
        <w:rPr>
          <w:rFonts w:ascii="Arial" w:eastAsia="Arial" w:hAnsi="Arial" w:cs="Arial"/>
          <w:sz w:val="24"/>
          <w:szCs w:val="24"/>
          <w:lang w:eastAsia="es-ES" w:bidi="es-ES"/>
        </w:rPr>
        <w:t xml:space="preserve"> que determina en qué nivel está cumpliendo con la </w:t>
      </w:r>
      <w:r w:rsidRPr="00D00CC9">
        <w:rPr>
          <w:rFonts w:ascii="Arial" w:eastAsia="Arial" w:hAnsi="Arial" w:cs="Arial"/>
          <w:sz w:val="24"/>
          <w:szCs w:val="24"/>
          <w:lang w:eastAsia="es-ES" w:bidi="es-ES"/>
        </w:rPr>
        <w:t>función de recaudo de cartera.</w:t>
      </w:r>
    </w:p>
    <w:p w14:paraId="2484EFC5" w14:textId="77777777" w:rsidR="00F77099" w:rsidRPr="00D00CC9" w:rsidRDefault="00F77099"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Cobertura de Cartera (1</w:t>
      </w:r>
      <w:r w:rsidR="00D5470F" w:rsidRPr="00D00CC9">
        <w:rPr>
          <w:rFonts w:ascii="Arial" w:eastAsia="Arial" w:hAnsi="Arial" w:cs="Arial"/>
          <w:b/>
          <w:sz w:val="24"/>
          <w:szCs w:val="24"/>
          <w:lang w:eastAsia="es-ES" w:bidi="es-ES"/>
        </w:rPr>
        <w:t>0</w:t>
      </w:r>
      <w:r w:rsidR="00D5470F" w:rsidRPr="00D00CC9">
        <w:rPr>
          <w:rFonts w:ascii="Arial" w:eastAsia="Arial" w:hAnsi="Arial" w:cs="Arial"/>
          <w:sz w:val="24"/>
          <w:szCs w:val="24"/>
          <w:lang w:eastAsia="es-ES" w:bidi="es-ES"/>
        </w:rPr>
        <w:t xml:space="preserve">%) que indica el nivel de provisión que tiene la cartera irrecuperable y de difícil cobro. </w:t>
      </w:r>
    </w:p>
    <w:p w14:paraId="1AEF28F8" w14:textId="77777777" w:rsidR="00F77099" w:rsidRPr="00D00CC9" w:rsidRDefault="00F77099" w:rsidP="00F77099">
      <w:pPr>
        <w:spacing w:after="0" w:line="240" w:lineRule="auto"/>
        <w:ind w:left="720"/>
        <w:jc w:val="both"/>
        <w:rPr>
          <w:rFonts w:ascii="Arial" w:eastAsia="Arial" w:hAnsi="Arial" w:cs="Arial"/>
          <w:sz w:val="24"/>
          <w:szCs w:val="24"/>
          <w:lang w:eastAsia="es-ES" w:bidi="es-ES"/>
        </w:rPr>
      </w:pPr>
    </w:p>
    <w:p w14:paraId="640361BF" w14:textId="77777777" w:rsidR="00D5470F" w:rsidRPr="00D00CC9" w:rsidRDefault="00F77099" w:rsidP="00F77099">
      <w:pPr>
        <w:spacing w:after="0" w:line="240" w:lineRule="auto"/>
        <w:jc w:val="both"/>
        <w:rPr>
          <w:rFonts w:ascii="Arial" w:eastAsia="Arial" w:hAnsi="Arial" w:cs="Arial"/>
          <w:b/>
          <w:sz w:val="24"/>
          <w:szCs w:val="24"/>
          <w:lang w:eastAsia="es-ES" w:bidi="es-ES"/>
        </w:rPr>
      </w:pPr>
      <w:r w:rsidRPr="00D00CC9">
        <w:rPr>
          <w:rFonts w:ascii="Arial" w:eastAsia="Arial" w:hAnsi="Arial" w:cs="Arial"/>
          <w:b/>
          <w:sz w:val="24"/>
          <w:szCs w:val="24"/>
          <w:lang w:eastAsia="es-ES" w:bidi="es-ES"/>
        </w:rPr>
        <w:t xml:space="preserve">Indicadores de Gestión o Administración (M): 20% </w:t>
      </w:r>
    </w:p>
    <w:p w14:paraId="70C9CA4E" w14:textId="77777777" w:rsidR="00F77099" w:rsidRPr="00D00CC9" w:rsidRDefault="00F77099" w:rsidP="00F77099">
      <w:pPr>
        <w:spacing w:after="0" w:line="240" w:lineRule="auto"/>
        <w:jc w:val="both"/>
        <w:rPr>
          <w:rFonts w:ascii="Arial" w:eastAsia="Arial" w:hAnsi="Arial" w:cs="Arial"/>
          <w:sz w:val="24"/>
          <w:szCs w:val="24"/>
          <w:lang w:eastAsia="es-ES" w:bidi="es-ES"/>
        </w:rPr>
      </w:pPr>
    </w:p>
    <w:p w14:paraId="0862FE16" w14:textId="77777777" w:rsidR="00F77099" w:rsidRPr="00D00CC9" w:rsidRDefault="00F77099" w:rsidP="00F77099">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Estructura de Balance</w:t>
      </w:r>
      <w:r w:rsidRPr="00D00CC9">
        <w:rPr>
          <w:rFonts w:ascii="Arial" w:eastAsia="Arial" w:hAnsi="Arial" w:cs="Arial"/>
          <w:sz w:val="24"/>
          <w:szCs w:val="24"/>
          <w:lang w:eastAsia="es-ES" w:bidi="es-ES"/>
        </w:rPr>
        <w:t xml:space="preserve"> (10%) es un indicador de alerta temprana el cual evidencia la relación entre activos productivos y pasivos con costo. </w:t>
      </w:r>
    </w:p>
    <w:p w14:paraId="58BA4D42" w14:textId="1687D8F4" w:rsidR="00F77099" w:rsidRDefault="00F77099" w:rsidP="00F77099">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Cobertura de Cartera</w:t>
      </w:r>
      <w:r w:rsidRPr="00D00CC9">
        <w:rPr>
          <w:rFonts w:ascii="Arial" w:eastAsia="Arial" w:hAnsi="Arial" w:cs="Arial"/>
          <w:sz w:val="24"/>
          <w:szCs w:val="24"/>
          <w:lang w:eastAsia="es-ES" w:bidi="es-ES"/>
        </w:rPr>
        <w:t xml:space="preserve"> (10%) que indica el nivel de provisión que tiene la cartera vencida. </w:t>
      </w:r>
    </w:p>
    <w:p w14:paraId="749ABE10" w14:textId="77777777" w:rsidR="00954B0E" w:rsidRPr="00D00CC9" w:rsidRDefault="00954B0E" w:rsidP="00954B0E">
      <w:pPr>
        <w:spacing w:after="0" w:line="240" w:lineRule="auto"/>
        <w:ind w:left="720"/>
        <w:jc w:val="both"/>
        <w:rPr>
          <w:rFonts w:ascii="Arial" w:eastAsia="Arial" w:hAnsi="Arial" w:cs="Arial"/>
          <w:sz w:val="24"/>
          <w:szCs w:val="24"/>
          <w:lang w:eastAsia="es-ES" w:bidi="es-ES"/>
        </w:rPr>
      </w:pPr>
    </w:p>
    <w:p w14:paraId="7E32D0D0" w14:textId="77777777" w:rsidR="00F77099" w:rsidRPr="00D00CC9" w:rsidRDefault="00F77099" w:rsidP="00F77099">
      <w:pPr>
        <w:spacing w:after="0" w:line="240" w:lineRule="auto"/>
        <w:jc w:val="both"/>
        <w:rPr>
          <w:rFonts w:ascii="Arial" w:eastAsia="Arial" w:hAnsi="Arial" w:cs="Arial"/>
          <w:b/>
          <w:sz w:val="24"/>
          <w:szCs w:val="24"/>
          <w:lang w:eastAsia="es-ES" w:bidi="es-ES"/>
        </w:rPr>
      </w:pPr>
      <w:r w:rsidRPr="00D00CC9">
        <w:rPr>
          <w:rFonts w:ascii="Arial" w:eastAsia="Arial" w:hAnsi="Arial" w:cs="Arial"/>
          <w:b/>
          <w:sz w:val="24"/>
          <w:szCs w:val="24"/>
          <w:lang w:eastAsia="es-ES" w:bidi="es-ES"/>
        </w:rPr>
        <w:lastRenderedPageBreak/>
        <w:t>Indicadores de Rentabilidad ( E ): 20%</w:t>
      </w:r>
    </w:p>
    <w:p w14:paraId="7E81B4B8" w14:textId="77777777" w:rsidR="00F77099" w:rsidRPr="00D00CC9" w:rsidRDefault="00F77099" w:rsidP="00F77099">
      <w:pPr>
        <w:spacing w:after="0" w:line="240" w:lineRule="auto"/>
        <w:jc w:val="both"/>
        <w:rPr>
          <w:rFonts w:ascii="Arial" w:eastAsia="Arial" w:hAnsi="Arial" w:cs="Arial"/>
          <w:b/>
          <w:sz w:val="24"/>
          <w:szCs w:val="24"/>
          <w:lang w:eastAsia="es-ES" w:bidi="es-ES"/>
        </w:rPr>
      </w:pPr>
    </w:p>
    <w:p w14:paraId="50FEEC1B" w14:textId="77777777" w:rsidR="00F77099" w:rsidRPr="00D00CC9" w:rsidRDefault="00D5470F"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Return On Asset (ROA</w:t>
      </w:r>
      <w:r w:rsidR="00F77099" w:rsidRPr="00D00CC9">
        <w:rPr>
          <w:rFonts w:ascii="Arial" w:eastAsia="Arial" w:hAnsi="Arial" w:cs="Arial"/>
          <w:b/>
          <w:sz w:val="24"/>
          <w:szCs w:val="24"/>
          <w:lang w:eastAsia="es-ES" w:bidi="es-ES"/>
        </w:rPr>
        <w:t>) (10%)</w:t>
      </w:r>
      <w:r w:rsidR="00F77099" w:rsidRPr="00D00CC9">
        <w:rPr>
          <w:rFonts w:ascii="Arial" w:eastAsia="Arial" w:hAnsi="Arial" w:cs="Arial"/>
          <w:sz w:val="24"/>
          <w:szCs w:val="24"/>
          <w:lang w:eastAsia="es-ES" w:bidi="es-ES"/>
        </w:rPr>
        <w:t xml:space="preserve"> establece el nivel de rentabilidad de la entidad en función del activo.</w:t>
      </w:r>
      <w:r w:rsidRPr="00D00CC9">
        <w:rPr>
          <w:rFonts w:ascii="Arial" w:eastAsia="Arial" w:hAnsi="Arial" w:cs="Arial"/>
          <w:sz w:val="24"/>
          <w:szCs w:val="24"/>
          <w:lang w:eastAsia="es-ES" w:bidi="es-ES"/>
        </w:rPr>
        <w:t xml:space="preserve"> </w:t>
      </w:r>
    </w:p>
    <w:p w14:paraId="5EB4ABFC" w14:textId="77777777" w:rsidR="00D5470F" w:rsidRPr="00D00CC9" w:rsidRDefault="00D5470F"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Return on Equity (ROE)</w:t>
      </w:r>
      <w:r w:rsidR="00F77099" w:rsidRPr="00D00CC9">
        <w:rPr>
          <w:rFonts w:ascii="Arial" w:eastAsia="Arial" w:hAnsi="Arial" w:cs="Arial"/>
          <w:b/>
          <w:sz w:val="24"/>
          <w:szCs w:val="24"/>
          <w:lang w:eastAsia="es-ES" w:bidi="es-ES"/>
        </w:rPr>
        <w:t xml:space="preserve"> (10%)</w:t>
      </w:r>
      <w:r w:rsidR="00F77099" w:rsidRPr="00D00CC9">
        <w:rPr>
          <w:rFonts w:ascii="Arial" w:eastAsia="Arial" w:hAnsi="Arial" w:cs="Arial"/>
          <w:sz w:val="24"/>
          <w:szCs w:val="24"/>
          <w:lang w:eastAsia="es-ES" w:bidi="es-ES"/>
        </w:rPr>
        <w:t xml:space="preserve"> establece el nivel de rentabilidad de la entidad en función del patrimonio.</w:t>
      </w:r>
    </w:p>
    <w:p w14:paraId="5436DD21" w14:textId="77777777" w:rsidR="00F77099" w:rsidRPr="00D00CC9" w:rsidRDefault="00F77099" w:rsidP="00F77099">
      <w:pPr>
        <w:spacing w:after="0" w:line="240" w:lineRule="auto"/>
        <w:jc w:val="both"/>
        <w:rPr>
          <w:rFonts w:ascii="Arial" w:eastAsia="Arial" w:hAnsi="Arial" w:cs="Arial"/>
          <w:b/>
          <w:sz w:val="24"/>
          <w:szCs w:val="24"/>
          <w:lang w:eastAsia="es-ES" w:bidi="es-ES"/>
        </w:rPr>
      </w:pPr>
    </w:p>
    <w:p w14:paraId="18F34FD4" w14:textId="2DE7453D" w:rsidR="00D5470F" w:rsidRDefault="00087B3B" w:rsidP="00954B0E">
      <w:pPr>
        <w:spacing w:after="0" w:line="240" w:lineRule="auto"/>
        <w:jc w:val="both"/>
        <w:rPr>
          <w:rFonts w:ascii="Arial" w:eastAsia="Arial" w:hAnsi="Arial" w:cs="Arial"/>
          <w:b/>
          <w:sz w:val="24"/>
          <w:szCs w:val="24"/>
          <w:lang w:eastAsia="es-ES" w:bidi="es-ES"/>
        </w:rPr>
      </w:pPr>
      <w:r w:rsidRPr="00D00CC9">
        <w:rPr>
          <w:rFonts w:ascii="Arial" w:eastAsia="Arial" w:hAnsi="Arial" w:cs="Arial"/>
          <w:b/>
          <w:sz w:val="24"/>
          <w:szCs w:val="24"/>
          <w:lang w:eastAsia="es-ES" w:bidi="es-ES"/>
        </w:rPr>
        <w:t>Indicadores de Liquidez ( L): 20%</w:t>
      </w:r>
    </w:p>
    <w:p w14:paraId="1C57FD05" w14:textId="77777777" w:rsidR="00954B0E" w:rsidRPr="00954B0E" w:rsidRDefault="00954B0E" w:rsidP="00954B0E">
      <w:pPr>
        <w:spacing w:after="0" w:line="240" w:lineRule="auto"/>
        <w:jc w:val="both"/>
        <w:rPr>
          <w:rFonts w:ascii="Arial" w:eastAsia="Arial" w:hAnsi="Arial" w:cs="Arial"/>
          <w:b/>
          <w:sz w:val="24"/>
          <w:szCs w:val="24"/>
          <w:lang w:eastAsia="es-ES" w:bidi="es-ES"/>
        </w:rPr>
      </w:pPr>
    </w:p>
    <w:p w14:paraId="494A2A24" w14:textId="77777777" w:rsidR="00087B3B" w:rsidRPr="00D00CC9" w:rsidRDefault="00D5470F" w:rsidP="00D5470F">
      <w:pPr>
        <w:numPr>
          <w:ilvl w:val="0"/>
          <w:numId w:val="16"/>
        </w:numPr>
        <w:spacing w:after="0" w:line="240" w:lineRule="auto"/>
        <w:jc w:val="both"/>
        <w:rPr>
          <w:rFonts w:ascii="Arial" w:eastAsia="Arial" w:hAnsi="Arial" w:cs="Arial"/>
          <w:sz w:val="24"/>
          <w:szCs w:val="24"/>
          <w:lang w:eastAsia="es-ES" w:bidi="es-ES"/>
        </w:rPr>
      </w:pPr>
      <w:r w:rsidRPr="00D00CC9">
        <w:rPr>
          <w:rFonts w:ascii="Arial" w:eastAsia="Arial" w:hAnsi="Arial" w:cs="Arial"/>
          <w:b/>
          <w:sz w:val="24"/>
          <w:szCs w:val="24"/>
          <w:lang w:eastAsia="es-ES" w:bidi="es-ES"/>
        </w:rPr>
        <w:t>Disponibl</w:t>
      </w:r>
      <w:r w:rsidR="00087B3B" w:rsidRPr="00D00CC9">
        <w:rPr>
          <w:rFonts w:ascii="Arial" w:eastAsia="Arial" w:hAnsi="Arial" w:cs="Arial"/>
          <w:b/>
          <w:sz w:val="24"/>
          <w:szCs w:val="24"/>
          <w:lang w:eastAsia="es-ES" w:bidi="es-ES"/>
        </w:rPr>
        <w:t>e sobre activos totales (10%)</w:t>
      </w:r>
      <w:r w:rsidR="00087B3B" w:rsidRPr="00D00CC9">
        <w:rPr>
          <w:rFonts w:ascii="Arial" w:eastAsia="Arial" w:hAnsi="Arial" w:cs="Arial"/>
          <w:sz w:val="24"/>
          <w:szCs w:val="24"/>
          <w:lang w:eastAsia="es-ES" w:bidi="es-ES"/>
        </w:rPr>
        <w:t xml:space="preserve"> </w:t>
      </w:r>
      <w:r w:rsidRPr="00D00CC9">
        <w:rPr>
          <w:rFonts w:ascii="Arial" w:eastAsia="Arial" w:hAnsi="Arial" w:cs="Arial"/>
          <w:sz w:val="24"/>
          <w:szCs w:val="24"/>
          <w:lang w:eastAsia="es-ES" w:bidi="es-ES"/>
        </w:rPr>
        <w:t xml:space="preserve">el cual muestra los activos líquidos con que cuentan las entidades. </w:t>
      </w:r>
    </w:p>
    <w:p w14:paraId="3D3F94C6" w14:textId="77777777" w:rsidR="00D5470F" w:rsidRPr="00D00CC9" w:rsidRDefault="00D5470F" w:rsidP="00D5470F">
      <w:pPr>
        <w:numPr>
          <w:ilvl w:val="0"/>
          <w:numId w:val="16"/>
        </w:numPr>
        <w:spacing w:after="0" w:line="240" w:lineRule="auto"/>
        <w:jc w:val="both"/>
        <w:rPr>
          <w:rFonts w:ascii="Arial" w:eastAsia="Arial" w:hAnsi="Arial" w:cs="Arial"/>
          <w:b/>
          <w:sz w:val="24"/>
          <w:szCs w:val="24"/>
          <w:lang w:eastAsia="es-ES" w:bidi="es-ES"/>
        </w:rPr>
      </w:pPr>
      <w:r w:rsidRPr="00D00CC9">
        <w:rPr>
          <w:rFonts w:ascii="Arial" w:eastAsia="Arial" w:hAnsi="Arial" w:cs="Arial"/>
          <w:b/>
          <w:sz w:val="24"/>
          <w:szCs w:val="24"/>
          <w:lang w:eastAsia="es-ES" w:bidi="es-ES"/>
        </w:rPr>
        <w:t>Inversiones sobre act</w:t>
      </w:r>
      <w:r w:rsidR="00087B3B" w:rsidRPr="00D00CC9">
        <w:rPr>
          <w:rFonts w:ascii="Arial" w:eastAsia="Arial" w:hAnsi="Arial" w:cs="Arial"/>
          <w:b/>
          <w:sz w:val="24"/>
          <w:szCs w:val="24"/>
          <w:lang w:eastAsia="es-ES" w:bidi="es-ES"/>
        </w:rPr>
        <w:t>ivos totales (1</w:t>
      </w:r>
      <w:r w:rsidRPr="00D00CC9">
        <w:rPr>
          <w:rFonts w:ascii="Arial" w:eastAsia="Arial" w:hAnsi="Arial" w:cs="Arial"/>
          <w:b/>
          <w:sz w:val="24"/>
          <w:szCs w:val="24"/>
          <w:lang w:eastAsia="es-ES" w:bidi="es-ES"/>
        </w:rPr>
        <w:t>0%)</w:t>
      </w:r>
    </w:p>
    <w:p w14:paraId="4B3B46C5" w14:textId="77777777" w:rsidR="00020FAD" w:rsidRPr="00D00CC9" w:rsidRDefault="00020FAD" w:rsidP="00954B0E">
      <w:pPr>
        <w:spacing w:after="0" w:line="240" w:lineRule="auto"/>
        <w:jc w:val="both"/>
        <w:rPr>
          <w:rFonts w:ascii="Arial" w:eastAsia="Arial" w:hAnsi="Arial" w:cs="Arial"/>
          <w:b/>
          <w:sz w:val="24"/>
          <w:szCs w:val="24"/>
          <w:lang w:eastAsia="es-ES" w:bidi="es-ES"/>
        </w:rPr>
      </w:pPr>
    </w:p>
    <w:p w14:paraId="66577820" w14:textId="77777777" w:rsidR="008B7A7C" w:rsidRPr="00954B0E" w:rsidRDefault="008B7A7C" w:rsidP="00954B0E">
      <w:pPr>
        <w:pStyle w:val="Ttulo3"/>
        <w:rPr>
          <w:rFonts w:ascii="Arial" w:hAnsi="Arial" w:cs="Arial"/>
          <w:bCs w:val="0"/>
          <w:sz w:val="24"/>
          <w:szCs w:val="24"/>
          <w:shd w:val="clear" w:color="auto" w:fill="FFFFFF"/>
        </w:rPr>
      </w:pPr>
      <w:r w:rsidRPr="00954B0E">
        <w:rPr>
          <w:rFonts w:ascii="Arial" w:hAnsi="Arial" w:cs="Arial"/>
          <w:bCs w:val="0"/>
          <w:sz w:val="24"/>
          <w:szCs w:val="24"/>
          <w:shd w:val="clear" w:color="auto" w:fill="FFFFFF"/>
        </w:rPr>
        <w:t xml:space="preserve">IDENTIFICAR GRADOS DE COLINEALIDAD </w:t>
      </w:r>
    </w:p>
    <w:p w14:paraId="44A84675" w14:textId="77777777" w:rsidR="00A252DD" w:rsidRPr="00D00CC9" w:rsidRDefault="00A252DD" w:rsidP="00BB4DC8">
      <w:pPr>
        <w:pStyle w:val="Sangradetextonormal"/>
        <w:spacing w:after="0"/>
        <w:ind w:left="0"/>
        <w:rPr>
          <w:rFonts w:cs="Arial"/>
          <w:szCs w:val="24"/>
        </w:rPr>
      </w:pPr>
    </w:p>
    <w:p w14:paraId="36E7F88D" w14:textId="77777777" w:rsidR="00834802" w:rsidRDefault="00371489" w:rsidP="00371489">
      <w:pPr>
        <w:pStyle w:val="Sangradetextonormal"/>
        <w:spacing w:after="0"/>
        <w:ind w:left="0"/>
        <w:rPr>
          <w:rFonts w:eastAsia="Arial" w:cs="Arial"/>
          <w:szCs w:val="24"/>
          <w:lang w:eastAsia="es-ES" w:bidi="es-ES"/>
        </w:rPr>
      </w:pPr>
      <w:r w:rsidRPr="00D00CC9">
        <w:rPr>
          <w:rFonts w:eastAsia="Arial" w:cs="Arial"/>
          <w:szCs w:val="24"/>
          <w:lang w:eastAsia="es-ES" w:bidi="es-ES"/>
        </w:rPr>
        <w:t xml:space="preserve">Luego realizar la extracción de información y la preparación de </w:t>
      </w:r>
      <w:r w:rsidR="00954B0E" w:rsidRPr="00D00CC9">
        <w:rPr>
          <w:rFonts w:eastAsia="Arial" w:cs="Arial"/>
          <w:szCs w:val="24"/>
          <w:lang w:eastAsia="es-ES" w:bidi="es-ES"/>
        </w:rPr>
        <w:t>esta</w:t>
      </w:r>
      <w:r w:rsidRPr="00D00CC9">
        <w:rPr>
          <w:rFonts w:eastAsia="Arial" w:cs="Arial"/>
          <w:szCs w:val="24"/>
          <w:lang w:eastAsia="es-ES" w:bidi="es-ES"/>
        </w:rPr>
        <w:t xml:space="preserve"> se procede determinar el grado de colinealidad de los indicadores seleccionados para lo cual se debe construir la matriz de correlación. </w:t>
      </w:r>
    </w:p>
    <w:p w14:paraId="68927698" w14:textId="77777777" w:rsidR="00834802" w:rsidRDefault="00834802" w:rsidP="00371489">
      <w:pPr>
        <w:pStyle w:val="Sangradetextonormal"/>
        <w:spacing w:after="0"/>
        <w:ind w:left="0"/>
        <w:rPr>
          <w:rFonts w:eastAsia="Arial" w:cs="Arial"/>
          <w:szCs w:val="24"/>
          <w:lang w:eastAsia="es-ES" w:bidi="es-ES"/>
        </w:rPr>
      </w:pPr>
    </w:p>
    <w:p w14:paraId="06A3C063" w14:textId="7C3717A1" w:rsidR="00371489" w:rsidRPr="00D00CC9" w:rsidRDefault="00371489" w:rsidP="00371489">
      <w:pPr>
        <w:pStyle w:val="Sangradetextonormal"/>
        <w:spacing w:after="0"/>
        <w:ind w:left="0"/>
        <w:rPr>
          <w:rFonts w:eastAsia="Arial" w:cs="Arial"/>
          <w:szCs w:val="24"/>
          <w:lang w:eastAsia="es-ES" w:bidi="es-ES"/>
        </w:rPr>
      </w:pPr>
      <w:r w:rsidRPr="00D00CC9">
        <w:rPr>
          <w:rFonts w:eastAsia="Arial" w:cs="Arial"/>
          <w:szCs w:val="24"/>
          <w:lang w:eastAsia="es-ES" w:bidi="es-ES"/>
        </w:rPr>
        <w:t>El proceso consiste en identificar los indicadores que presenten una correlación superior a 0,70 para excluir de manera discrecional uno de los dos indicadores, garantizando de esta manera que solo se incorporen los que presenten mayor diversidad y menor grado de colinealidad.</w:t>
      </w:r>
    </w:p>
    <w:p w14:paraId="53184D30" w14:textId="77777777" w:rsidR="00371489" w:rsidRPr="00D00CC9" w:rsidRDefault="00371489" w:rsidP="00371489">
      <w:pPr>
        <w:pStyle w:val="Sangradetextonormal"/>
        <w:spacing w:after="0"/>
        <w:ind w:left="0"/>
        <w:rPr>
          <w:rFonts w:cs="Arial"/>
          <w:szCs w:val="24"/>
        </w:rPr>
      </w:pPr>
    </w:p>
    <w:p w14:paraId="6655FF41" w14:textId="77777777" w:rsidR="00BB4DC8" w:rsidRPr="00D00CC9" w:rsidRDefault="00BB4DC8" w:rsidP="00BB4DC8">
      <w:pPr>
        <w:pStyle w:val="Sangradetextonormal"/>
        <w:spacing w:after="0"/>
        <w:ind w:left="0"/>
        <w:rPr>
          <w:rFonts w:cs="Arial"/>
          <w:szCs w:val="24"/>
        </w:rPr>
      </w:pPr>
      <w:r w:rsidRPr="00D00CC9">
        <w:rPr>
          <w:rFonts w:cs="Arial"/>
          <w:szCs w:val="24"/>
        </w:rPr>
        <w:t>Para calcular el grado de colinealidad se debe emplear la función de correlación simple de Pearson, la cual determina el grado y dirección de la relación lineal existente entre dos variables. La siguiente es la formulación de Pearson:</w:t>
      </w:r>
    </w:p>
    <w:p w14:paraId="0C2E5222" w14:textId="77777777" w:rsidR="00BB4DC8" w:rsidRPr="00D00CC9" w:rsidRDefault="00BB4DC8" w:rsidP="00BB4DC8">
      <w:pPr>
        <w:pStyle w:val="Sangradetextonormal"/>
        <w:spacing w:after="0"/>
        <w:ind w:left="0"/>
        <w:rPr>
          <w:rFonts w:cs="Arial"/>
          <w:szCs w:val="24"/>
        </w:rPr>
      </w:pPr>
    </w:p>
    <w:p w14:paraId="68119CF2" w14:textId="288396EC" w:rsidR="00BB4DC8" w:rsidRPr="00D00CC9" w:rsidRDefault="00C80FFE" w:rsidP="00BB4DC8">
      <w:pPr>
        <w:pStyle w:val="Sangradetextonormal"/>
        <w:spacing w:after="0" w:line="360" w:lineRule="auto"/>
        <w:ind w:left="0"/>
        <w:jc w:val="center"/>
        <w:rPr>
          <w:rFonts w:cs="Arial"/>
          <w:noProof/>
          <w:szCs w:val="24"/>
        </w:rPr>
      </w:pPr>
      <w:r w:rsidRPr="00D00CC9">
        <w:rPr>
          <w:rFonts w:cs="Arial"/>
          <w:noProof/>
          <w:szCs w:val="24"/>
        </w:rPr>
        <w:drawing>
          <wp:inline distT="0" distB="0" distL="0" distR="0" wp14:anchorId="5FF1054A" wp14:editId="2E9F18B5">
            <wp:extent cx="3000375" cy="1219200"/>
            <wp:effectExtent l="0" t="0" r="0" b="0"/>
            <wp:docPr id="2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219200"/>
                    </a:xfrm>
                    <a:prstGeom prst="rect">
                      <a:avLst/>
                    </a:prstGeom>
                    <a:noFill/>
                    <a:ln>
                      <a:noFill/>
                    </a:ln>
                  </pic:spPr>
                </pic:pic>
              </a:graphicData>
            </a:graphic>
          </wp:inline>
        </w:drawing>
      </w:r>
    </w:p>
    <w:p w14:paraId="06BECB68" w14:textId="77777777" w:rsidR="00BB4DC8" w:rsidRPr="00D00CC9" w:rsidRDefault="00BB4DC8" w:rsidP="00BB4DC8">
      <w:pPr>
        <w:pStyle w:val="Sangradetextonormal"/>
        <w:spacing w:after="0"/>
        <w:ind w:left="0"/>
        <w:rPr>
          <w:rFonts w:cs="Arial"/>
          <w:bCs/>
          <w:snapToGrid w:val="0"/>
          <w:szCs w:val="24"/>
        </w:rPr>
      </w:pPr>
      <w:r w:rsidRPr="00D00CC9">
        <w:rPr>
          <w:rFonts w:cs="Arial"/>
          <w:bCs/>
          <w:snapToGrid w:val="0"/>
          <w:szCs w:val="24"/>
        </w:rPr>
        <w:t>El indicador de Pearson está acotado entre -1 y 1, y se debe interpretar conforme la dirección y el grado así:</w:t>
      </w:r>
    </w:p>
    <w:p w14:paraId="608DFFF0" w14:textId="77777777" w:rsidR="00BB4DC8" w:rsidRPr="00D00CC9" w:rsidRDefault="00BB4DC8" w:rsidP="00BB4DC8">
      <w:pPr>
        <w:pStyle w:val="Sangradetextonormal"/>
        <w:spacing w:after="0"/>
        <w:ind w:left="0"/>
        <w:rPr>
          <w:rFonts w:cs="Arial"/>
          <w:bCs/>
          <w:snapToGrid w:val="0"/>
          <w:szCs w:val="24"/>
        </w:rPr>
      </w:pPr>
    </w:p>
    <w:p w14:paraId="42A08C01" w14:textId="55DC8FD7" w:rsidR="00BB4DC8" w:rsidRDefault="00BB4DC8" w:rsidP="00BB4DC8">
      <w:pPr>
        <w:pStyle w:val="Sangradetextonormal"/>
        <w:spacing w:after="0"/>
        <w:ind w:left="0"/>
        <w:rPr>
          <w:rFonts w:cs="Arial"/>
          <w:b/>
          <w:bCs/>
          <w:snapToGrid w:val="0"/>
          <w:szCs w:val="24"/>
        </w:rPr>
      </w:pPr>
      <w:r w:rsidRPr="00D00CC9">
        <w:rPr>
          <w:rFonts w:cs="Arial"/>
          <w:b/>
          <w:bCs/>
          <w:snapToGrid w:val="0"/>
          <w:szCs w:val="24"/>
        </w:rPr>
        <w:t xml:space="preserve">Dirección: </w:t>
      </w:r>
    </w:p>
    <w:p w14:paraId="09871728" w14:textId="77777777" w:rsidR="00834802" w:rsidRPr="00D00CC9" w:rsidRDefault="00834802" w:rsidP="00BB4DC8">
      <w:pPr>
        <w:pStyle w:val="Sangradetextonormal"/>
        <w:spacing w:after="0"/>
        <w:ind w:left="0"/>
        <w:rPr>
          <w:rFonts w:cs="Arial"/>
          <w:b/>
          <w:bCs/>
          <w:snapToGrid w:val="0"/>
          <w:szCs w:val="24"/>
        </w:rPr>
      </w:pPr>
    </w:p>
    <w:p w14:paraId="2427D8D5" w14:textId="77777777" w:rsidR="00BB4DC8" w:rsidRPr="00D00CC9" w:rsidRDefault="00BB4DC8" w:rsidP="00BB4DC8">
      <w:pPr>
        <w:pStyle w:val="Sangradetextonormal"/>
        <w:numPr>
          <w:ilvl w:val="0"/>
          <w:numId w:val="18"/>
        </w:numPr>
        <w:spacing w:after="0"/>
        <w:rPr>
          <w:rFonts w:cs="Arial"/>
          <w:bCs/>
          <w:snapToGrid w:val="0"/>
          <w:szCs w:val="24"/>
        </w:rPr>
      </w:pPr>
      <w:r w:rsidRPr="00D00CC9">
        <w:rPr>
          <w:rFonts w:cs="Arial"/>
          <w:bCs/>
          <w:snapToGrid w:val="0"/>
          <w:szCs w:val="24"/>
        </w:rPr>
        <w:t>Cuando el indicador es de signo negativo la dirección de las variables (indicadores) es contraria</w:t>
      </w:r>
    </w:p>
    <w:p w14:paraId="27B62E62" w14:textId="77777777" w:rsidR="00BB4DC8" w:rsidRPr="00D00CC9" w:rsidRDefault="00BB4DC8" w:rsidP="00BB4DC8">
      <w:pPr>
        <w:pStyle w:val="Sangradetextonormal"/>
        <w:numPr>
          <w:ilvl w:val="0"/>
          <w:numId w:val="18"/>
        </w:numPr>
        <w:spacing w:after="0"/>
        <w:rPr>
          <w:rFonts w:cs="Arial"/>
          <w:bCs/>
          <w:snapToGrid w:val="0"/>
          <w:szCs w:val="24"/>
        </w:rPr>
      </w:pPr>
      <w:r w:rsidRPr="00D00CC9">
        <w:rPr>
          <w:rFonts w:cs="Arial"/>
          <w:bCs/>
          <w:snapToGrid w:val="0"/>
          <w:szCs w:val="24"/>
        </w:rPr>
        <w:lastRenderedPageBreak/>
        <w:t>Cuando el indicador es de signo positivo la dirección de las variables (indicadores) es la misma</w:t>
      </w:r>
    </w:p>
    <w:p w14:paraId="131E38A0" w14:textId="77777777" w:rsidR="00BB4DC8" w:rsidRPr="00D00CC9" w:rsidRDefault="00BB4DC8" w:rsidP="00BB4DC8">
      <w:pPr>
        <w:pStyle w:val="Sangradetextonormal"/>
        <w:spacing w:after="0"/>
        <w:ind w:left="0"/>
        <w:rPr>
          <w:rFonts w:cs="Arial"/>
          <w:bCs/>
          <w:snapToGrid w:val="0"/>
          <w:szCs w:val="24"/>
        </w:rPr>
      </w:pPr>
    </w:p>
    <w:p w14:paraId="096F0F7F" w14:textId="77777777" w:rsidR="00A252DD" w:rsidRPr="00D00CC9" w:rsidRDefault="00BB4DC8" w:rsidP="00A252DD">
      <w:pPr>
        <w:pStyle w:val="Sangradetextonormal"/>
        <w:spacing w:after="0"/>
        <w:ind w:left="0"/>
        <w:rPr>
          <w:rFonts w:cs="Arial"/>
          <w:b/>
          <w:bCs/>
          <w:snapToGrid w:val="0"/>
          <w:szCs w:val="24"/>
        </w:rPr>
      </w:pPr>
      <w:r w:rsidRPr="00D00CC9">
        <w:rPr>
          <w:rFonts w:cs="Arial"/>
          <w:b/>
          <w:bCs/>
          <w:snapToGrid w:val="0"/>
          <w:szCs w:val="24"/>
        </w:rPr>
        <w:t xml:space="preserve">Grado de colinealidad: </w:t>
      </w:r>
    </w:p>
    <w:p w14:paraId="04B2258D" w14:textId="77777777" w:rsidR="00A252DD" w:rsidRPr="00D00CC9" w:rsidRDefault="00A252DD" w:rsidP="00A252DD">
      <w:pPr>
        <w:pStyle w:val="Sangradetextonormal"/>
        <w:spacing w:after="0"/>
        <w:ind w:left="0"/>
        <w:rPr>
          <w:rFonts w:cs="Arial"/>
          <w:bCs/>
          <w:snapToGrid w:val="0"/>
          <w:szCs w:val="24"/>
        </w:rPr>
      </w:pPr>
    </w:p>
    <w:p w14:paraId="41573E5B" w14:textId="77777777" w:rsidR="00A252DD" w:rsidRPr="00D00CC9" w:rsidRDefault="00BB4DC8" w:rsidP="00A252DD">
      <w:pPr>
        <w:pStyle w:val="Sangradetextonormal"/>
        <w:spacing w:after="0"/>
        <w:ind w:left="0"/>
        <w:rPr>
          <w:rFonts w:cs="Arial"/>
          <w:bCs/>
          <w:snapToGrid w:val="0"/>
          <w:szCs w:val="24"/>
        </w:rPr>
      </w:pPr>
      <w:r w:rsidRPr="00D00CC9">
        <w:rPr>
          <w:rFonts w:cs="Arial"/>
          <w:bCs/>
          <w:snapToGrid w:val="0"/>
          <w:szCs w:val="24"/>
        </w:rPr>
        <w:t>El grado de asociación o colinealidad es mayor cuanto más se acerque a 1 (o -1). Para el caso del modelo CAMEL se considerará alto grado a partir de un coeficiente de correlación de 0.70.</w:t>
      </w:r>
      <w:r w:rsidR="00A252DD" w:rsidRPr="00D00CC9">
        <w:rPr>
          <w:rFonts w:cs="Arial"/>
          <w:bCs/>
          <w:snapToGrid w:val="0"/>
          <w:szCs w:val="24"/>
        </w:rPr>
        <w:t xml:space="preserve"> </w:t>
      </w:r>
    </w:p>
    <w:p w14:paraId="63ECC8AC" w14:textId="1E900A29" w:rsidR="00BB4DC8" w:rsidRPr="00D00CC9" w:rsidRDefault="00BB4DC8" w:rsidP="00834802">
      <w:pPr>
        <w:spacing w:after="0"/>
        <w:rPr>
          <w:rFonts w:ascii="Arial" w:hAnsi="Arial" w:cs="Arial"/>
          <w:sz w:val="24"/>
          <w:szCs w:val="24"/>
          <w:lang w:val="es-ES"/>
        </w:rPr>
      </w:pPr>
    </w:p>
    <w:p w14:paraId="0DDB52E4" w14:textId="77777777" w:rsidR="00CD53A8" w:rsidRPr="00834802" w:rsidRDefault="00CD53A8" w:rsidP="00834802">
      <w:pPr>
        <w:pStyle w:val="Ttulo3"/>
        <w:spacing w:before="0"/>
        <w:rPr>
          <w:rFonts w:ascii="Arial" w:hAnsi="Arial" w:cs="Arial"/>
          <w:bCs w:val="0"/>
          <w:sz w:val="24"/>
          <w:szCs w:val="24"/>
          <w:lang w:val="es-ES"/>
        </w:rPr>
      </w:pPr>
      <w:r w:rsidRPr="00834802">
        <w:rPr>
          <w:rFonts w:ascii="Arial" w:hAnsi="Arial" w:cs="Arial"/>
          <w:bCs w:val="0"/>
          <w:sz w:val="24"/>
          <w:szCs w:val="24"/>
          <w:lang w:val="es-ES"/>
        </w:rPr>
        <w:t xml:space="preserve">SELECCIONAR INDICADORES FINANCIEROS </w:t>
      </w:r>
    </w:p>
    <w:p w14:paraId="3207B797" w14:textId="77777777" w:rsidR="00792634" w:rsidRPr="00834802" w:rsidRDefault="00792634" w:rsidP="00834802">
      <w:pPr>
        <w:pStyle w:val="Textoindependiente"/>
        <w:tabs>
          <w:tab w:val="left" w:pos="360"/>
        </w:tabs>
        <w:spacing w:after="0" w:line="240" w:lineRule="auto"/>
        <w:jc w:val="both"/>
        <w:rPr>
          <w:rFonts w:ascii="Arial" w:hAnsi="Arial" w:cs="Arial"/>
          <w:b/>
          <w:sz w:val="24"/>
          <w:szCs w:val="24"/>
        </w:rPr>
      </w:pPr>
    </w:p>
    <w:p w14:paraId="6D1AEF9F" w14:textId="77777777" w:rsidR="00CD53A8" w:rsidRPr="00D00CC9" w:rsidRDefault="00CD53A8" w:rsidP="00CD53A8">
      <w:pPr>
        <w:pStyle w:val="Textoindependiente"/>
        <w:tabs>
          <w:tab w:val="left" w:pos="360"/>
        </w:tabs>
        <w:spacing w:line="240" w:lineRule="auto"/>
        <w:jc w:val="both"/>
        <w:rPr>
          <w:rFonts w:ascii="Arial" w:hAnsi="Arial" w:cs="Arial"/>
          <w:sz w:val="24"/>
          <w:szCs w:val="24"/>
        </w:rPr>
      </w:pPr>
      <w:r w:rsidRPr="00D00CC9">
        <w:rPr>
          <w:rFonts w:ascii="Arial" w:hAnsi="Arial" w:cs="Arial"/>
          <w:sz w:val="24"/>
          <w:szCs w:val="24"/>
        </w:rPr>
        <w:t xml:space="preserve">El tema medular del modelo radica en la combinación técnica de los indicadores de cada variable CAMEL, de forma que permita establecer el perfil de riesgo de emisor, depositario y contraparte </w:t>
      </w:r>
      <w:r w:rsidR="00FE7F37" w:rsidRPr="00D00CC9">
        <w:rPr>
          <w:rFonts w:ascii="Arial" w:hAnsi="Arial" w:cs="Arial"/>
          <w:sz w:val="24"/>
          <w:szCs w:val="24"/>
        </w:rPr>
        <w:t xml:space="preserve">para </w:t>
      </w:r>
      <w:r w:rsidRPr="00D00CC9">
        <w:rPr>
          <w:rFonts w:ascii="Arial" w:hAnsi="Arial" w:cs="Arial"/>
          <w:sz w:val="24"/>
          <w:szCs w:val="24"/>
        </w:rPr>
        <w:t xml:space="preserve">cada entidad, resultado que será empleado en la fijación de los cupos respectivos. </w:t>
      </w:r>
    </w:p>
    <w:p w14:paraId="3D67A9D0" w14:textId="77777777" w:rsidR="00CD53A8" w:rsidRPr="00D00CC9" w:rsidRDefault="00CD53A8" w:rsidP="00CD53A8">
      <w:pPr>
        <w:pStyle w:val="Textoindependiente"/>
        <w:tabs>
          <w:tab w:val="left" w:pos="360"/>
        </w:tabs>
        <w:spacing w:line="240" w:lineRule="auto"/>
        <w:jc w:val="both"/>
        <w:rPr>
          <w:rFonts w:ascii="Arial" w:hAnsi="Arial" w:cs="Arial"/>
          <w:sz w:val="24"/>
          <w:szCs w:val="24"/>
        </w:rPr>
      </w:pPr>
      <w:r w:rsidRPr="00D00CC9">
        <w:rPr>
          <w:rFonts w:ascii="Arial" w:hAnsi="Arial" w:cs="Arial"/>
          <w:sz w:val="24"/>
          <w:szCs w:val="24"/>
        </w:rPr>
        <w:t>Para garantizar la adecuada selección de indicadores financieros se procederá a eliminar aquellos que en la matriz de correlación presenten un grado de colinealidad superior a 0,70, con el fin de evitar que el modelo quede sobre especificado o recargado en alguna de las variables del modelo CAMEL.</w:t>
      </w:r>
    </w:p>
    <w:p w14:paraId="4CEA5E90" w14:textId="77777777" w:rsidR="00792634" w:rsidRPr="00D00CC9" w:rsidRDefault="00792634" w:rsidP="00834802">
      <w:pPr>
        <w:pStyle w:val="Textoindependiente"/>
        <w:tabs>
          <w:tab w:val="left" w:pos="360"/>
        </w:tabs>
        <w:spacing w:after="0" w:line="240" w:lineRule="auto"/>
        <w:jc w:val="both"/>
        <w:rPr>
          <w:rFonts w:ascii="Arial" w:hAnsi="Arial" w:cs="Arial"/>
          <w:sz w:val="24"/>
          <w:szCs w:val="24"/>
        </w:rPr>
      </w:pPr>
    </w:p>
    <w:p w14:paraId="20D3C806" w14:textId="56CDA557" w:rsidR="00792634" w:rsidRDefault="009B2E95" w:rsidP="00834802">
      <w:pPr>
        <w:pStyle w:val="Ttulo3"/>
        <w:spacing w:before="0"/>
        <w:jc w:val="both"/>
        <w:rPr>
          <w:rFonts w:ascii="Arial" w:hAnsi="Arial" w:cs="Arial"/>
          <w:b w:val="0"/>
          <w:sz w:val="24"/>
          <w:szCs w:val="24"/>
        </w:rPr>
      </w:pPr>
      <w:r w:rsidRPr="00D00CC9">
        <w:rPr>
          <w:rFonts w:ascii="Arial" w:hAnsi="Arial" w:cs="Arial"/>
          <w:b w:val="0"/>
          <w:sz w:val="24"/>
          <w:szCs w:val="24"/>
        </w:rPr>
        <w:t xml:space="preserve">DEFINICIÓN GRUPOS O PERFILES DE RIESGO DE EMISOR, DEPOSITARIO Y CONTRAPARTE </w:t>
      </w:r>
    </w:p>
    <w:p w14:paraId="2A4CD38C" w14:textId="77777777" w:rsidR="00834802" w:rsidRPr="00834802" w:rsidRDefault="00834802" w:rsidP="00834802">
      <w:pPr>
        <w:spacing w:after="0"/>
      </w:pPr>
    </w:p>
    <w:p w14:paraId="77AD4792" w14:textId="77777777" w:rsidR="009B2E95" w:rsidRPr="00D00CC9" w:rsidRDefault="009B2E95" w:rsidP="009B2E95">
      <w:pPr>
        <w:pStyle w:val="Textoindependiente"/>
        <w:tabs>
          <w:tab w:val="left" w:pos="360"/>
        </w:tabs>
        <w:spacing w:line="360" w:lineRule="auto"/>
        <w:jc w:val="both"/>
        <w:rPr>
          <w:rFonts w:ascii="Arial" w:hAnsi="Arial" w:cs="Arial"/>
          <w:sz w:val="24"/>
          <w:szCs w:val="24"/>
        </w:rPr>
      </w:pPr>
      <w:r w:rsidRPr="00D00CC9">
        <w:rPr>
          <w:rFonts w:ascii="Arial" w:hAnsi="Arial" w:cs="Arial"/>
          <w:sz w:val="24"/>
          <w:szCs w:val="24"/>
        </w:rPr>
        <w:t xml:space="preserve">Se han definido cinco (5) grupos o perfiles de riesgo: </w:t>
      </w:r>
    </w:p>
    <w:p w14:paraId="0268CF39" w14:textId="2C344566" w:rsidR="009B2E95" w:rsidRPr="00834802" w:rsidRDefault="009B2E95" w:rsidP="009B2E95">
      <w:pPr>
        <w:pStyle w:val="Textoindependiente"/>
        <w:numPr>
          <w:ilvl w:val="0"/>
          <w:numId w:val="19"/>
        </w:numPr>
        <w:spacing w:after="0" w:line="240" w:lineRule="auto"/>
        <w:ind w:left="360"/>
        <w:jc w:val="both"/>
        <w:rPr>
          <w:rFonts w:ascii="Arial" w:hAnsi="Arial" w:cs="Arial"/>
          <w:sz w:val="24"/>
          <w:szCs w:val="24"/>
        </w:rPr>
      </w:pPr>
      <w:r w:rsidRPr="00D00CC9">
        <w:rPr>
          <w:rFonts w:ascii="Arial" w:hAnsi="Arial" w:cs="Arial"/>
          <w:b/>
          <w:sz w:val="24"/>
          <w:szCs w:val="24"/>
        </w:rPr>
        <w:t>PERFIL DE RIESGO MÍNIMO:</w:t>
      </w:r>
      <w:r w:rsidRPr="00D00CC9">
        <w:rPr>
          <w:rFonts w:ascii="Arial" w:hAnsi="Arial" w:cs="Arial"/>
          <w:sz w:val="24"/>
          <w:szCs w:val="24"/>
        </w:rPr>
        <w:t xml:space="preserve"> Se incluyen entidades financieras que se consideran sanas y estables.  Sus problemas son catalogados como menores.  Son entidades resistentes a variaciones externas de orden económico o financiero.  Son entidades con nivel de riesgo de emisor, depositario y contraparte, prácticamente inexistente.</w:t>
      </w:r>
    </w:p>
    <w:p w14:paraId="4D1A60E6" w14:textId="37DA6160" w:rsidR="009B2E95" w:rsidRPr="00834802" w:rsidRDefault="009B2E95" w:rsidP="009B2E95">
      <w:pPr>
        <w:pStyle w:val="Textoindependiente"/>
        <w:numPr>
          <w:ilvl w:val="0"/>
          <w:numId w:val="19"/>
        </w:numPr>
        <w:spacing w:after="0" w:line="240" w:lineRule="auto"/>
        <w:ind w:left="360"/>
        <w:jc w:val="both"/>
        <w:rPr>
          <w:rFonts w:ascii="Arial" w:hAnsi="Arial" w:cs="Arial"/>
          <w:sz w:val="24"/>
          <w:szCs w:val="24"/>
        </w:rPr>
      </w:pPr>
      <w:r w:rsidRPr="00D00CC9">
        <w:rPr>
          <w:rFonts w:ascii="Arial" w:hAnsi="Arial" w:cs="Arial"/>
          <w:b/>
          <w:sz w:val="24"/>
          <w:szCs w:val="24"/>
        </w:rPr>
        <w:t>PERFIL DE RIESGO BAJO:</w:t>
      </w:r>
      <w:r w:rsidRPr="00D00CC9">
        <w:rPr>
          <w:rFonts w:ascii="Arial" w:hAnsi="Arial" w:cs="Arial"/>
          <w:sz w:val="24"/>
          <w:szCs w:val="24"/>
        </w:rPr>
        <w:t xml:space="preserve"> En esta categoría se agrupan entidades sanas, pero con algunas debilidades, que se estima pueden corregirse en el curso normal de la operación.  Son entidades con riesgos increméntales bastante bajos.</w:t>
      </w:r>
    </w:p>
    <w:p w14:paraId="22D93183" w14:textId="500BBA48" w:rsidR="009B2E95" w:rsidRPr="00834802" w:rsidRDefault="009B2E95" w:rsidP="009B2E95">
      <w:pPr>
        <w:pStyle w:val="Textoindependiente"/>
        <w:numPr>
          <w:ilvl w:val="0"/>
          <w:numId w:val="19"/>
        </w:numPr>
        <w:spacing w:after="0" w:line="240" w:lineRule="auto"/>
        <w:ind w:left="360"/>
        <w:jc w:val="both"/>
        <w:rPr>
          <w:rFonts w:ascii="Arial" w:hAnsi="Arial" w:cs="Arial"/>
          <w:sz w:val="24"/>
          <w:szCs w:val="24"/>
        </w:rPr>
      </w:pPr>
      <w:r w:rsidRPr="00D00CC9">
        <w:rPr>
          <w:rFonts w:ascii="Arial" w:hAnsi="Arial" w:cs="Arial"/>
          <w:b/>
          <w:sz w:val="24"/>
          <w:szCs w:val="24"/>
        </w:rPr>
        <w:t>PERFIL DE RIESGO MEDIO:</w:t>
      </w:r>
      <w:r w:rsidRPr="00D00CC9">
        <w:rPr>
          <w:rFonts w:ascii="Arial" w:hAnsi="Arial" w:cs="Arial"/>
          <w:sz w:val="24"/>
          <w:szCs w:val="24"/>
        </w:rPr>
        <w:t xml:space="preserve"> Las entidades ubicadas en este grupo, presentan problemas combinados entre debilidades financieras y fallas operativas que las hace vulnerables frente a cambios adversos en las condiciones de la economía.  No obstante, su posibilidad de quiebra es baja.</w:t>
      </w:r>
    </w:p>
    <w:p w14:paraId="074EB5C8" w14:textId="38FF4A96" w:rsidR="009B2E95" w:rsidRPr="00834802" w:rsidRDefault="009B2E95" w:rsidP="009B2E95">
      <w:pPr>
        <w:pStyle w:val="Textoindependiente"/>
        <w:numPr>
          <w:ilvl w:val="0"/>
          <w:numId w:val="19"/>
        </w:numPr>
        <w:spacing w:after="0" w:line="240" w:lineRule="auto"/>
        <w:ind w:left="360"/>
        <w:jc w:val="both"/>
        <w:rPr>
          <w:rFonts w:ascii="Arial" w:hAnsi="Arial" w:cs="Arial"/>
          <w:sz w:val="24"/>
          <w:szCs w:val="24"/>
        </w:rPr>
      </w:pPr>
      <w:r w:rsidRPr="00D00CC9">
        <w:rPr>
          <w:rFonts w:ascii="Arial" w:hAnsi="Arial" w:cs="Arial"/>
          <w:b/>
          <w:sz w:val="24"/>
          <w:szCs w:val="24"/>
        </w:rPr>
        <w:t>PERFIL DE RIESGO ALTO:</w:t>
      </w:r>
      <w:r w:rsidRPr="00D00CC9">
        <w:rPr>
          <w:rFonts w:ascii="Arial" w:hAnsi="Arial" w:cs="Arial"/>
          <w:sz w:val="24"/>
          <w:szCs w:val="24"/>
        </w:rPr>
        <w:t xml:space="preserve"> Corresponde a un grupo con entidades que reflejan debilidades financieras y operativas y condiciones poco seguras, las cuales las colocan en una posición de alto potencial de quiebra.</w:t>
      </w:r>
    </w:p>
    <w:p w14:paraId="34143CAE" w14:textId="4101A292" w:rsidR="009B2E95" w:rsidRPr="00834802" w:rsidRDefault="009B2E95" w:rsidP="009B2E95">
      <w:pPr>
        <w:pStyle w:val="Textoindependiente"/>
        <w:numPr>
          <w:ilvl w:val="0"/>
          <w:numId w:val="19"/>
        </w:numPr>
        <w:spacing w:after="0" w:line="240" w:lineRule="auto"/>
        <w:ind w:left="360"/>
        <w:jc w:val="both"/>
        <w:rPr>
          <w:rFonts w:ascii="Arial" w:hAnsi="Arial" w:cs="Arial"/>
          <w:sz w:val="24"/>
          <w:szCs w:val="24"/>
        </w:rPr>
      </w:pPr>
      <w:r w:rsidRPr="00D00CC9">
        <w:rPr>
          <w:rFonts w:ascii="Arial" w:hAnsi="Arial" w:cs="Arial"/>
          <w:b/>
          <w:sz w:val="24"/>
          <w:szCs w:val="24"/>
        </w:rPr>
        <w:t>PERFIL DE RIESGO MUY ALTO:</w:t>
      </w:r>
      <w:r w:rsidRPr="00D00CC9">
        <w:rPr>
          <w:rFonts w:ascii="Arial" w:hAnsi="Arial" w:cs="Arial"/>
          <w:sz w:val="24"/>
          <w:szCs w:val="24"/>
        </w:rPr>
        <w:t xml:space="preserve"> Dentro de este grupo, las entidades reflejan debilidades financieras críticas.  Para este grupo se presentan altas probabilidades de quiebra o liquidación.  En esta categoría se considera un grado no adecuado para realizar operaciones de tesorería o de inversión.</w:t>
      </w:r>
    </w:p>
    <w:p w14:paraId="54F51766" w14:textId="76C68D88" w:rsidR="00792634" w:rsidRPr="00D00CC9" w:rsidRDefault="009B2E95" w:rsidP="009B2E95">
      <w:pPr>
        <w:jc w:val="both"/>
        <w:rPr>
          <w:rFonts w:ascii="Arial" w:hAnsi="Arial" w:cs="Arial"/>
          <w:sz w:val="24"/>
          <w:szCs w:val="24"/>
        </w:rPr>
      </w:pPr>
      <w:r w:rsidRPr="00D00CC9">
        <w:rPr>
          <w:rFonts w:ascii="Arial" w:hAnsi="Arial" w:cs="Arial"/>
          <w:sz w:val="24"/>
          <w:szCs w:val="24"/>
        </w:rPr>
        <w:lastRenderedPageBreak/>
        <w:t>Vale la pena señalar que entidades que obtengan un puntaje mayor a 4, se considera de Mínimo Riesgo, lo cual refleja que todos los factores evaluados, capital, activos, administración, ganancias y liquidez, presentan un buen desempeño. El puntaje o scoring se explica en párrafos siguientes.</w:t>
      </w:r>
    </w:p>
    <w:p w14:paraId="705951CF" w14:textId="1967EF61" w:rsidR="00792634" w:rsidRDefault="00792634" w:rsidP="00834802">
      <w:pPr>
        <w:pStyle w:val="Ttulo3"/>
        <w:jc w:val="both"/>
        <w:rPr>
          <w:rFonts w:ascii="Arial" w:hAnsi="Arial" w:cs="Arial"/>
          <w:bCs w:val="0"/>
          <w:sz w:val="24"/>
          <w:szCs w:val="24"/>
          <w:lang w:val="es-ES"/>
        </w:rPr>
      </w:pPr>
      <w:r w:rsidRPr="00834802">
        <w:rPr>
          <w:rFonts w:ascii="Arial" w:hAnsi="Arial" w:cs="Arial"/>
          <w:bCs w:val="0"/>
          <w:sz w:val="24"/>
          <w:szCs w:val="24"/>
          <w:lang w:val="es-ES"/>
        </w:rPr>
        <w:t xml:space="preserve">ESTABLECER ESCALA DE CALIFICACIÓN O SCORING </w:t>
      </w:r>
    </w:p>
    <w:p w14:paraId="43572837" w14:textId="77777777" w:rsidR="00834802" w:rsidRPr="00834802" w:rsidRDefault="00834802" w:rsidP="00834802">
      <w:pPr>
        <w:spacing w:after="0"/>
        <w:rPr>
          <w:lang w:val="es-ES"/>
        </w:rPr>
      </w:pPr>
    </w:p>
    <w:p w14:paraId="185E2FD3" w14:textId="5F4E0A74" w:rsidR="009031D1" w:rsidRPr="00D00CC9" w:rsidRDefault="00792634" w:rsidP="00792634">
      <w:pPr>
        <w:jc w:val="both"/>
        <w:rPr>
          <w:rFonts w:ascii="Arial" w:eastAsia="Arial" w:hAnsi="Arial" w:cs="Arial"/>
          <w:sz w:val="24"/>
          <w:szCs w:val="24"/>
          <w:lang w:eastAsia="es-ES" w:bidi="es-ES"/>
        </w:rPr>
      </w:pPr>
      <w:r w:rsidRPr="00D00CC9">
        <w:rPr>
          <w:rFonts w:ascii="Arial" w:hAnsi="Arial" w:cs="Arial"/>
          <w:sz w:val="24"/>
          <w:szCs w:val="24"/>
        </w:rPr>
        <w:t>El puntaje o scoring está definido en una escala cardinal de 1 a 5</w:t>
      </w:r>
      <w:r w:rsidRPr="00D00CC9">
        <w:rPr>
          <w:rFonts w:ascii="Arial" w:eastAsia="Arial" w:hAnsi="Arial" w:cs="Arial"/>
          <w:sz w:val="24"/>
          <w:szCs w:val="24"/>
          <w:lang w:eastAsia="es-ES" w:bidi="es-ES"/>
        </w:rPr>
        <w:t>, siendo 1 la mínima calificación y 5 la máxima. Una vez determinado el puntaje global de cada emisor, depositario y contraparte, se emplean los criterios de asignación del nivel o perfil de riesgo señalados en el cuadro siguiente:</w:t>
      </w:r>
    </w:p>
    <w:tbl>
      <w:tblPr>
        <w:tblW w:w="4420" w:type="dxa"/>
        <w:jc w:val="center"/>
        <w:tblCellMar>
          <w:left w:w="70" w:type="dxa"/>
          <w:right w:w="70" w:type="dxa"/>
        </w:tblCellMar>
        <w:tblLook w:val="04A0" w:firstRow="1" w:lastRow="0" w:firstColumn="1" w:lastColumn="0" w:noHBand="0" w:noVBand="1"/>
      </w:tblPr>
      <w:tblGrid>
        <w:gridCol w:w="3180"/>
        <w:gridCol w:w="1447"/>
      </w:tblGrid>
      <w:tr w:rsidR="00D00CC9" w:rsidRPr="00D00CC9" w14:paraId="4AAB2CC8" w14:textId="77777777" w:rsidTr="000B1B46">
        <w:trPr>
          <w:trHeight w:val="600"/>
          <w:jc w:val="center"/>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D668D" w14:textId="77777777" w:rsidR="00792634" w:rsidRPr="00D00CC9" w:rsidRDefault="00792634" w:rsidP="000B1B46">
            <w:pPr>
              <w:jc w:val="center"/>
              <w:rPr>
                <w:rFonts w:ascii="Arial" w:hAnsi="Arial" w:cs="Arial"/>
                <w:b/>
                <w:bCs/>
                <w:sz w:val="24"/>
                <w:szCs w:val="24"/>
                <w:lang w:eastAsia="es-CO"/>
              </w:rPr>
            </w:pPr>
            <w:r w:rsidRPr="00D00CC9">
              <w:rPr>
                <w:rFonts w:ascii="Arial" w:hAnsi="Arial" w:cs="Arial"/>
                <w:b/>
                <w:bCs/>
                <w:sz w:val="24"/>
                <w:szCs w:val="24"/>
                <w:lang w:eastAsia="es-CO"/>
              </w:rPr>
              <w:t>NIVELES DE RIESGO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A341234" w14:textId="77777777" w:rsidR="00792634" w:rsidRPr="00D00CC9" w:rsidRDefault="00792634" w:rsidP="000B1B46">
            <w:pPr>
              <w:jc w:val="center"/>
              <w:rPr>
                <w:rFonts w:ascii="Arial" w:hAnsi="Arial" w:cs="Arial"/>
                <w:b/>
                <w:bCs/>
                <w:sz w:val="24"/>
                <w:szCs w:val="24"/>
                <w:lang w:eastAsia="es-CO"/>
              </w:rPr>
            </w:pPr>
            <w:r w:rsidRPr="00D00CC9">
              <w:rPr>
                <w:rFonts w:ascii="Arial" w:hAnsi="Arial" w:cs="Arial"/>
                <w:b/>
                <w:bCs/>
                <w:sz w:val="24"/>
                <w:szCs w:val="24"/>
                <w:lang w:eastAsia="es-CO"/>
              </w:rPr>
              <w:t>CRITERIOS</w:t>
            </w:r>
          </w:p>
        </w:tc>
      </w:tr>
      <w:tr w:rsidR="00D00CC9" w:rsidRPr="00D00CC9" w14:paraId="7A6817FA"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C00000"/>
            <w:noWrap/>
            <w:vAlign w:val="bottom"/>
            <w:hideMark/>
          </w:tcPr>
          <w:p w14:paraId="23E1D0F8" w14:textId="77777777" w:rsidR="00792634" w:rsidRPr="00D00CC9" w:rsidRDefault="00792634" w:rsidP="000B1B46">
            <w:pPr>
              <w:rPr>
                <w:rFonts w:ascii="Arial" w:hAnsi="Arial" w:cs="Arial"/>
                <w:b/>
                <w:sz w:val="24"/>
                <w:szCs w:val="24"/>
                <w:lang w:eastAsia="es-CO"/>
              </w:rPr>
            </w:pPr>
            <w:r w:rsidRPr="00D00CC9">
              <w:rPr>
                <w:rFonts w:ascii="Arial" w:hAnsi="Arial" w:cs="Arial"/>
                <w:b/>
                <w:sz w:val="24"/>
                <w:szCs w:val="24"/>
                <w:lang w:eastAsia="es-CO"/>
              </w:rPr>
              <w:t>RIESGO MUY ALTO</w:t>
            </w:r>
          </w:p>
        </w:tc>
        <w:tc>
          <w:tcPr>
            <w:tcW w:w="1240" w:type="dxa"/>
            <w:tcBorders>
              <w:top w:val="nil"/>
              <w:left w:val="nil"/>
              <w:bottom w:val="single" w:sz="4" w:space="0" w:color="auto"/>
              <w:right w:val="single" w:sz="4" w:space="0" w:color="auto"/>
            </w:tcBorders>
            <w:shd w:val="clear" w:color="auto" w:fill="auto"/>
            <w:noWrap/>
            <w:vAlign w:val="bottom"/>
            <w:hideMark/>
          </w:tcPr>
          <w:p w14:paraId="291A8B8B" w14:textId="77777777" w:rsidR="00792634" w:rsidRPr="00D00CC9" w:rsidRDefault="00792634" w:rsidP="000B1B46">
            <w:pPr>
              <w:jc w:val="center"/>
              <w:rPr>
                <w:rFonts w:ascii="Arial" w:hAnsi="Arial" w:cs="Arial"/>
                <w:sz w:val="24"/>
                <w:szCs w:val="24"/>
                <w:lang w:eastAsia="es-CO"/>
              </w:rPr>
            </w:pPr>
            <w:r w:rsidRPr="00D00CC9">
              <w:rPr>
                <w:rFonts w:ascii="Arial" w:hAnsi="Arial" w:cs="Arial"/>
                <w:sz w:val="24"/>
                <w:szCs w:val="24"/>
                <w:lang w:eastAsia="es-CO"/>
              </w:rPr>
              <w:t>&lt;1</w:t>
            </w:r>
          </w:p>
        </w:tc>
      </w:tr>
      <w:tr w:rsidR="00D00CC9" w:rsidRPr="00D00CC9" w14:paraId="5790E45C"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0000"/>
            <w:noWrap/>
            <w:vAlign w:val="bottom"/>
            <w:hideMark/>
          </w:tcPr>
          <w:p w14:paraId="066CD2C7" w14:textId="77777777" w:rsidR="00792634" w:rsidRPr="00D00CC9" w:rsidRDefault="00792634" w:rsidP="000B1B46">
            <w:pPr>
              <w:rPr>
                <w:rFonts w:ascii="Arial" w:hAnsi="Arial" w:cs="Arial"/>
                <w:b/>
                <w:sz w:val="24"/>
                <w:szCs w:val="24"/>
                <w:lang w:eastAsia="es-CO"/>
              </w:rPr>
            </w:pPr>
            <w:r w:rsidRPr="00D00CC9">
              <w:rPr>
                <w:rFonts w:ascii="Arial" w:hAnsi="Arial" w:cs="Arial"/>
                <w:b/>
                <w:sz w:val="24"/>
                <w:szCs w:val="24"/>
                <w:lang w:eastAsia="es-CO"/>
              </w:rPr>
              <w:t>RIESGO ALTO</w:t>
            </w:r>
          </w:p>
        </w:tc>
        <w:tc>
          <w:tcPr>
            <w:tcW w:w="1240" w:type="dxa"/>
            <w:tcBorders>
              <w:top w:val="nil"/>
              <w:left w:val="nil"/>
              <w:bottom w:val="single" w:sz="4" w:space="0" w:color="auto"/>
              <w:right w:val="single" w:sz="4" w:space="0" w:color="auto"/>
            </w:tcBorders>
            <w:shd w:val="clear" w:color="auto" w:fill="auto"/>
            <w:noWrap/>
            <w:vAlign w:val="bottom"/>
            <w:hideMark/>
          </w:tcPr>
          <w:p w14:paraId="17DEC0A3" w14:textId="77777777" w:rsidR="00792634" w:rsidRPr="00D00CC9" w:rsidRDefault="00792634" w:rsidP="000B1B46">
            <w:pPr>
              <w:jc w:val="center"/>
              <w:rPr>
                <w:rFonts w:ascii="Arial" w:hAnsi="Arial" w:cs="Arial"/>
                <w:sz w:val="24"/>
                <w:szCs w:val="24"/>
                <w:lang w:eastAsia="es-CO"/>
              </w:rPr>
            </w:pPr>
            <w:r w:rsidRPr="00D00CC9">
              <w:rPr>
                <w:rFonts w:ascii="Arial" w:hAnsi="Arial" w:cs="Arial"/>
                <w:sz w:val="24"/>
                <w:szCs w:val="24"/>
                <w:lang w:eastAsia="es-CO"/>
              </w:rPr>
              <w:t>&gt;= 1 &lt; 2</w:t>
            </w:r>
          </w:p>
        </w:tc>
      </w:tr>
      <w:tr w:rsidR="00D00CC9" w:rsidRPr="00D00CC9" w14:paraId="5B0A4124"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C000"/>
            <w:noWrap/>
            <w:vAlign w:val="bottom"/>
            <w:hideMark/>
          </w:tcPr>
          <w:p w14:paraId="6C9591A2" w14:textId="77777777" w:rsidR="00792634" w:rsidRPr="00D00CC9" w:rsidRDefault="00792634" w:rsidP="000B1B46">
            <w:pPr>
              <w:rPr>
                <w:rFonts w:ascii="Arial" w:hAnsi="Arial" w:cs="Arial"/>
                <w:b/>
                <w:sz w:val="24"/>
                <w:szCs w:val="24"/>
                <w:lang w:eastAsia="es-CO"/>
              </w:rPr>
            </w:pPr>
            <w:r w:rsidRPr="00D00CC9">
              <w:rPr>
                <w:rFonts w:ascii="Arial" w:hAnsi="Arial" w:cs="Arial"/>
                <w:b/>
                <w:sz w:val="24"/>
                <w:szCs w:val="24"/>
                <w:lang w:eastAsia="es-CO"/>
              </w:rPr>
              <w:t>RIESGO MEDIO</w:t>
            </w:r>
          </w:p>
        </w:tc>
        <w:tc>
          <w:tcPr>
            <w:tcW w:w="1240" w:type="dxa"/>
            <w:tcBorders>
              <w:top w:val="nil"/>
              <w:left w:val="nil"/>
              <w:bottom w:val="single" w:sz="4" w:space="0" w:color="auto"/>
              <w:right w:val="single" w:sz="4" w:space="0" w:color="auto"/>
            </w:tcBorders>
            <w:shd w:val="clear" w:color="auto" w:fill="auto"/>
            <w:noWrap/>
            <w:vAlign w:val="bottom"/>
            <w:hideMark/>
          </w:tcPr>
          <w:p w14:paraId="4100E97D" w14:textId="77777777" w:rsidR="00792634" w:rsidRPr="00D00CC9" w:rsidRDefault="00792634" w:rsidP="000B1B46">
            <w:pPr>
              <w:jc w:val="center"/>
              <w:rPr>
                <w:rFonts w:ascii="Arial" w:hAnsi="Arial" w:cs="Arial"/>
                <w:sz w:val="24"/>
                <w:szCs w:val="24"/>
                <w:lang w:eastAsia="es-CO"/>
              </w:rPr>
            </w:pPr>
            <w:r w:rsidRPr="00D00CC9">
              <w:rPr>
                <w:rFonts w:ascii="Arial" w:hAnsi="Arial" w:cs="Arial"/>
                <w:sz w:val="24"/>
                <w:szCs w:val="24"/>
                <w:lang w:eastAsia="es-CO"/>
              </w:rPr>
              <w:t>&gt;= 2 &lt; 3</w:t>
            </w:r>
          </w:p>
        </w:tc>
      </w:tr>
      <w:tr w:rsidR="00D00CC9" w:rsidRPr="00D00CC9" w14:paraId="4D0F3181"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FF00"/>
            <w:noWrap/>
            <w:vAlign w:val="bottom"/>
            <w:hideMark/>
          </w:tcPr>
          <w:p w14:paraId="3371EF06" w14:textId="77777777" w:rsidR="00792634" w:rsidRPr="00D00CC9" w:rsidRDefault="00792634" w:rsidP="000B1B46">
            <w:pPr>
              <w:rPr>
                <w:rFonts w:ascii="Arial" w:hAnsi="Arial" w:cs="Arial"/>
                <w:b/>
                <w:sz w:val="24"/>
                <w:szCs w:val="24"/>
                <w:lang w:eastAsia="es-CO"/>
              </w:rPr>
            </w:pPr>
            <w:r w:rsidRPr="00D00CC9">
              <w:rPr>
                <w:rFonts w:ascii="Arial" w:hAnsi="Arial" w:cs="Arial"/>
                <w:b/>
                <w:sz w:val="24"/>
                <w:szCs w:val="24"/>
                <w:lang w:eastAsia="es-CO"/>
              </w:rPr>
              <w:t>RIESGO BAJO</w:t>
            </w:r>
          </w:p>
        </w:tc>
        <w:tc>
          <w:tcPr>
            <w:tcW w:w="1240" w:type="dxa"/>
            <w:tcBorders>
              <w:top w:val="nil"/>
              <w:left w:val="nil"/>
              <w:bottom w:val="single" w:sz="4" w:space="0" w:color="auto"/>
              <w:right w:val="single" w:sz="4" w:space="0" w:color="auto"/>
            </w:tcBorders>
            <w:shd w:val="clear" w:color="auto" w:fill="auto"/>
            <w:noWrap/>
            <w:vAlign w:val="bottom"/>
            <w:hideMark/>
          </w:tcPr>
          <w:p w14:paraId="34EB9711" w14:textId="77777777" w:rsidR="00792634" w:rsidRPr="00D00CC9" w:rsidRDefault="00792634" w:rsidP="000B1B46">
            <w:pPr>
              <w:jc w:val="center"/>
              <w:rPr>
                <w:rFonts w:ascii="Arial" w:hAnsi="Arial" w:cs="Arial"/>
                <w:sz w:val="24"/>
                <w:szCs w:val="24"/>
                <w:lang w:eastAsia="es-CO"/>
              </w:rPr>
            </w:pPr>
            <w:r w:rsidRPr="00D00CC9">
              <w:rPr>
                <w:rFonts w:ascii="Arial" w:hAnsi="Arial" w:cs="Arial"/>
                <w:sz w:val="24"/>
                <w:szCs w:val="24"/>
                <w:lang w:eastAsia="es-CO"/>
              </w:rPr>
              <w:t>&gt;= 3 &lt; 4</w:t>
            </w:r>
          </w:p>
        </w:tc>
      </w:tr>
      <w:tr w:rsidR="00D00CC9" w:rsidRPr="00D00CC9" w14:paraId="5DDBC6B4"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92D050"/>
            <w:noWrap/>
            <w:vAlign w:val="bottom"/>
            <w:hideMark/>
          </w:tcPr>
          <w:p w14:paraId="5AEB02E5" w14:textId="77777777" w:rsidR="00792634" w:rsidRPr="00D00CC9" w:rsidRDefault="003B4DEF" w:rsidP="000B1B46">
            <w:pPr>
              <w:rPr>
                <w:rFonts w:ascii="Arial" w:hAnsi="Arial" w:cs="Arial"/>
                <w:b/>
                <w:sz w:val="24"/>
                <w:szCs w:val="24"/>
                <w:lang w:eastAsia="es-CO"/>
              </w:rPr>
            </w:pPr>
            <w:r w:rsidRPr="00D00CC9">
              <w:rPr>
                <w:rFonts w:ascii="Arial" w:hAnsi="Arial" w:cs="Arial"/>
                <w:b/>
                <w:sz w:val="24"/>
                <w:szCs w:val="24"/>
                <w:lang w:eastAsia="es-CO"/>
              </w:rPr>
              <w:t>RIESGO MÍ</w:t>
            </w:r>
            <w:r w:rsidR="00792634" w:rsidRPr="00D00CC9">
              <w:rPr>
                <w:rFonts w:ascii="Arial" w:hAnsi="Arial" w:cs="Arial"/>
                <w:b/>
                <w:sz w:val="24"/>
                <w:szCs w:val="24"/>
                <w:lang w:eastAsia="es-CO"/>
              </w:rPr>
              <w:t xml:space="preserve">NIMO </w:t>
            </w:r>
          </w:p>
        </w:tc>
        <w:tc>
          <w:tcPr>
            <w:tcW w:w="1240" w:type="dxa"/>
            <w:tcBorders>
              <w:top w:val="nil"/>
              <w:left w:val="nil"/>
              <w:bottom w:val="single" w:sz="4" w:space="0" w:color="auto"/>
              <w:right w:val="single" w:sz="4" w:space="0" w:color="auto"/>
            </w:tcBorders>
            <w:shd w:val="clear" w:color="auto" w:fill="auto"/>
            <w:noWrap/>
            <w:vAlign w:val="bottom"/>
            <w:hideMark/>
          </w:tcPr>
          <w:p w14:paraId="04DAEDA7" w14:textId="77777777" w:rsidR="00792634" w:rsidRPr="00D00CC9" w:rsidRDefault="00792634" w:rsidP="000B1B46">
            <w:pPr>
              <w:jc w:val="center"/>
              <w:rPr>
                <w:rFonts w:ascii="Arial" w:hAnsi="Arial" w:cs="Arial"/>
                <w:sz w:val="24"/>
                <w:szCs w:val="24"/>
                <w:lang w:eastAsia="es-CO"/>
              </w:rPr>
            </w:pPr>
            <w:r w:rsidRPr="00D00CC9">
              <w:rPr>
                <w:rFonts w:ascii="Arial" w:hAnsi="Arial" w:cs="Arial"/>
                <w:sz w:val="24"/>
                <w:szCs w:val="24"/>
                <w:lang w:eastAsia="es-CO"/>
              </w:rPr>
              <w:t>&gt;=4</w:t>
            </w:r>
          </w:p>
        </w:tc>
      </w:tr>
    </w:tbl>
    <w:p w14:paraId="795D3299" w14:textId="77777777" w:rsidR="00834802" w:rsidRDefault="00834802" w:rsidP="00834802">
      <w:pPr>
        <w:spacing w:after="0"/>
        <w:rPr>
          <w:lang w:val="es-ES"/>
        </w:rPr>
      </w:pPr>
    </w:p>
    <w:p w14:paraId="5362D995" w14:textId="5D5AA447" w:rsidR="00792634" w:rsidRPr="00834802" w:rsidRDefault="007F111D" w:rsidP="00834802">
      <w:pPr>
        <w:pStyle w:val="Ttulo3"/>
        <w:spacing w:before="0" w:after="0"/>
        <w:jc w:val="both"/>
        <w:rPr>
          <w:rFonts w:ascii="Arial" w:hAnsi="Arial" w:cs="Arial"/>
          <w:bCs w:val="0"/>
          <w:sz w:val="24"/>
          <w:szCs w:val="24"/>
          <w:lang w:val="es-ES"/>
        </w:rPr>
      </w:pPr>
      <w:r w:rsidRPr="00834802">
        <w:rPr>
          <w:rFonts w:ascii="Arial" w:hAnsi="Arial" w:cs="Arial"/>
          <w:bCs w:val="0"/>
          <w:sz w:val="24"/>
          <w:szCs w:val="24"/>
          <w:lang w:val="es-ES"/>
        </w:rPr>
        <w:t xml:space="preserve">DEFINIR MODELO DE SCORING </w:t>
      </w:r>
    </w:p>
    <w:p w14:paraId="1241FC14" w14:textId="77777777" w:rsidR="007F111D" w:rsidRPr="00D00CC9" w:rsidRDefault="007F111D" w:rsidP="007F111D">
      <w:pPr>
        <w:pStyle w:val="Sangradetextonormal"/>
        <w:spacing w:after="0"/>
        <w:ind w:left="0"/>
        <w:rPr>
          <w:rFonts w:cs="Arial"/>
          <w:szCs w:val="24"/>
        </w:rPr>
      </w:pPr>
    </w:p>
    <w:p w14:paraId="087041AB" w14:textId="77777777" w:rsidR="007F111D" w:rsidRPr="00D00CC9" w:rsidRDefault="007F111D" w:rsidP="007F111D">
      <w:pPr>
        <w:pStyle w:val="Sangradetextonormal"/>
        <w:spacing w:after="0"/>
        <w:ind w:left="0"/>
        <w:rPr>
          <w:rFonts w:cs="Arial"/>
          <w:szCs w:val="24"/>
        </w:rPr>
      </w:pPr>
      <w:r w:rsidRPr="00D00CC9">
        <w:rPr>
          <w:rFonts w:cs="Arial"/>
          <w:szCs w:val="24"/>
        </w:rPr>
        <w:t xml:space="preserve">El scoring o puntaje empleado corresponde a una metodología de quintiles. En esta metodología se inicia con el ordenamiento de los datos de cada indicador de mayor a menor o al contrario según sea el caso. Por ejemplo, para los indicadores de rentabilidad, de estructura de balance o de cubrimiento se debe ordenar de mayor a menor y para el indicador de cartera vencida de menor a mayor. Una vez realizado el ordenamiento la tabla conformada por el nombre de la entidad y el indicador se divide en cinco partes iguales. </w:t>
      </w:r>
    </w:p>
    <w:p w14:paraId="5593EBA7" w14:textId="77777777" w:rsidR="007F111D" w:rsidRPr="00D00CC9" w:rsidRDefault="007F111D" w:rsidP="007F111D">
      <w:pPr>
        <w:pStyle w:val="Sangradetextonormal"/>
        <w:spacing w:after="0"/>
        <w:ind w:left="0"/>
        <w:rPr>
          <w:rFonts w:cs="Arial"/>
          <w:szCs w:val="24"/>
        </w:rPr>
      </w:pPr>
    </w:p>
    <w:p w14:paraId="26C437CB" w14:textId="77777777" w:rsidR="007F111D" w:rsidRPr="00D00CC9" w:rsidRDefault="007F111D" w:rsidP="007F111D">
      <w:pPr>
        <w:pStyle w:val="Sangradetextonormal"/>
        <w:spacing w:after="0"/>
        <w:ind w:left="0"/>
        <w:rPr>
          <w:rFonts w:cs="Arial"/>
          <w:szCs w:val="24"/>
        </w:rPr>
      </w:pPr>
      <w:r w:rsidRPr="00D00CC9">
        <w:rPr>
          <w:rFonts w:cs="Arial"/>
          <w:szCs w:val="24"/>
        </w:rPr>
        <w:t xml:space="preserve">Este método permite asegurar que la diversidad de indicadores de las entidades analizadas no distorsione los puntajes asignados. Para determinar las escalas de calificación, se realizaron varias pruebas para determinar cuál es la más adecuada teniendo en cuenta las características del mercado colombiano y las pruebas de consistencia estadística. </w:t>
      </w:r>
    </w:p>
    <w:p w14:paraId="509D1D38" w14:textId="2651A821" w:rsidR="007F111D" w:rsidRDefault="007F111D" w:rsidP="007F111D">
      <w:pPr>
        <w:pStyle w:val="Textoindependiente"/>
        <w:jc w:val="both"/>
        <w:rPr>
          <w:rFonts w:ascii="Arial" w:hAnsi="Arial" w:cs="Arial"/>
          <w:sz w:val="24"/>
          <w:szCs w:val="24"/>
          <w:lang w:val="es-ES"/>
        </w:rPr>
      </w:pPr>
    </w:p>
    <w:p w14:paraId="25ABD2A1" w14:textId="77777777" w:rsidR="00834802" w:rsidRPr="00D00CC9" w:rsidRDefault="00834802" w:rsidP="007F111D">
      <w:pPr>
        <w:pStyle w:val="Textoindependiente"/>
        <w:jc w:val="both"/>
        <w:rPr>
          <w:rFonts w:ascii="Arial" w:hAnsi="Arial" w:cs="Arial"/>
          <w:sz w:val="24"/>
          <w:szCs w:val="24"/>
          <w:lang w:val="es-ES"/>
        </w:rPr>
      </w:pPr>
    </w:p>
    <w:p w14:paraId="3676C935" w14:textId="77777777" w:rsidR="007F111D" w:rsidRPr="00834802" w:rsidRDefault="00256E49" w:rsidP="00834802">
      <w:pPr>
        <w:pStyle w:val="Ttulo3"/>
        <w:spacing w:before="0" w:after="0"/>
        <w:jc w:val="both"/>
        <w:rPr>
          <w:rFonts w:ascii="Arial" w:hAnsi="Arial" w:cs="Arial"/>
          <w:bCs w:val="0"/>
          <w:sz w:val="24"/>
          <w:szCs w:val="24"/>
        </w:rPr>
      </w:pPr>
      <w:r w:rsidRPr="00834802">
        <w:rPr>
          <w:rFonts w:ascii="Arial" w:hAnsi="Arial" w:cs="Arial"/>
          <w:bCs w:val="0"/>
          <w:sz w:val="24"/>
          <w:szCs w:val="24"/>
        </w:rPr>
        <w:lastRenderedPageBreak/>
        <w:t xml:space="preserve">APLICAR MODELO DE SCORING PARA CADA INDICADOR FINANCIERO SELECCIONADO </w:t>
      </w:r>
    </w:p>
    <w:p w14:paraId="0611C442" w14:textId="77777777" w:rsidR="00923277" w:rsidRPr="00D00CC9" w:rsidRDefault="00923277" w:rsidP="00923277">
      <w:pPr>
        <w:pStyle w:val="Textoindependiente"/>
        <w:jc w:val="both"/>
        <w:rPr>
          <w:rFonts w:ascii="Arial" w:hAnsi="Arial" w:cs="Arial"/>
          <w:sz w:val="24"/>
          <w:szCs w:val="24"/>
        </w:rPr>
      </w:pPr>
    </w:p>
    <w:p w14:paraId="6AE54CFE" w14:textId="64BB7FFC" w:rsidR="00923277" w:rsidRPr="00D00CC9" w:rsidRDefault="00923277" w:rsidP="00923277">
      <w:pPr>
        <w:pStyle w:val="Textoindependiente"/>
        <w:spacing w:line="240" w:lineRule="auto"/>
        <w:jc w:val="both"/>
        <w:rPr>
          <w:rFonts w:ascii="Arial" w:hAnsi="Arial" w:cs="Arial"/>
          <w:sz w:val="24"/>
          <w:szCs w:val="24"/>
        </w:rPr>
      </w:pPr>
      <w:r w:rsidRPr="00D00CC9">
        <w:rPr>
          <w:rFonts w:ascii="Arial" w:hAnsi="Arial" w:cs="Arial"/>
          <w:sz w:val="24"/>
          <w:szCs w:val="24"/>
        </w:rPr>
        <w:t>Luego del proceso descrito en el paso 7, a cada indicador financiero se procede a asignarle un puntaje, de 1 a 5, iniciando con 5 para el primer quintil</w:t>
      </w:r>
      <w:r w:rsidR="00834802">
        <w:rPr>
          <w:rFonts w:ascii="Arial" w:hAnsi="Arial" w:cs="Arial"/>
          <w:sz w:val="24"/>
          <w:szCs w:val="24"/>
        </w:rPr>
        <w:t>.</w:t>
      </w:r>
    </w:p>
    <w:p w14:paraId="7756CDEF" w14:textId="77777777" w:rsidR="0004501B" w:rsidRPr="00834802" w:rsidRDefault="0004501B" w:rsidP="00834802">
      <w:pPr>
        <w:pStyle w:val="Ttulo3"/>
        <w:jc w:val="both"/>
        <w:rPr>
          <w:rFonts w:ascii="Arial" w:hAnsi="Arial" w:cs="Arial"/>
          <w:bCs w:val="0"/>
          <w:sz w:val="24"/>
          <w:szCs w:val="24"/>
        </w:rPr>
      </w:pPr>
      <w:r w:rsidRPr="00834802">
        <w:rPr>
          <w:rFonts w:ascii="Arial" w:hAnsi="Arial" w:cs="Arial"/>
          <w:bCs w:val="0"/>
          <w:sz w:val="24"/>
          <w:szCs w:val="24"/>
        </w:rPr>
        <w:t xml:space="preserve">APLICAR A CADA MODELO CON SU INDICADOR EL COEFICIENTE DE DETERMINACIÓN </w:t>
      </w:r>
    </w:p>
    <w:p w14:paraId="582739D7" w14:textId="77777777" w:rsidR="0004501B" w:rsidRPr="00D00CC9" w:rsidRDefault="0004501B" w:rsidP="00834802">
      <w:pPr>
        <w:spacing w:after="0" w:line="240" w:lineRule="auto"/>
        <w:rPr>
          <w:rFonts w:ascii="Arial" w:hAnsi="Arial" w:cs="Arial"/>
          <w:sz w:val="24"/>
          <w:szCs w:val="24"/>
        </w:rPr>
      </w:pPr>
    </w:p>
    <w:p w14:paraId="73E2DC39" w14:textId="77777777" w:rsidR="0004501B" w:rsidRPr="00D00CC9" w:rsidRDefault="0004501B" w:rsidP="0004501B">
      <w:pPr>
        <w:pStyle w:val="Sangradetextonormal"/>
        <w:spacing w:after="0"/>
        <w:ind w:left="0"/>
        <w:rPr>
          <w:rFonts w:cs="Arial"/>
          <w:szCs w:val="24"/>
        </w:rPr>
      </w:pPr>
      <w:r w:rsidRPr="00D00CC9">
        <w:rPr>
          <w:rFonts w:cs="Arial"/>
          <w:szCs w:val="24"/>
        </w:rPr>
        <w:t xml:space="preserve">Para determinar si el proceso de asignación de puntaje ha sido eficiente se debe calcular el coeficiente de determinación o R2, el cual es una medida estadística que permite conocer que tan bien o mal, la variable independiente explica a la variable dependiente, es decir, que tan acertada fue la asignación del puntaje a cada entidad. </w:t>
      </w:r>
    </w:p>
    <w:p w14:paraId="61275EDB" w14:textId="77777777" w:rsidR="0004501B" w:rsidRPr="00D00CC9" w:rsidRDefault="0004501B" w:rsidP="0004501B">
      <w:pPr>
        <w:pStyle w:val="Sangradetextonormal"/>
        <w:spacing w:after="0"/>
        <w:ind w:left="0"/>
        <w:rPr>
          <w:rFonts w:cs="Arial"/>
          <w:szCs w:val="24"/>
        </w:rPr>
      </w:pPr>
    </w:p>
    <w:p w14:paraId="3E6EE3FB" w14:textId="77777777" w:rsidR="0004501B" w:rsidRPr="00D00CC9" w:rsidRDefault="0004501B" w:rsidP="0004501B">
      <w:pPr>
        <w:pStyle w:val="Sangradetextonormal"/>
        <w:spacing w:after="0"/>
        <w:ind w:left="0"/>
        <w:rPr>
          <w:rFonts w:cs="Arial"/>
          <w:szCs w:val="24"/>
        </w:rPr>
      </w:pPr>
      <w:r w:rsidRPr="00D00CC9">
        <w:rPr>
          <w:rFonts w:cs="Arial"/>
          <w:szCs w:val="24"/>
        </w:rPr>
        <w:t xml:space="preserve">El criterio de asertividad o eficiente se establece a partir de un indicador R2 superior a 0,70. Cuando este sea superior 0,70 se dice que es eficiente. Cuando el coeficiente es menor a 0.70 se debe revisar el puntaje asignado a cada entidad para cada indicador.  Es importante aclarar que 0.70 es una regla empírica. </w:t>
      </w:r>
    </w:p>
    <w:p w14:paraId="3F2CE7A7" w14:textId="77777777" w:rsidR="0004501B" w:rsidRPr="00D00CC9" w:rsidRDefault="0004501B" w:rsidP="00834802">
      <w:pPr>
        <w:spacing w:after="0"/>
        <w:rPr>
          <w:rFonts w:ascii="Arial" w:hAnsi="Arial" w:cs="Arial"/>
          <w:sz w:val="24"/>
          <w:szCs w:val="24"/>
        </w:rPr>
      </w:pPr>
    </w:p>
    <w:p w14:paraId="38BFD8D8" w14:textId="77777777" w:rsidR="0004501B" w:rsidRPr="00834802" w:rsidRDefault="0004501B" w:rsidP="00834802">
      <w:pPr>
        <w:pStyle w:val="Ttulo3"/>
        <w:spacing w:before="0" w:after="0"/>
        <w:jc w:val="both"/>
        <w:rPr>
          <w:rFonts w:ascii="Arial" w:eastAsia="Arial" w:hAnsi="Arial" w:cs="Arial"/>
          <w:bCs w:val="0"/>
          <w:sz w:val="24"/>
          <w:szCs w:val="24"/>
        </w:rPr>
      </w:pPr>
      <w:r w:rsidRPr="00834802">
        <w:rPr>
          <w:rFonts w:ascii="Arial" w:eastAsia="Arial" w:hAnsi="Arial" w:cs="Arial"/>
          <w:bCs w:val="0"/>
          <w:sz w:val="24"/>
          <w:szCs w:val="24"/>
        </w:rPr>
        <w:t xml:space="preserve">ELABORAR MATRIZ DE INDICADORES CON SU RESPECTIVA CALIFICACIÓN </w:t>
      </w:r>
    </w:p>
    <w:p w14:paraId="32EEB4E1" w14:textId="77777777" w:rsidR="0004501B" w:rsidRPr="00834802" w:rsidRDefault="0004501B" w:rsidP="00834802">
      <w:pPr>
        <w:pStyle w:val="Sangradetextonormal"/>
        <w:spacing w:after="0"/>
        <w:ind w:left="0"/>
        <w:rPr>
          <w:rFonts w:cs="Arial"/>
          <w:b/>
          <w:szCs w:val="24"/>
        </w:rPr>
      </w:pPr>
    </w:p>
    <w:p w14:paraId="681F893B" w14:textId="3A66027E" w:rsidR="001008E8" w:rsidRPr="00D00CC9" w:rsidRDefault="0004501B" w:rsidP="001008E8">
      <w:pPr>
        <w:pStyle w:val="Sangradetextonormal"/>
        <w:spacing w:after="0"/>
        <w:ind w:left="0"/>
        <w:rPr>
          <w:rFonts w:cs="Arial"/>
          <w:szCs w:val="24"/>
        </w:rPr>
      </w:pPr>
      <w:r w:rsidRPr="00D00CC9">
        <w:rPr>
          <w:rFonts w:cs="Arial"/>
          <w:szCs w:val="24"/>
        </w:rPr>
        <w:t xml:space="preserve">Luego de calificar los modelos se procede a desarrollar una matriz de indicadores con sus respectivos puntajes o calificaciones por cada indicador. </w:t>
      </w:r>
    </w:p>
    <w:p w14:paraId="1CE08184" w14:textId="767A7E87" w:rsidR="0004501B" w:rsidRPr="00D00CC9" w:rsidRDefault="0004501B" w:rsidP="00C6298D">
      <w:pPr>
        <w:spacing w:after="0"/>
        <w:rPr>
          <w:rFonts w:ascii="Arial" w:hAnsi="Arial" w:cs="Arial"/>
          <w:noProof/>
          <w:sz w:val="24"/>
          <w:szCs w:val="24"/>
        </w:rPr>
      </w:pPr>
    </w:p>
    <w:p w14:paraId="6BD559B3" w14:textId="77777777" w:rsidR="0004501B" w:rsidRPr="00D00CC9" w:rsidRDefault="0004501B" w:rsidP="0004501B">
      <w:pPr>
        <w:pStyle w:val="Sangradetextonormal"/>
        <w:spacing w:after="0"/>
        <w:ind w:left="0"/>
        <w:rPr>
          <w:rFonts w:cs="Arial"/>
          <w:szCs w:val="24"/>
        </w:rPr>
      </w:pPr>
      <w:r w:rsidRPr="00D00CC9">
        <w:rPr>
          <w:rFonts w:cs="Arial"/>
          <w:szCs w:val="24"/>
        </w:rPr>
        <w:t xml:space="preserve">Una vez se cuenta con la matriz consolidada se procede a calcular un promedio ponderado, tal cual como se observa en la siguiente matriz para cada una de las entidades financieras analizadas. </w:t>
      </w:r>
    </w:p>
    <w:p w14:paraId="612C1924" w14:textId="77777777" w:rsidR="0004501B" w:rsidRPr="00D00CC9" w:rsidRDefault="000F0527" w:rsidP="00C6298D">
      <w:pPr>
        <w:pStyle w:val="Ttulo3"/>
        <w:jc w:val="both"/>
        <w:rPr>
          <w:rFonts w:ascii="Arial" w:eastAsia="Arial" w:hAnsi="Arial" w:cs="Arial"/>
          <w:b w:val="0"/>
          <w:sz w:val="24"/>
          <w:szCs w:val="24"/>
          <w:lang w:val="es-ES"/>
        </w:rPr>
      </w:pPr>
      <w:r w:rsidRPr="00D00CC9">
        <w:rPr>
          <w:rFonts w:ascii="Arial" w:eastAsia="Arial" w:hAnsi="Arial" w:cs="Arial"/>
          <w:b w:val="0"/>
          <w:sz w:val="24"/>
          <w:szCs w:val="24"/>
          <w:lang w:val="es-ES"/>
        </w:rPr>
        <w:t xml:space="preserve">ASIGNAR NIVEL O PERFIL DE RIESGO DE EMISOR, DEPOSITARIO Y CONTRAPARTE </w:t>
      </w:r>
    </w:p>
    <w:p w14:paraId="73CD599C" w14:textId="77777777" w:rsidR="00B73A36" w:rsidRPr="00D00CC9" w:rsidRDefault="00B73A36" w:rsidP="00C6298D">
      <w:pPr>
        <w:spacing w:after="0"/>
        <w:rPr>
          <w:rFonts w:ascii="Arial" w:hAnsi="Arial" w:cs="Arial"/>
          <w:sz w:val="24"/>
          <w:szCs w:val="24"/>
          <w:lang w:val="es-ES"/>
        </w:rPr>
      </w:pPr>
    </w:p>
    <w:p w14:paraId="27F3A637" w14:textId="77777777" w:rsidR="00B73A36" w:rsidRPr="00D00CC9" w:rsidRDefault="00B73A36" w:rsidP="00B73A36">
      <w:pPr>
        <w:pStyle w:val="Sangradetextonormal"/>
        <w:spacing w:after="0"/>
        <w:ind w:left="0"/>
        <w:rPr>
          <w:rFonts w:cs="Arial"/>
          <w:szCs w:val="24"/>
        </w:rPr>
      </w:pPr>
      <w:r w:rsidRPr="00D00CC9">
        <w:rPr>
          <w:rFonts w:cs="Arial"/>
          <w:szCs w:val="24"/>
        </w:rPr>
        <w:t>Para determinar el nivel o perfil de riesgo de emisor, depositario y contraparte de las entidades analizadas, conforme los cálculos por cada variable y por cada indicador se procede a ordenar la matriz de calificaciones, mayor a menor y se inicia la asignación conforme la escala desarrollada en el punto 6.</w:t>
      </w:r>
    </w:p>
    <w:p w14:paraId="15C1B6DC" w14:textId="22A3BDCA" w:rsidR="00B73A36" w:rsidRPr="00D00CC9" w:rsidRDefault="00B73A36" w:rsidP="00C6298D">
      <w:pPr>
        <w:pStyle w:val="Sangradetextonormal"/>
        <w:spacing w:after="0" w:line="360" w:lineRule="auto"/>
        <w:ind w:left="0"/>
        <w:rPr>
          <w:rFonts w:cs="Arial"/>
          <w:b/>
          <w:bCs/>
          <w:szCs w:val="24"/>
        </w:rPr>
      </w:pPr>
    </w:p>
    <w:p w14:paraId="4390E4AC" w14:textId="6A4A051F" w:rsidR="00B73A36" w:rsidRPr="00C6298D" w:rsidRDefault="00C6298D" w:rsidP="00C6298D">
      <w:pPr>
        <w:pStyle w:val="Ttulo3"/>
        <w:spacing w:before="0" w:after="0"/>
        <w:jc w:val="both"/>
        <w:rPr>
          <w:rFonts w:ascii="Arial" w:eastAsia="Arial" w:hAnsi="Arial" w:cs="Arial"/>
          <w:bCs w:val="0"/>
          <w:sz w:val="24"/>
          <w:szCs w:val="24"/>
          <w:lang w:val="es-ES"/>
        </w:rPr>
      </w:pPr>
      <w:r w:rsidRPr="00C6298D">
        <w:rPr>
          <w:rFonts w:ascii="Arial" w:eastAsia="Arial" w:hAnsi="Arial" w:cs="Arial"/>
          <w:bCs w:val="0"/>
          <w:sz w:val="24"/>
          <w:szCs w:val="24"/>
          <w:lang w:val="es-ES"/>
        </w:rPr>
        <w:t>ASIGNACIÓN</w:t>
      </w:r>
      <w:r w:rsidR="00C54AF3" w:rsidRPr="00C6298D">
        <w:rPr>
          <w:rFonts w:ascii="Arial" w:eastAsia="Arial" w:hAnsi="Arial" w:cs="Arial"/>
          <w:bCs w:val="0"/>
          <w:sz w:val="24"/>
          <w:szCs w:val="24"/>
          <w:lang w:val="es-ES"/>
        </w:rPr>
        <w:t xml:space="preserve"> DEL CUPO DE EMISOR, </w:t>
      </w:r>
      <w:r w:rsidRPr="00C6298D">
        <w:rPr>
          <w:rFonts w:ascii="Arial" w:eastAsia="Arial" w:hAnsi="Arial" w:cs="Arial"/>
          <w:bCs w:val="0"/>
          <w:sz w:val="24"/>
          <w:szCs w:val="24"/>
          <w:lang w:val="es-ES"/>
        </w:rPr>
        <w:t>DEPOSITARIO</w:t>
      </w:r>
      <w:r w:rsidR="00C54AF3" w:rsidRPr="00C6298D">
        <w:rPr>
          <w:rFonts w:ascii="Arial" w:eastAsia="Arial" w:hAnsi="Arial" w:cs="Arial"/>
          <w:bCs w:val="0"/>
          <w:sz w:val="24"/>
          <w:szCs w:val="24"/>
          <w:lang w:val="es-ES"/>
        </w:rPr>
        <w:t xml:space="preserve"> Y CONTRAPARTE</w:t>
      </w:r>
    </w:p>
    <w:p w14:paraId="28A170A7" w14:textId="77777777" w:rsidR="0004501B" w:rsidRPr="00D00CC9" w:rsidRDefault="0004501B" w:rsidP="00C6298D">
      <w:pPr>
        <w:spacing w:after="0"/>
        <w:jc w:val="both"/>
        <w:rPr>
          <w:rFonts w:ascii="Arial" w:eastAsia="Arial" w:hAnsi="Arial" w:cs="Arial"/>
          <w:noProof/>
          <w:sz w:val="24"/>
          <w:szCs w:val="24"/>
          <w:lang w:eastAsia="es-ES" w:bidi="es-ES"/>
        </w:rPr>
      </w:pPr>
    </w:p>
    <w:p w14:paraId="546B8C29" w14:textId="0F128E2D" w:rsidR="00C54AF3" w:rsidRPr="00D00CC9" w:rsidRDefault="00C54AF3" w:rsidP="00C54AF3">
      <w:pPr>
        <w:pStyle w:val="Sangradetextonormal"/>
        <w:spacing w:after="0"/>
        <w:ind w:left="0"/>
        <w:rPr>
          <w:rFonts w:cs="Arial"/>
          <w:szCs w:val="24"/>
        </w:rPr>
      </w:pPr>
      <w:r w:rsidRPr="00D00CC9">
        <w:rPr>
          <w:rFonts w:cs="Arial"/>
          <w:szCs w:val="24"/>
        </w:rPr>
        <w:t xml:space="preserve">Para determinar el cupo de emisor, depositario y contraparte se procederá a calcular con base en el patrimonio técnico de la contraparte y el valor del portafolio de </w:t>
      </w:r>
      <w:r w:rsidR="00FB66E6" w:rsidRPr="00FB66E6">
        <w:rPr>
          <w:rFonts w:cs="Arial"/>
          <w:b/>
          <w:bCs/>
          <w:szCs w:val="24"/>
        </w:rPr>
        <w:t>COOPEAIPE</w:t>
      </w:r>
      <w:r w:rsidRPr="00D00CC9">
        <w:rPr>
          <w:rFonts w:cs="Arial"/>
          <w:szCs w:val="24"/>
        </w:rPr>
        <w:t xml:space="preserve">. </w:t>
      </w:r>
    </w:p>
    <w:p w14:paraId="3CECE466" w14:textId="77777777" w:rsidR="00C54AF3" w:rsidRPr="00D00CC9" w:rsidRDefault="00C54AF3" w:rsidP="00C54AF3">
      <w:pPr>
        <w:pStyle w:val="Sangradetextonormal"/>
        <w:spacing w:after="0"/>
        <w:ind w:left="0"/>
        <w:rPr>
          <w:rFonts w:cs="Arial"/>
          <w:szCs w:val="24"/>
        </w:rPr>
      </w:pPr>
    </w:p>
    <w:p w14:paraId="6702FF49" w14:textId="77777777" w:rsidR="00C54AF3" w:rsidRPr="00D00CC9" w:rsidRDefault="00C54AF3" w:rsidP="00C54AF3">
      <w:pPr>
        <w:pStyle w:val="Sangradetextonormal"/>
        <w:spacing w:after="0"/>
        <w:ind w:left="0"/>
        <w:rPr>
          <w:rFonts w:cs="Arial"/>
          <w:szCs w:val="24"/>
        </w:rPr>
      </w:pPr>
      <w:r w:rsidRPr="00D00CC9">
        <w:rPr>
          <w:rFonts w:cs="Arial"/>
          <w:szCs w:val="24"/>
        </w:rPr>
        <w:t xml:space="preserve">Se calcula un producto entre el patrimonio técnico de la contraparte y el nivel de riesgo asignado en la siguiente tabla. En todo caso las entidades que no tengan una calificación </w:t>
      </w:r>
      <w:r w:rsidRPr="00D00CC9">
        <w:rPr>
          <w:rFonts w:cs="Arial"/>
          <w:szCs w:val="24"/>
        </w:rPr>
        <w:lastRenderedPageBreak/>
        <w:t>igual o superior de AA+ emitido por una calificadora de riesgo vigilada por la Superfinanciera, no podrán tener cupo asignado.</w:t>
      </w:r>
    </w:p>
    <w:p w14:paraId="79087260" w14:textId="77777777" w:rsidR="00C54AF3" w:rsidRPr="00D00CC9" w:rsidRDefault="00C54AF3" w:rsidP="00C54AF3">
      <w:pPr>
        <w:pStyle w:val="Sangradetextonormal"/>
        <w:spacing w:after="0"/>
        <w:ind w:left="0"/>
        <w:rPr>
          <w:rFonts w:cs="Arial"/>
          <w:szCs w:val="24"/>
        </w:rPr>
      </w:pPr>
    </w:p>
    <w:tbl>
      <w:tblPr>
        <w:tblW w:w="5580" w:type="dxa"/>
        <w:jc w:val="center"/>
        <w:tblCellMar>
          <w:left w:w="0" w:type="dxa"/>
          <w:right w:w="0" w:type="dxa"/>
        </w:tblCellMar>
        <w:tblLook w:val="04A0" w:firstRow="1" w:lastRow="0" w:firstColumn="1" w:lastColumn="0" w:noHBand="0" w:noVBand="1"/>
      </w:tblPr>
      <w:tblGrid>
        <w:gridCol w:w="2535"/>
        <w:gridCol w:w="3045"/>
      </w:tblGrid>
      <w:tr w:rsidR="00D00CC9" w:rsidRPr="00D00CC9" w14:paraId="18971BDB" w14:textId="77777777" w:rsidTr="000B1B46">
        <w:trPr>
          <w:trHeight w:val="576"/>
          <w:jc w:val="center"/>
        </w:trPr>
        <w:tc>
          <w:tcPr>
            <w:tcW w:w="2535" w:type="dxa"/>
            <w:tcBorders>
              <w:top w:val="single" w:sz="4" w:space="0" w:color="auto"/>
              <w:left w:val="single" w:sz="4" w:space="0" w:color="auto"/>
              <w:bottom w:val="single" w:sz="4" w:space="0" w:color="auto"/>
              <w:right w:val="single" w:sz="4" w:space="0" w:color="auto"/>
            </w:tcBorders>
            <w:shd w:val="clear" w:color="auto" w:fill="5B9BD5"/>
            <w:noWrap/>
            <w:tcMar>
              <w:top w:w="15" w:type="dxa"/>
              <w:left w:w="15" w:type="dxa"/>
              <w:bottom w:w="0" w:type="dxa"/>
              <w:right w:w="15" w:type="dxa"/>
            </w:tcMar>
            <w:vAlign w:val="center"/>
            <w:hideMark/>
          </w:tcPr>
          <w:p w14:paraId="5418CB6E" w14:textId="77777777" w:rsidR="00C54AF3" w:rsidRPr="00D00CC9" w:rsidRDefault="00C54AF3" w:rsidP="000B1B46">
            <w:pPr>
              <w:jc w:val="center"/>
              <w:rPr>
                <w:rFonts w:ascii="Arial" w:hAnsi="Arial" w:cs="Arial"/>
                <w:b/>
                <w:bCs/>
                <w:sz w:val="24"/>
                <w:szCs w:val="24"/>
              </w:rPr>
            </w:pPr>
            <w:r w:rsidRPr="00D00CC9">
              <w:rPr>
                <w:rFonts w:ascii="Arial" w:hAnsi="Arial" w:cs="Arial"/>
                <w:b/>
                <w:bCs/>
                <w:sz w:val="24"/>
                <w:szCs w:val="24"/>
              </w:rPr>
              <w:t>NIVEL DE RIESGO</w:t>
            </w:r>
          </w:p>
        </w:tc>
        <w:tc>
          <w:tcPr>
            <w:tcW w:w="3045" w:type="dxa"/>
            <w:tcBorders>
              <w:top w:val="single" w:sz="4" w:space="0" w:color="auto"/>
              <w:left w:val="single" w:sz="4" w:space="0" w:color="auto"/>
              <w:bottom w:val="single" w:sz="4" w:space="0" w:color="auto"/>
              <w:right w:val="single" w:sz="4" w:space="0" w:color="auto"/>
            </w:tcBorders>
            <w:shd w:val="clear" w:color="auto" w:fill="5B9BD5"/>
            <w:noWrap/>
            <w:tcMar>
              <w:top w:w="15" w:type="dxa"/>
              <w:left w:w="15" w:type="dxa"/>
              <w:bottom w:w="0" w:type="dxa"/>
              <w:right w:w="15" w:type="dxa"/>
            </w:tcMar>
            <w:vAlign w:val="center"/>
            <w:hideMark/>
          </w:tcPr>
          <w:p w14:paraId="56410CDB" w14:textId="77777777" w:rsidR="00C54AF3" w:rsidRPr="00D00CC9" w:rsidRDefault="00C54AF3" w:rsidP="000B1B46">
            <w:pPr>
              <w:jc w:val="center"/>
              <w:rPr>
                <w:rFonts w:ascii="Arial" w:hAnsi="Arial" w:cs="Arial"/>
                <w:b/>
                <w:bCs/>
                <w:sz w:val="24"/>
                <w:szCs w:val="24"/>
              </w:rPr>
            </w:pPr>
            <w:r w:rsidRPr="00D00CC9">
              <w:rPr>
                <w:rFonts w:ascii="Arial" w:hAnsi="Arial" w:cs="Arial"/>
                <w:b/>
                <w:bCs/>
                <w:sz w:val="24"/>
                <w:szCs w:val="24"/>
              </w:rPr>
              <w:t>PATRIMONIO TÉCNICO /PORTAFOLIO</w:t>
            </w:r>
          </w:p>
        </w:tc>
      </w:tr>
      <w:tr w:rsidR="00D00CC9" w:rsidRPr="00D00CC9" w14:paraId="345B9819"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7814626B"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RIESGO MÍNIMO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4110961C"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20%</w:t>
            </w:r>
          </w:p>
        </w:tc>
      </w:tr>
      <w:tr w:rsidR="00D00CC9" w:rsidRPr="00D00CC9" w14:paraId="304D2BC8"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center"/>
            <w:hideMark/>
          </w:tcPr>
          <w:p w14:paraId="38E6CE73"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RIESGO B AJO</w:t>
            </w:r>
          </w:p>
        </w:tc>
        <w:tc>
          <w:tcPr>
            <w:tcW w:w="3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AE3AD"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15%</w:t>
            </w:r>
          </w:p>
        </w:tc>
      </w:tr>
      <w:tr w:rsidR="00D00CC9" w:rsidRPr="00D00CC9" w14:paraId="23B20F94" w14:textId="77777777" w:rsidTr="00C54AF3">
        <w:trPr>
          <w:trHeight w:val="528"/>
          <w:jc w:val="center"/>
        </w:trPr>
        <w:tc>
          <w:tcPr>
            <w:tcW w:w="2535" w:type="dxa"/>
            <w:tcBorders>
              <w:top w:val="single" w:sz="4" w:space="0" w:color="auto"/>
              <w:left w:val="single" w:sz="4" w:space="0" w:color="auto"/>
              <w:bottom w:val="single" w:sz="4" w:space="0" w:color="auto"/>
              <w:right w:val="single" w:sz="4" w:space="0" w:color="auto"/>
            </w:tcBorders>
            <w:shd w:val="clear" w:color="auto" w:fill="FFC000"/>
            <w:noWrap/>
            <w:tcMar>
              <w:top w:w="15" w:type="dxa"/>
              <w:left w:w="15" w:type="dxa"/>
              <w:bottom w:w="0" w:type="dxa"/>
              <w:right w:w="15" w:type="dxa"/>
            </w:tcMar>
            <w:vAlign w:val="center"/>
            <w:hideMark/>
          </w:tcPr>
          <w:p w14:paraId="1B955985"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RIESGO MEDIO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4B981031"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10%</w:t>
            </w:r>
          </w:p>
        </w:tc>
      </w:tr>
      <w:tr w:rsidR="00D00CC9" w:rsidRPr="00D00CC9" w14:paraId="098DA986"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FF0000"/>
            <w:noWrap/>
            <w:tcMar>
              <w:top w:w="15" w:type="dxa"/>
              <w:left w:w="15" w:type="dxa"/>
              <w:bottom w:w="0" w:type="dxa"/>
              <w:right w:w="15" w:type="dxa"/>
            </w:tcMar>
            <w:vAlign w:val="center"/>
            <w:hideMark/>
          </w:tcPr>
          <w:p w14:paraId="010C6A33"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RIESGO ALTO</w:t>
            </w:r>
          </w:p>
        </w:tc>
        <w:tc>
          <w:tcPr>
            <w:tcW w:w="3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52DA4D"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5%</w:t>
            </w:r>
          </w:p>
        </w:tc>
      </w:tr>
      <w:tr w:rsidR="00D00CC9" w:rsidRPr="00D00CC9" w14:paraId="28E75743"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1AAD27B0"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RIESGO MUY ALTO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7FD852A4" w14:textId="77777777" w:rsidR="00C54AF3" w:rsidRPr="00D00CC9" w:rsidRDefault="00C54AF3" w:rsidP="000B1B46">
            <w:pPr>
              <w:jc w:val="center"/>
              <w:rPr>
                <w:rFonts w:ascii="Arial" w:hAnsi="Arial" w:cs="Arial"/>
                <w:b/>
                <w:sz w:val="24"/>
                <w:szCs w:val="24"/>
              </w:rPr>
            </w:pPr>
            <w:r w:rsidRPr="00D00CC9">
              <w:rPr>
                <w:rFonts w:ascii="Arial" w:hAnsi="Arial" w:cs="Arial"/>
                <w:b/>
                <w:sz w:val="24"/>
                <w:szCs w:val="24"/>
              </w:rPr>
              <w:t>0%</w:t>
            </w:r>
          </w:p>
        </w:tc>
      </w:tr>
    </w:tbl>
    <w:p w14:paraId="4E0B7E94" w14:textId="77777777" w:rsidR="00C54AF3" w:rsidRPr="00D00CC9" w:rsidRDefault="00C54AF3" w:rsidP="00C54AF3">
      <w:pPr>
        <w:pStyle w:val="Sangradetextonormal"/>
        <w:spacing w:after="0"/>
        <w:ind w:left="0"/>
        <w:rPr>
          <w:rFonts w:cs="Arial"/>
          <w:szCs w:val="24"/>
        </w:rPr>
      </w:pPr>
    </w:p>
    <w:p w14:paraId="2A03DA6B" w14:textId="7F65761B" w:rsidR="00EA13C2" w:rsidRPr="00D00CC9" w:rsidRDefault="00EA13C2" w:rsidP="00EA13C2">
      <w:pPr>
        <w:pStyle w:val="Sangradetextonormal"/>
        <w:spacing w:after="0"/>
        <w:ind w:left="0"/>
        <w:rPr>
          <w:rFonts w:cs="Arial"/>
          <w:szCs w:val="24"/>
        </w:rPr>
      </w:pPr>
      <w:r w:rsidRPr="00D00CC9">
        <w:rPr>
          <w:rFonts w:cs="Arial"/>
          <w:szCs w:val="24"/>
        </w:rPr>
        <w:t xml:space="preserve">Posteriormente se calcula un producto entre el valor del portafolio </w:t>
      </w:r>
      <w:r w:rsidR="00FB66E6">
        <w:rPr>
          <w:rFonts w:cs="Arial"/>
          <w:szCs w:val="24"/>
        </w:rPr>
        <w:t>de la Cooperativa</w:t>
      </w:r>
      <w:r w:rsidRPr="00D00CC9">
        <w:rPr>
          <w:rFonts w:cs="Arial"/>
          <w:szCs w:val="24"/>
        </w:rPr>
        <w:t xml:space="preserve"> y el nivel de riesgo asignado en la tabla anterior. El cupo asignado será el menor entre los dos cupos asignados. </w:t>
      </w:r>
    </w:p>
    <w:p w14:paraId="2BAB390D" w14:textId="77777777" w:rsidR="00C6298D" w:rsidRDefault="00C6298D" w:rsidP="00C6298D">
      <w:pPr>
        <w:rPr>
          <w:rFonts w:ascii="Arial" w:eastAsia="Arial" w:hAnsi="Arial" w:cs="Arial"/>
          <w:noProof/>
          <w:sz w:val="24"/>
          <w:szCs w:val="24"/>
          <w:lang w:eastAsia="es-ES" w:bidi="es-ES"/>
        </w:rPr>
      </w:pPr>
    </w:p>
    <w:p w14:paraId="0F9BEA4E" w14:textId="2F784CD1" w:rsidR="007A6845" w:rsidRDefault="007A6845" w:rsidP="00C6298D">
      <w:pPr>
        <w:pStyle w:val="Ttulo3"/>
        <w:spacing w:before="0" w:after="0"/>
        <w:jc w:val="both"/>
        <w:rPr>
          <w:rFonts w:ascii="Arial" w:eastAsia="Arial" w:hAnsi="Arial" w:cs="Arial"/>
          <w:bCs w:val="0"/>
          <w:sz w:val="24"/>
          <w:szCs w:val="24"/>
          <w:lang w:val="es-ES"/>
        </w:rPr>
      </w:pPr>
      <w:r w:rsidRPr="00C6298D">
        <w:rPr>
          <w:rFonts w:ascii="Arial" w:eastAsia="Arial" w:hAnsi="Arial" w:cs="Arial"/>
          <w:bCs w:val="0"/>
          <w:sz w:val="24"/>
          <w:szCs w:val="24"/>
          <w:lang w:val="es-ES"/>
        </w:rPr>
        <w:t>INDICADORES PARA ESTABLECIMIENTOS DE CRÉDITOS</w:t>
      </w:r>
    </w:p>
    <w:p w14:paraId="3527C9F0" w14:textId="77777777" w:rsidR="00C6298D" w:rsidRPr="00C6298D" w:rsidRDefault="00C6298D" w:rsidP="00C6298D">
      <w:pPr>
        <w:spacing w:after="0"/>
        <w:rPr>
          <w:lang w:val="es-ES"/>
        </w:rPr>
      </w:pPr>
    </w:p>
    <w:p w14:paraId="0487D282" w14:textId="2C4F83B4" w:rsidR="007A6845" w:rsidRPr="00D00CC9" w:rsidRDefault="007A6845" w:rsidP="007A6845">
      <w:pPr>
        <w:pStyle w:val="Sangradetextonormal"/>
        <w:ind w:left="0"/>
        <w:rPr>
          <w:rFonts w:cs="Arial"/>
          <w:szCs w:val="24"/>
        </w:rPr>
      </w:pPr>
      <w:r w:rsidRPr="00D00CC9">
        <w:rPr>
          <w:rFonts w:cs="Arial"/>
          <w:szCs w:val="24"/>
        </w:rPr>
        <w:t xml:space="preserve">A continuación, se detallan los indicadores a considerarse en el modelo CAMEL para establecimientos de crédito. </w:t>
      </w:r>
    </w:p>
    <w:p w14:paraId="69A366DE" w14:textId="77777777" w:rsidR="007A6845" w:rsidRPr="00D00CC9" w:rsidRDefault="007A6845" w:rsidP="007A6845">
      <w:pPr>
        <w:pStyle w:val="Sangradetextonormal"/>
        <w:numPr>
          <w:ilvl w:val="0"/>
          <w:numId w:val="20"/>
        </w:numPr>
        <w:rPr>
          <w:rFonts w:cs="Arial"/>
          <w:b/>
          <w:bCs/>
          <w:szCs w:val="24"/>
          <w:u w:val="single"/>
        </w:rPr>
      </w:pPr>
      <w:r w:rsidRPr="00D00CC9">
        <w:rPr>
          <w:rFonts w:cs="Arial"/>
          <w:b/>
          <w:bCs/>
          <w:szCs w:val="24"/>
          <w:u w:val="single"/>
        </w:rPr>
        <w:t>Relación de solvencia</w:t>
      </w:r>
    </w:p>
    <w:p w14:paraId="3CAE41D8" w14:textId="77777777" w:rsidR="004C196F" w:rsidRPr="00D00CC9" w:rsidRDefault="004C196F" w:rsidP="007A6845">
      <w:pPr>
        <w:pStyle w:val="Sangradetextonormal"/>
        <w:ind w:left="0"/>
        <w:rPr>
          <w:rFonts w:cs="Arial"/>
          <w:szCs w:val="24"/>
        </w:rPr>
      </w:pPr>
    </w:p>
    <w:p w14:paraId="7814A6DB" w14:textId="017C4E96" w:rsidR="00404968" w:rsidRPr="00D00CC9" w:rsidRDefault="007A6845" w:rsidP="007A6845">
      <w:pPr>
        <w:pStyle w:val="Sangradetextonormal"/>
        <w:ind w:left="0"/>
        <w:rPr>
          <w:rFonts w:cs="Arial"/>
          <w:szCs w:val="24"/>
        </w:rPr>
      </w:pPr>
      <w:r w:rsidRPr="00D00CC9">
        <w:rPr>
          <w:rFonts w:cs="Arial"/>
          <w:szCs w:val="24"/>
        </w:rPr>
        <w:t>El índice de solvencia permite estimar que proporción de los activos ponderados por nivel de riesgo está respaldado por el patrimonio técnico</w:t>
      </w:r>
      <w:r w:rsidRPr="00D00CC9">
        <w:rPr>
          <w:rStyle w:val="Refdenotaalpie"/>
          <w:rFonts w:cs="Arial"/>
          <w:szCs w:val="24"/>
        </w:rPr>
        <w:footnoteReference w:id="1"/>
      </w:r>
      <w:r w:rsidRPr="00D00CC9">
        <w:rPr>
          <w:rFonts w:cs="Arial"/>
          <w:szCs w:val="24"/>
        </w:rPr>
        <w:t xml:space="preserve"> de la entidad.</w:t>
      </w:r>
    </w:p>
    <w:p w14:paraId="4B520BD4" w14:textId="43454152" w:rsidR="004C196F" w:rsidRPr="00D00CC9" w:rsidRDefault="00C80FFE" w:rsidP="007A6845">
      <w:pPr>
        <w:pStyle w:val="Sangradetextonormal"/>
        <w:ind w:left="0"/>
        <w:rPr>
          <w:rFonts w:cs="Arial"/>
          <w:szCs w:val="24"/>
        </w:rPr>
      </w:pPr>
      <w:r w:rsidRPr="00D00CC9">
        <w:rPr>
          <w:rFonts w:cs="Arial"/>
          <w:noProof/>
          <w:szCs w:val="24"/>
          <w:lang w:val="es-CO"/>
        </w:rPr>
        <mc:AlternateContent>
          <mc:Choice Requires="wps">
            <w:drawing>
              <wp:anchor distT="0" distB="0" distL="114300" distR="114300" simplePos="0" relativeHeight="251653632" behindDoc="0" locked="0" layoutInCell="1" allowOverlap="1" wp14:anchorId="3B5B26D0" wp14:editId="1F59635A">
                <wp:simplePos x="0" y="0"/>
                <wp:positionH relativeFrom="column">
                  <wp:posOffset>400050</wp:posOffset>
                </wp:positionH>
                <wp:positionV relativeFrom="paragraph">
                  <wp:posOffset>133350</wp:posOffset>
                </wp:positionV>
                <wp:extent cx="4794250" cy="514350"/>
                <wp:effectExtent l="0" t="0" r="0" b="0"/>
                <wp:wrapNone/>
                <wp:docPr id="4" name="Cuadro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4250" cy="514350"/>
                        </a:xfrm>
                        <a:prstGeom prst="rect">
                          <a:avLst/>
                        </a:prstGeom>
                        <a:noFill/>
                      </wps:spPr>
                      <wps:txbx>
                        <w:txbxContent>
                          <w:p w14:paraId="19F4942C" w14:textId="2150ED1F" w:rsidR="004C196F" w:rsidRDefault="004C196F" w:rsidP="004C196F">
                            <w:pPr>
                              <w:pStyle w:val="NormalWeb"/>
                              <w:spacing w:before="0" w:beforeAutospacing="0" w:after="0" w:afterAutospacing="0"/>
                            </w:pPr>
                            <w:r w:rsidRPr="004C196F">
                              <w:rPr>
                                <w:rFonts w:ascii="Cambria Math" w:eastAsia="Cambria Math" w:hAnsi="Cambria Math"/>
                                <w:i/>
                                <w:iCs/>
                                <w:color w:val="000000"/>
                                <w:kern w:val="24"/>
                                <w:sz w:val="28"/>
                                <w:szCs w:val="28"/>
                              </w:rPr>
                              <w:t>Margen de Solvencia</w:t>
                            </w:r>
                            <m:oMath>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Patrimonio Técnico</m:t>
                                  </m:r>
                                </m:num>
                                <m:den>
                                  <m:r>
                                    <w:rPr>
                                      <w:rFonts w:ascii="Cambria Math" w:hAnsi="Cambria Math"/>
                                      <w:color w:val="000000"/>
                                      <w:kern w:val="24"/>
                                      <w:sz w:val="28"/>
                                      <w:szCs w:val="28"/>
                                      <w:lang w:val="es-MX"/>
                                    </w:rPr>
                                    <m:t>Activos Ponderados por Nivel de Riesgo </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type w14:anchorId="3B5B26D0" id="_x0000_t202" coordsize="21600,21600" o:spt="202" path="m,l,21600r21600,l21600,xe">
                <v:stroke joinstyle="miter"/>
                <v:path gradientshapeok="t" o:connecttype="rect"/>
              </v:shapetype>
              <v:shape id="CuadroTexto 3" o:spid="_x0000_s1026" type="#_x0000_t202" style="position:absolute;left:0;text-align:left;margin-left:31.5pt;margin-top:10.5pt;width:377.5pt;height: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" filled="f" stroked="f">
                <v:textbox style="mso-fit-shape-to-text:t" inset="0,0,0,0">
                  <w:txbxContent>
                    <w:p w14:paraId="19F4942C" w14:textId="2150ED1F" w:rsidR="004C196F" w:rsidRDefault="004C196F" w:rsidP="004C196F">
                      <w:pPr>
                        <w:pStyle w:val="NormalWeb"/>
                        <w:spacing w:before="0" w:beforeAutospacing="0" w:after="0" w:afterAutospacing="0"/>
                      </w:pPr>
                      <w:r w:rsidRPr="004C196F">
                        <w:rPr>
                          <w:rFonts w:ascii="Cambria Math" w:eastAsia="Cambria Math" w:hAnsi="Cambria Math"/>
                          <w:i/>
                          <w:iCs/>
                          <w:color w:val="000000"/>
                          <w:kern w:val="24"/>
                          <w:sz w:val="28"/>
                          <w:szCs w:val="28"/>
                        </w:rPr>
                        <w:t>Margen de Solvencia</w:t>
                      </w:r>
                      <m:oMath>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Patrimonio Técnico</m:t>
                            </m:r>
                          </m:num>
                          <m:den>
                            <m:r>
                              <w:rPr>
                                <w:rFonts w:ascii="Cambria Math" w:hAnsi="Cambria Math"/>
                                <w:color w:val="000000"/>
                                <w:kern w:val="24"/>
                                <w:sz w:val="28"/>
                                <w:szCs w:val="28"/>
                                <w:lang w:val="es-MX"/>
                              </w:rPr>
                              <m:t>Activos Ponderados por Nivel de Riesgo </m:t>
                            </m:r>
                          </m:den>
                        </m:f>
                      </m:oMath>
                    </w:p>
                  </w:txbxContent>
                </v:textbox>
              </v:shape>
            </w:pict>
          </mc:Fallback>
        </mc:AlternateContent>
      </w:r>
    </w:p>
    <w:p w14:paraId="07184CF0" w14:textId="77777777" w:rsidR="004C196F" w:rsidRPr="00D00CC9" w:rsidRDefault="004C196F" w:rsidP="007A6845">
      <w:pPr>
        <w:pStyle w:val="Sangradetextonormal"/>
        <w:ind w:left="0"/>
        <w:rPr>
          <w:rFonts w:cs="Arial"/>
          <w:szCs w:val="24"/>
        </w:rPr>
      </w:pPr>
    </w:p>
    <w:p w14:paraId="4A4C465D" w14:textId="77777777" w:rsidR="004C196F" w:rsidRPr="00D00CC9" w:rsidRDefault="004C196F" w:rsidP="007A6845">
      <w:pPr>
        <w:pStyle w:val="Sangradetextonormal"/>
        <w:ind w:left="0"/>
        <w:rPr>
          <w:rFonts w:cs="Arial"/>
          <w:szCs w:val="24"/>
        </w:rPr>
      </w:pPr>
    </w:p>
    <w:p w14:paraId="4D9FE2CA" w14:textId="77EC23DC" w:rsidR="004C196F" w:rsidRDefault="004C196F" w:rsidP="00C6298D">
      <w:pPr>
        <w:pStyle w:val="Sangradetextonormal"/>
        <w:numPr>
          <w:ilvl w:val="0"/>
          <w:numId w:val="20"/>
        </w:numPr>
        <w:rPr>
          <w:rFonts w:cs="Arial"/>
          <w:b/>
          <w:szCs w:val="24"/>
          <w:u w:val="single"/>
        </w:rPr>
      </w:pPr>
      <w:r w:rsidRPr="00D00CC9">
        <w:rPr>
          <w:rFonts w:cs="Arial"/>
          <w:b/>
          <w:szCs w:val="24"/>
          <w:u w:val="single"/>
        </w:rPr>
        <w:t>Calidad de Cartera</w:t>
      </w:r>
    </w:p>
    <w:p w14:paraId="3928A9F4" w14:textId="77777777" w:rsidR="00C6298D" w:rsidRPr="00C6298D" w:rsidRDefault="00C6298D" w:rsidP="00C6298D">
      <w:pPr>
        <w:pStyle w:val="Sangradetextonormal"/>
        <w:ind w:left="720"/>
        <w:rPr>
          <w:rFonts w:cs="Arial"/>
          <w:b/>
          <w:szCs w:val="24"/>
          <w:u w:val="single"/>
        </w:rPr>
      </w:pPr>
    </w:p>
    <w:p w14:paraId="09CC2C30" w14:textId="77777777" w:rsidR="004C196F" w:rsidRPr="00D00CC9" w:rsidRDefault="004C196F" w:rsidP="004C196F">
      <w:pPr>
        <w:pStyle w:val="Sangra3detindependiente"/>
        <w:ind w:left="0"/>
        <w:rPr>
          <w:rFonts w:cs="Arial"/>
          <w:sz w:val="24"/>
          <w:szCs w:val="24"/>
        </w:rPr>
      </w:pPr>
      <w:r w:rsidRPr="00D00CC9">
        <w:rPr>
          <w:rFonts w:cs="Arial"/>
          <w:sz w:val="24"/>
          <w:szCs w:val="24"/>
        </w:rPr>
        <w:t>El indicador tradicional de cartera permite estimar la participación porcentual de la cartera vencida dentro del total de la cartera bruta.</w:t>
      </w:r>
    </w:p>
    <w:p w14:paraId="78C7E7E1" w14:textId="77777777" w:rsidR="00404968" w:rsidRPr="00D00CC9" w:rsidRDefault="00404968" w:rsidP="004C196F">
      <w:pPr>
        <w:pStyle w:val="Sangra3detindependiente"/>
        <w:ind w:left="0"/>
        <w:rPr>
          <w:rFonts w:cs="Arial"/>
          <w:sz w:val="24"/>
          <w:szCs w:val="24"/>
        </w:rPr>
      </w:pPr>
    </w:p>
    <w:p w14:paraId="281796A7" w14:textId="30E945A7" w:rsidR="004C196F" w:rsidRPr="00D00CC9" w:rsidRDefault="00C80FFE" w:rsidP="004C196F">
      <w:pPr>
        <w:pStyle w:val="Sangra3detindependiente"/>
        <w:ind w:left="0"/>
        <w:rPr>
          <w:rFonts w:cs="Arial"/>
          <w:sz w:val="24"/>
          <w:szCs w:val="24"/>
        </w:rPr>
      </w:pPr>
      <w:r w:rsidRPr="00D00CC9">
        <w:rPr>
          <w:rFonts w:cs="Arial"/>
          <w:noProof/>
          <w:sz w:val="24"/>
          <w:szCs w:val="24"/>
          <w:lang w:val="es-CO"/>
        </w:rPr>
        <mc:AlternateContent>
          <mc:Choice Requires="wps">
            <w:drawing>
              <wp:anchor distT="0" distB="0" distL="114300" distR="114300" simplePos="0" relativeHeight="251654656" behindDoc="0" locked="0" layoutInCell="1" allowOverlap="1" wp14:anchorId="32ECBDF9" wp14:editId="1C2ACC38">
                <wp:simplePos x="0" y="0"/>
                <wp:positionH relativeFrom="column">
                  <wp:posOffset>809625</wp:posOffset>
                </wp:positionH>
                <wp:positionV relativeFrom="paragraph">
                  <wp:posOffset>28575</wp:posOffset>
                </wp:positionV>
                <wp:extent cx="3566160" cy="485775"/>
                <wp:effectExtent l="0" t="0" r="0" b="0"/>
                <wp:wrapNone/>
                <wp:docPr id="5" name="Cuadro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6160" cy="485775"/>
                        </a:xfrm>
                        <a:prstGeom prst="rect">
                          <a:avLst/>
                        </a:prstGeom>
                        <a:noFill/>
                      </wps:spPr>
                      <wps:txbx>
                        <w:txbxContent>
                          <w:p w14:paraId="2FBF4ED0" w14:textId="53D388F9" w:rsidR="004C196F" w:rsidRDefault="004C196F" w:rsidP="004C196F">
                            <w:pPr>
                              <w:pStyle w:val="NormalWeb"/>
                              <w:spacing w:before="0" w:beforeAutospacing="0" w:after="0" w:afterAutospacing="0"/>
                              <w:jc w:val="center"/>
                            </w:pPr>
                            <w:r w:rsidRPr="004C196F">
                              <w:rPr>
                                <w:rFonts w:ascii="Cambria Math" w:eastAsia="Cambria Math" w:hAnsi="Cambria Math"/>
                                <w:i/>
                                <w:iCs/>
                                <w:color w:val="000000"/>
                                <w:kern w:val="24"/>
                                <w:sz w:val="28"/>
                                <w:szCs w:val="28"/>
                              </w:rPr>
                              <w:t>C</w:t>
                            </w:r>
                            <m:oMath>
                              <m:r>
                                <w:rPr>
                                  <w:rFonts w:ascii="Cambria Math" w:hAnsi="Cambria Math"/>
                                  <w:color w:val="000000"/>
                                  <w:kern w:val="24"/>
                                  <w:sz w:val="28"/>
                                  <w:szCs w:val="28"/>
                                  <w:lang w:val="es-MX"/>
                                </w:rPr>
                                <m:t>alidad de Cartera</m:t>
                              </m:r>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Cartera Vencida</m:t>
                                  </m:r>
                                </m:num>
                                <m:den>
                                  <m:r>
                                    <w:rPr>
                                      <w:rFonts w:ascii="Cambria Math" w:hAnsi="Cambria Math"/>
                                      <w:color w:val="000000"/>
                                      <w:kern w:val="24"/>
                                      <w:sz w:val="28"/>
                                      <w:szCs w:val="28"/>
                                      <w:lang w:val="es-MX"/>
                                    </w:rPr>
                                    <m:t>Cartera Bruta </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32ECBDF9" id="CuadroTexto 4" o:spid="_x0000_s1027" type="#_x0000_t202" style="position:absolute;left:0;text-align:left;margin-left:63.75pt;margin-top:2.25pt;width:280.8pt;height:3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" filled="f" stroked="f">
                <v:textbox style="mso-fit-shape-to-text:t" inset="0,0,0,0">
                  <w:txbxContent>
                    <w:p w14:paraId="2FBF4ED0" w14:textId="53D388F9" w:rsidR="004C196F" w:rsidRDefault="004C196F" w:rsidP="004C196F">
                      <w:pPr>
                        <w:pStyle w:val="NormalWeb"/>
                        <w:spacing w:before="0" w:beforeAutospacing="0" w:after="0" w:afterAutospacing="0"/>
                        <w:jc w:val="center"/>
                      </w:pPr>
                      <w:r w:rsidRPr="004C196F">
                        <w:rPr>
                          <w:rFonts w:ascii="Cambria Math" w:eastAsia="Cambria Math" w:hAnsi="Cambria Math"/>
                          <w:i/>
                          <w:iCs/>
                          <w:color w:val="000000"/>
                          <w:kern w:val="24"/>
                          <w:sz w:val="28"/>
                          <w:szCs w:val="28"/>
                        </w:rPr>
                        <w:t>C</w:t>
                      </w:r>
                      <m:oMath>
                        <m:r>
                          <w:rPr>
                            <w:rFonts w:ascii="Cambria Math" w:hAnsi="Cambria Math"/>
                            <w:color w:val="000000"/>
                            <w:kern w:val="24"/>
                            <w:sz w:val="28"/>
                            <w:szCs w:val="28"/>
                            <w:lang w:val="es-MX"/>
                          </w:rPr>
                          <m:t>alidad de Cartera</m:t>
                        </m:r>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Cartera Vencida</m:t>
                            </m:r>
                          </m:num>
                          <m:den>
                            <m:r>
                              <w:rPr>
                                <w:rFonts w:ascii="Cambria Math" w:hAnsi="Cambria Math"/>
                                <w:color w:val="000000"/>
                                <w:kern w:val="24"/>
                                <w:sz w:val="28"/>
                                <w:szCs w:val="28"/>
                                <w:lang w:val="es-MX"/>
                              </w:rPr>
                              <m:t>Cartera Bruta </m:t>
                            </m:r>
                          </m:den>
                        </m:f>
                      </m:oMath>
                    </w:p>
                  </w:txbxContent>
                </v:textbox>
              </v:shape>
            </w:pict>
          </mc:Fallback>
        </mc:AlternateContent>
      </w:r>
    </w:p>
    <w:p w14:paraId="656572E5" w14:textId="77777777" w:rsidR="004C196F" w:rsidRPr="00D00CC9" w:rsidRDefault="004C196F" w:rsidP="004C196F">
      <w:pPr>
        <w:pStyle w:val="Sangra3detindependiente"/>
        <w:ind w:left="0"/>
        <w:rPr>
          <w:rFonts w:cs="Arial"/>
          <w:b/>
          <w:sz w:val="24"/>
          <w:szCs w:val="24"/>
        </w:rPr>
      </w:pPr>
    </w:p>
    <w:p w14:paraId="7FF5BAF1" w14:textId="77777777" w:rsidR="004C196F" w:rsidRPr="00D00CC9" w:rsidRDefault="004C196F" w:rsidP="004C196F">
      <w:pPr>
        <w:pStyle w:val="Sangradetextonormal"/>
        <w:numPr>
          <w:ilvl w:val="0"/>
          <w:numId w:val="20"/>
        </w:numPr>
        <w:spacing w:after="0"/>
        <w:rPr>
          <w:rFonts w:cs="Arial"/>
          <w:b/>
          <w:bCs/>
          <w:szCs w:val="24"/>
          <w:u w:val="single"/>
        </w:rPr>
      </w:pPr>
      <w:r w:rsidRPr="00D00CC9">
        <w:rPr>
          <w:rFonts w:cs="Arial"/>
          <w:b/>
          <w:bCs/>
          <w:szCs w:val="24"/>
          <w:u w:val="single"/>
        </w:rPr>
        <w:t>Activos Productivos / Activos Totales</w:t>
      </w:r>
    </w:p>
    <w:p w14:paraId="1111A424" w14:textId="77777777" w:rsidR="00404968" w:rsidRPr="00D00CC9" w:rsidRDefault="00404968" w:rsidP="00404968">
      <w:pPr>
        <w:pStyle w:val="Sangradetextonormal"/>
        <w:spacing w:after="0"/>
        <w:ind w:left="0"/>
        <w:rPr>
          <w:rFonts w:cs="Arial"/>
          <w:b/>
          <w:bCs/>
          <w:szCs w:val="24"/>
          <w:u w:val="single"/>
        </w:rPr>
      </w:pPr>
    </w:p>
    <w:p w14:paraId="6CD2C4D4" w14:textId="77777777" w:rsidR="00404968" w:rsidRPr="00D00CC9" w:rsidRDefault="00404968" w:rsidP="00404968">
      <w:pPr>
        <w:pStyle w:val="Sangradetextonormal"/>
        <w:spacing w:after="0"/>
        <w:ind w:left="0"/>
        <w:rPr>
          <w:rFonts w:cs="Arial"/>
          <w:bCs/>
          <w:szCs w:val="24"/>
        </w:rPr>
      </w:pPr>
      <w:r w:rsidRPr="00D00CC9">
        <w:rPr>
          <w:rFonts w:cs="Arial"/>
          <w:bCs/>
          <w:szCs w:val="24"/>
        </w:rPr>
        <w:t xml:space="preserve">Este indicador analiza el total de activos productivos generados por parte de la entidad financiera y su relación frente a los activos totales. </w:t>
      </w:r>
    </w:p>
    <w:p w14:paraId="6CD5EB5B" w14:textId="77777777" w:rsidR="004C196F" w:rsidRPr="00D00CC9" w:rsidRDefault="004C196F" w:rsidP="004C196F">
      <w:pPr>
        <w:pStyle w:val="Sangra3detindependiente"/>
        <w:ind w:left="0"/>
        <w:rPr>
          <w:rFonts w:cs="Arial"/>
          <w:b/>
          <w:sz w:val="24"/>
          <w:szCs w:val="24"/>
        </w:rPr>
      </w:pPr>
    </w:p>
    <w:p w14:paraId="65B2E317" w14:textId="388B8AA9" w:rsidR="004C196F" w:rsidRPr="00D00CC9" w:rsidRDefault="00C80FFE" w:rsidP="004C196F">
      <w:pPr>
        <w:pStyle w:val="Sangradetextonormal"/>
        <w:ind w:left="720"/>
        <w:rPr>
          <w:rFonts w:cs="Arial"/>
          <w:szCs w:val="24"/>
        </w:rPr>
      </w:pPr>
      <w:r w:rsidRPr="00D00CC9">
        <w:rPr>
          <w:rFonts w:cs="Arial"/>
          <w:noProof/>
          <w:szCs w:val="24"/>
          <w:lang w:val="es-CO"/>
        </w:rPr>
        <mc:AlternateContent>
          <mc:Choice Requires="wps">
            <w:drawing>
              <wp:anchor distT="0" distB="0" distL="114300" distR="114300" simplePos="0" relativeHeight="251655680" behindDoc="0" locked="0" layoutInCell="1" allowOverlap="1" wp14:anchorId="3F40CD14" wp14:editId="3BFB7385">
                <wp:simplePos x="0" y="0"/>
                <wp:positionH relativeFrom="column">
                  <wp:posOffset>657225</wp:posOffset>
                </wp:positionH>
                <wp:positionV relativeFrom="paragraph">
                  <wp:posOffset>47625</wp:posOffset>
                </wp:positionV>
                <wp:extent cx="4406265" cy="485775"/>
                <wp:effectExtent l="0" t="0" r="0" b="0"/>
                <wp:wrapNone/>
                <wp:docPr id="6" name="Cuadro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265" cy="485775"/>
                        </a:xfrm>
                        <a:prstGeom prst="rect">
                          <a:avLst/>
                        </a:prstGeom>
                        <a:noFill/>
                      </wps:spPr>
                      <wps:txbx>
                        <w:txbxContent>
                          <w:p w14:paraId="6BA5B27D" w14:textId="553ABEE7" w:rsidR="004C771B" w:rsidRDefault="004C771B" w:rsidP="004C771B">
                            <w:pPr>
                              <w:pStyle w:val="NormalWeb"/>
                              <w:spacing w:before="0" w:beforeAutospacing="0" w:after="0" w:afterAutospacing="0"/>
                              <w:jc w:val="center"/>
                            </w:pPr>
                            <w:r w:rsidRPr="004C771B">
                              <w:rPr>
                                <w:rFonts w:ascii="Cambria Math" w:eastAsia="Cambria Math" w:hAnsi="Cambria Math"/>
                                <w:i/>
                                <w:iCs/>
                                <w:color w:val="000000"/>
                                <w:kern w:val="24"/>
                                <w:sz w:val="28"/>
                                <w:szCs w:val="28"/>
                                <w:lang w:val="es-MX"/>
                              </w:rPr>
                              <w:t>A</w:t>
                            </w:r>
                            <m:oMath>
                              <m:r>
                                <w:rPr>
                                  <w:rFonts w:ascii="Cambria Math" w:hAnsi="Cambria Math"/>
                                  <w:color w:val="000000"/>
                                  <w:kern w:val="24"/>
                                  <w:sz w:val="28"/>
                                  <w:szCs w:val="28"/>
                                  <w:lang w:val="es-MX"/>
                                </w:rPr>
                                <m:t>ctivo Productivo/ActTotal</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Activos Productivos</m:t>
                                  </m:r>
                                </m:num>
                                <m:den>
                                  <m:r>
                                    <w:rPr>
                                      <w:rFonts w:ascii="Cambria Math" w:hAnsi="Cambria Math"/>
                                      <w:color w:val="000000"/>
                                      <w:kern w:val="24"/>
                                      <w:sz w:val="28"/>
                                      <w:szCs w:val="28"/>
                                      <w:lang w:val="es-MX"/>
                                    </w:rPr>
                                    <m:t>Activo Total</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3F40CD14" id="CuadroTexto 5" o:spid="_x0000_s1028" type="#_x0000_t202" style="position:absolute;left:0;text-align:left;margin-left:51.75pt;margin-top:3.75pt;width:346.95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" filled="f" stroked="f">
                <v:textbox style="mso-fit-shape-to-text:t" inset="0,0,0,0">
                  <w:txbxContent>
                    <w:p w14:paraId="6BA5B27D" w14:textId="553ABEE7" w:rsidR="004C771B" w:rsidRDefault="004C771B" w:rsidP="004C771B">
                      <w:pPr>
                        <w:pStyle w:val="NormalWeb"/>
                        <w:spacing w:before="0" w:beforeAutospacing="0" w:after="0" w:afterAutospacing="0"/>
                        <w:jc w:val="center"/>
                      </w:pPr>
                      <w:r w:rsidRPr="004C771B">
                        <w:rPr>
                          <w:rFonts w:ascii="Cambria Math" w:eastAsia="Cambria Math" w:hAnsi="Cambria Math"/>
                          <w:i/>
                          <w:iCs/>
                          <w:color w:val="000000"/>
                          <w:kern w:val="24"/>
                          <w:sz w:val="28"/>
                          <w:szCs w:val="28"/>
                          <w:lang w:val="es-MX"/>
                        </w:rPr>
                        <w:t>A</w:t>
                      </w:r>
                      <m:oMath>
                        <m:r>
                          <w:rPr>
                            <w:rFonts w:ascii="Cambria Math" w:hAnsi="Cambria Math"/>
                            <w:color w:val="000000"/>
                            <w:kern w:val="24"/>
                            <w:sz w:val="28"/>
                            <w:szCs w:val="28"/>
                            <w:lang w:val="es-MX"/>
                          </w:rPr>
                          <m:t>ctivo Productivo/ActTotal</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Activos Productivos</m:t>
                            </m:r>
                          </m:num>
                          <m:den>
                            <m:r>
                              <w:rPr>
                                <w:rFonts w:ascii="Cambria Math" w:hAnsi="Cambria Math"/>
                                <w:color w:val="000000"/>
                                <w:kern w:val="24"/>
                                <w:sz w:val="28"/>
                                <w:szCs w:val="28"/>
                                <w:lang w:val="es-MX"/>
                              </w:rPr>
                              <m:t>Activo Total</m:t>
                            </m:r>
                          </m:den>
                        </m:f>
                      </m:oMath>
                    </w:p>
                  </w:txbxContent>
                </v:textbox>
              </v:shape>
            </w:pict>
          </mc:Fallback>
        </mc:AlternateContent>
      </w:r>
    </w:p>
    <w:p w14:paraId="3FEDB473" w14:textId="77777777" w:rsidR="00404968" w:rsidRPr="00D00CC9" w:rsidRDefault="00404968" w:rsidP="007A6845">
      <w:pPr>
        <w:pStyle w:val="Sangradetextonormal"/>
        <w:ind w:left="0"/>
        <w:rPr>
          <w:rFonts w:cs="Arial"/>
          <w:szCs w:val="24"/>
        </w:rPr>
      </w:pPr>
    </w:p>
    <w:p w14:paraId="1D30731A" w14:textId="77777777" w:rsidR="001B574A" w:rsidRPr="00D00CC9" w:rsidRDefault="001B574A" w:rsidP="001B574A">
      <w:pPr>
        <w:pStyle w:val="Sangradetextonormal"/>
        <w:numPr>
          <w:ilvl w:val="0"/>
          <w:numId w:val="20"/>
        </w:numPr>
        <w:spacing w:after="0"/>
        <w:rPr>
          <w:rFonts w:cs="Arial"/>
          <w:b/>
          <w:bCs/>
          <w:szCs w:val="24"/>
          <w:u w:val="single"/>
        </w:rPr>
      </w:pPr>
      <w:r w:rsidRPr="00D00CC9">
        <w:rPr>
          <w:rFonts w:cs="Arial"/>
          <w:b/>
          <w:bCs/>
          <w:szCs w:val="24"/>
          <w:u w:val="single"/>
        </w:rPr>
        <w:t>Estructura de Balance</w:t>
      </w:r>
    </w:p>
    <w:p w14:paraId="66BC5F52" w14:textId="77777777" w:rsidR="001B574A" w:rsidRPr="00D00CC9" w:rsidRDefault="001B574A" w:rsidP="001B574A">
      <w:pPr>
        <w:pStyle w:val="Sangradetextonormal"/>
        <w:spacing w:after="0"/>
        <w:ind w:left="0"/>
        <w:rPr>
          <w:rFonts w:cs="Arial"/>
          <w:b/>
          <w:bCs/>
          <w:szCs w:val="24"/>
          <w:u w:val="single"/>
        </w:rPr>
      </w:pPr>
    </w:p>
    <w:p w14:paraId="63A1B370" w14:textId="77777777" w:rsidR="001B574A" w:rsidRPr="00D00CC9" w:rsidRDefault="001B574A" w:rsidP="001B574A">
      <w:pPr>
        <w:jc w:val="both"/>
        <w:rPr>
          <w:rFonts w:ascii="Arial" w:hAnsi="Arial" w:cs="Arial"/>
          <w:snapToGrid w:val="0"/>
          <w:sz w:val="24"/>
          <w:szCs w:val="24"/>
        </w:rPr>
      </w:pPr>
      <w:r w:rsidRPr="00D00CC9">
        <w:rPr>
          <w:rFonts w:ascii="Arial" w:hAnsi="Arial" w:cs="Arial"/>
          <w:snapToGrid w:val="0"/>
          <w:sz w:val="24"/>
          <w:szCs w:val="24"/>
        </w:rPr>
        <w:t>La estructura de balance muestra el uso eficiente de los pasivos que le generan costos a la entidad este indicador es una “Alerta Temprana” como se explicara más adelante.</w:t>
      </w:r>
    </w:p>
    <w:p w14:paraId="4D6DCA0B" w14:textId="68D9CD84" w:rsidR="00404968" w:rsidRPr="00D00CC9" w:rsidRDefault="00C80FFE" w:rsidP="001B574A">
      <w:pPr>
        <w:jc w:val="both"/>
        <w:rPr>
          <w:rFonts w:ascii="Arial" w:hAnsi="Arial" w:cs="Arial"/>
          <w:snapToGrid w:val="0"/>
          <w:sz w:val="24"/>
          <w:szCs w:val="24"/>
        </w:rPr>
      </w:pPr>
      <w:r w:rsidRPr="00D00CC9">
        <w:rPr>
          <w:rFonts w:ascii="Arial" w:hAnsi="Arial" w:cs="Arial"/>
          <w:b/>
          <w:bCs/>
          <w:noProof/>
          <w:sz w:val="24"/>
          <w:szCs w:val="24"/>
          <w:u w:val="single"/>
        </w:rPr>
        <mc:AlternateContent>
          <mc:Choice Requires="wps">
            <w:drawing>
              <wp:anchor distT="0" distB="0" distL="114300" distR="114300" simplePos="0" relativeHeight="251656704" behindDoc="0" locked="0" layoutInCell="1" allowOverlap="1" wp14:anchorId="34084704" wp14:editId="33629ACF">
                <wp:simplePos x="0" y="0"/>
                <wp:positionH relativeFrom="column">
                  <wp:posOffset>561975</wp:posOffset>
                </wp:positionH>
                <wp:positionV relativeFrom="paragraph">
                  <wp:posOffset>47625</wp:posOffset>
                </wp:positionV>
                <wp:extent cx="4406265" cy="485775"/>
                <wp:effectExtent l="0" t="0" r="0" b="0"/>
                <wp:wrapNone/>
                <wp:docPr id="7" name="Cuadro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265" cy="485775"/>
                        </a:xfrm>
                        <a:prstGeom prst="rect">
                          <a:avLst/>
                        </a:prstGeom>
                        <a:noFill/>
                      </wps:spPr>
                      <wps:txbx>
                        <w:txbxContent>
                          <w:p w14:paraId="506C26C0" w14:textId="673EA16C" w:rsidR="001B574A" w:rsidRDefault="001B574A" w:rsidP="00404968">
                            <w:pPr>
                              <w:pStyle w:val="NormalWeb"/>
                              <w:spacing w:before="0" w:beforeAutospacing="0" w:after="0" w:afterAutospacing="0"/>
                              <w:jc w:val="center"/>
                            </w:pPr>
                            <w:r w:rsidRPr="001B574A">
                              <w:rPr>
                                <w:rFonts w:ascii="Cambria Math" w:eastAsia="Cambria Math" w:hAnsi="Cambria Math"/>
                                <w:i/>
                                <w:iCs/>
                                <w:color w:val="000000"/>
                                <w:kern w:val="24"/>
                                <w:sz w:val="28"/>
                                <w:szCs w:val="28"/>
                                <w:lang w:val="es-MX"/>
                              </w:rPr>
                              <w:t>Estructura de Balance</w:t>
                            </w:r>
                            <m:oMath>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Activos Productivos</m:t>
                                  </m:r>
                                </m:num>
                                <m:den>
                                  <m:r>
                                    <w:rPr>
                                      <w:rFonts w:ascii="Cambria Math" w:hAnsi="Cambria Math"/>
                                      <w:color w:val="000000"/>
                                      <w:kern w:val="24"/>
                                      <w:sz w:val="28"/>
                                      <w:szCs w:val="28"/>
                                      <w:lang w:val="es-MX"/>
                                    </w:rPr>
                                    <m:t>Pasivos con Costo</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34084704" id="CuadroTexto 6" o:spid="_x0000_s1029" type="#_x0000_t202" style="position:absolute;left:0;text-align:left;margin-left:44.25pt;margin-top:3.75pt;width:346.95pt;height:3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" filled="f" stroked="f">
                <v:textbox style="mso-fit-shape-to-text:t" inset="0,0,0,0">
                  <w:txbxContent>
                    <w:p w14:paraId="506C26C0" w14:textId="673EA16C" w:rsidR="001B574A" w:rsidRDefault="001B574A" w:rsidP="00404968">
                      <w:pPr>
                        <w:pStyle w:val="NormalWeb"/>
                        <w:spacing w:before="0" w:beforeAutospacing="0" w:after="0" w:afterAutospacing="0"/>
                        <w:jc w:val="center"/>
                      </w:pPr>
                      <w:r w:rsidRPr="001B574A">
                        <w:rPr>
                          <w:rFonts w:ascii="Cambria Math" w:eastAsia="Cambria Math" w:hAnsi="Cambria Math"/>
                          <w:i/>
                          <w:iCs/>
                          <w:color w:val="000000"/>
                          <w:kern w:val="24"/>
                          <w:sz w:val="28"/>
                          <w:szCs w:val="28"/>
                          <w:lang w:val="es-MX"/>
                        </w:rPr>
                        <w:t>Estructura de Balance</w:t>
                      </w:r>
                      <m:oMath>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Activos Productivos</m:t>
                            </m:r>
                          </m:num>
                          <m:den>
                            <m:r>
                              <w:rPr>
                                <w:rFonts w:ascii="Cambria Math" w:hAnsi="Cambria Math"/>
                                <w:color w:val="000000"/>
                                <w:kern w:val="24"/>
                                <w:sz w:val="28"/>
                                <w:szCs w:val="28"/>
                                <w:lang w:val="es-MX"/>
                              </w:rPr>
                              <m:t>Pasivos con Costo</m:t>
                            </m:r>
                          </m:den>
                        </m:f>
                      </m:oMath>
                    </w:p>
                  </w:txbxContent>
                </v:textbox>
              </v:shape>
            </w:pict>
          </mc:Fallback>
        </mc:AlternateContent>
      </w:r>
    </w:p>
    <w:p w14:paraId="07ECF997" w14:textId="77777777" w:rsidR="001B574A" w:rsidRPr="00D00CC9" w:rsidRDefault="001B574A" w:rsidP="001B574A">
      <w:pPr>
        <w:jc w:val="both"/>
        <w:rPr>
          <w:rFonts w:ascii="Arial" w:hAnsi="Arial" w:cs="Arial"/>
          <w:snapToGrid w:val="0"/>
          <w:sz w:val="24"/>
          <w:szCs w:val="24"/>
        </w:rPr>
      </w:pPr>
    </w:p>
    <w:p w14:paraId="292FD76B" w14:textId="77777777" w:rsidR="005F63A4" w:rsidRPr="00D00CC9" w:rsidRDefault="005F63A4" w:rsidP="005F63A4">
      <w:pPr>
        <w:pStyle w:val="Prrafodelista"/>
        <w:numPr>
          <w:ilvl w:val="0"/>
          <w:numId w:val="20"/>
        </w:numPr>
        <w:spacing w:after="0" w:line="240" w:lineRule="auto"/>
        <w:contextualSpacing/>
        <w:jc w:val="both"/>
        <w:rPr>
          <w:rFonts w:ascii="Arial" w:hAnsi="Arial" w:cs="Arial"/>
          <w:b/>
          <w:bCs/>
          <w:sz w:val="24"/>
          <w:szCs w:val="24"/>
          <w:u w:val="single"/>
        </w:rPr>
      </w:pPr>
      <w:r w:rsidRPr="00D00CC9">
        <w:rPr>
          <w:rFonts w:ascii="Arial" w:hAnsi="Arial" w:cs="Arial"/>
          <w:b/>
          <w:bCs/>
          <w:sz w:val="24"/>
          <w:szCs w:val="24"/>
          <w:u w:val="single"/>
        </w:rPr>
        <w:t>Cubrimiento de cartera</w:t>
      </w:r>
    </w:p>
    <w:p w14:paraId="2B67FB3D" w14:textId="77777777" w:rsidR="005F63A4" w:rsidRPr="00D00CC9" w:rsidRDefault="005F63A4" w:rsidP="005F63A4">
      <w:pPr>
        <w:jc w:val="both"/>
        <w:rPr>
          <w:rFonts w:ascii="Arial" w:hAnsi="Arial" w:cs="Arial"/>
          <w:b/>
          <w:sz w:val="24"/>
          <w:szCs w:val="24"/>
        </w:rPr>
      </w:pPr>
    </w:p>
    <w:p w14:paraId="4F1E250E" w14:textId="77777777" w:rsidR="005F63A4" w:rsidRPr="00D00CC9" w:rsidRDefault="005F63A4" w:rsidP="005F63A4">
      <w:pPr>
        <w:jc w:val="both"/>
        <w:rPr>
          <w:rFonts w:ascii="Arial" w:hAnsi="Arial" w:cs="Arial"/>
          <w:sz w:val="24"/>
          <w:szCs w:val="24"/>
        </w:rPr>
      </w:pPr>
      <w:r w:rsidRPr="00D00CC9">
        <w:rPr>
          <w:rFonts w:ascii="Arial" w:hAnsi="Arial" w:cs="Arial"/>
          <w:sz w:val="24"/>
          <w:szCs w:val="24"/>
        </w:rPr>
        <w:t>El cubrimiento de cartera indica, del total de cartera vencida cuanto se está aprovisionando. El valor se expresa de forma porcentual. Una mayor cobertura se interpreta como una mayor protección de la entidad frente a eventuales pérdidas ocurridas con ocasión a la siniestralidad de la cartera.</w:t>
      </w:r>
    </w:p>
    <w:p w14:paraId="52807861" w14:textId="296B523E" w:rsidR="00404968" w:rsidRPr="00D00CC9" w:rsidRDefault="00C80FFE" w:rsidP="005F63A4">
      <w:pPr>
        <w:jc w:val="both"/>
        <w:rPr>
          <w:rFonts w:ascii="Arial" w:hAnsi="Arial" w:cs="Arial"/>
          <w:sz w:val="24"/>
          <w:szCs w:val="24"/>
        </w:rPr>
      </w:pPr>
      <w:r w:rsidRPr="00D00CC9">
        <w:rPr>
          <w:rFonts w:ascii="Arial" w:hAnsi="Arial" w:cs="Arial"/>
          <w:noProof/>
          <w:snapToGrid w:val="0"/>
          <w:sz w:val="24"/>
          <w:szCs w:val="24"/>
        </w:rPr>
        <mc:AlternateContent>
          <mc:Choice Requires="wps">
            <w:drawing>
              <wp:anchor distT="0" distB="0" distL="114300" distR="114300" simplePos="0" relativeHeight="251657728" behindDoc="0" locked="0" layoutInCell="1" allowOverlap="1" wp14:anchorId="3C993A9F" wp14:editId="153EE887">
                <wp:simplePos x="0" y="0"/>
                <wp:positionH relativeFrom="column">
                  <wp:posOffset>781050</wp:posOffset>
                </wp:positionH>
                <wp:positionV relativeFrom="paragraph">
                  <wp:posOffset>137160</wp:posOffset>
                </wp:positionV>
                <wp:extent cx="4406265" cy="485775"/>
                <wp:effectExtent l="0" t="0" r="0" b="0"/>
                <wp:wrapNone/>
                <wp:docPr id="8" name="Cuadro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265" cy="485775"/>
                        </a:xfrm>
                        <a:prstGeom prst="rect">
                          <a:avLst/>
                        </a:prstGeom>
                        <a:noFill/>
                      </wps:spPr>
                      <wps:txbx>
                        <w:txbxContent>
                          <w:p w14:paraId="7F2A1C22" w14:textId="76E6C827" w:rsidR="005F63A4" w:rsidRDefault="005F63A4" w:rsidP="00404968">
                            <w:pPr>
                              <w:pStyle w:val="NormalWeb"/>
                              <w:spacing w:before="0" w:beforeAutospacing="0" w:after="0" w:afterAutospacing="0"/>
                              <w:jc w:val="center"/>
                            </w:pPr>
                            <w:r w:rsidRPr="005F63A4">
                              <w:rPr>
                                <w:rFonts w:ascii="Cambria Math" w:eastAsia="Cambria Math" w:hAnsi="Cambria Math"/>
                                <w:i/>
                                <w:iCs/>
                                <w:color w:val="000000"/>
                                <w:kern w:val="24"/>
                                <w:sz w:val="28"/>
                                <w:szCs w:val="28"/>
                                <w:lang w:val="es-MX"/>
                              </w:rPr>
                              <w:t>C</w:t>
                            </w:r>
                            <m:oMath>
                              <m:r>
                                <w:rPr>
                                  <w:rFonts w:ascii="Cambria Math" w:hAnsi="Cambria Math"/>
                                  <w:color w:val="000000"/>
                                  <w:kern w:val="24"/>
                                  <w:sz w:val="28"/>
                                  <w:szCs w:val="28"/>
                                  <w:lang w:val="es-MX"/>
                                </w:rPr>
                                <m:t>ubrimiento de Cartera</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Provisiones</m:t>
                                  </m:r>
                                </m:num>
                                <m:den>
                                  <m:r>
                                    <w:rPr>
                                      <w:rFonts w:ascii="Cambria Math" w:hAnsi="Cambria Math"/>
                                      <w:color w:val="000000"/>
                                      <w:kern w:val="24"/>
                                      <w:sz w:val="28"/>
                                      <w:szCs w:val="28"/>
                                      <w:lang w:val="es-MX"/>
                                    </w:rPr>
                                    <m:t>Cartera Vencida</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3C993A9F" id="CuadroTexto 7" o:spid="_x0000_s1030" type="#_x0000_t202" style="position:absolute;left:0;text-align:left;margin-left:61.5pt;margin-top:10.8pt;width:346.95pt;height:3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" filled="f" stroked="f">
                <v:textbox style="mso-fit-shape-to-text:t" inset="0,0,0,0">
                  <w:txbxContent>
                    <w:p w14:paraId="7F2A1C22" w14:textId="76E6C827" w:rsidR="005F63A4" w:rsidRDefault="005F63A4" w:rsidP="00404968">
                      <w:pPr>
                        <w:pStyle w:val="NormalWeb"/>
                        <w:spacing w:before="0" w:beforeAutospacing="0" w:after="0" w:afterAutospacing="0"/>
                        <w:jc w:val="center"/>
                      </w:pPr>
                      <w:r w:rsidRPr="005F63A4">
                        <w:rPr>
                          <w:rFonts w:ascii="Cambria Math" w:eastAsia="Cambria Math" w:hAnsi="Cambria Math"/>
                          <w:i/>
                          <w:iCs/>
                          <w:color w:val="000000"/>
                          <w:kern w:val="24"/>
                          <w:sz w:val="28"/>
                          <w:szCs w:val="28"/>
                          <w:lang w:val="es-MX"/>
                        </w:rPr>
                        <w:t>C</w:t>
                      </w:r>
                      <m:oMath>
                        <m:r>
                          <w:rPr>
                            <w:rFonts w:ascii="Cambria Math" w:hAnsi="Cambria Math"/>
                            <w:color w:val="000000"/>
                            <w:kern w:val="24"/>
                            <w:sz w:val="28"/>
                            <w:szCs w:val="28"/>
                            <w:lang w:val="es-MX"/>
                          </w:rPr>
                          <m:t>ubrimiento de Cartera</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Provisiones</m:t>
                            </m:r>
                          </m:num>
                          <m:den>
                            <m:r>
                              <w:rPr>
                                <w:rFonts w:ascii="Cambria Math" w:hAnsi="Cambria Math"/>
                                <w:color w:val="000000"/>
                                <w:kern w:val="24"/>
                                <w:sz w:val="28"/>
                                <w:szCs w:val="28"/>
                                <w:lang w:val="es-MX"/>
                              </w:rPr>
                              <m:t>Cartera Vencida</m:t>
                            </m:r>
                          </m:den>
                        </m:f>
                      </m:oMath>
                    </w:p>
                  </w:txbxContent>
                </v:textbox>
              </v:shape>
            </w:pict>
          </mc:Fallback>
        </mc:AlternateContent>
      </w:r>
    </w:p>
    <w:p w14:paraId="3D78DE96" w14:textId="77777777" w:rsidR="005F63A4" w:rsidRPr="00D00CC9" w:rsidRDefault="005F63A4" w:rsidP="001B574A">
      <w:pPr>
        <w:pStyle w:val="Sangradetextonormal"/>
        <w:spacing w:after="0"/>
        <w:ind w:left="0"/>
        <w:rPr>
          <w:rFonts w:cs="Arial"/>
          <w:b/>
          <w:bCs/>
          <w:szCs w:val="24"/>
          <w:u w:val="single"/>
          <w:lang w:val="es-CO"/>
        </w:rPr>
      </w:pPr>
    </w:p>
    <w:p w14:paraId="60FFE9EC" w14:textId="77777777" w:rsidR="005F63A4" w:rsidRPr="00D00CC9" w:rsidRDefault="005F63A4" w:rsidP="001B574A">
      <w:pPr>
        <w:pStyle w:val="Sangradetextonormal"/>
        <w:spacing w:after="0"/>
        <w:ind w:left="0"/>
        <w:rPr>
          <w:rFonts w:cs="Arial"/>
          <w:b/>
          <w:bCs/>
          <w:szCs w:val="24"/>
          <w:u w:val="single"/>
          <w:lang w:val="es-CO"/>
        </w:rPr>
      </w:pPr>
    </w:p>
    <w:p w14:paraId="54BDDCDF" w14:textId="77777777" w:rsidR="00BC6F0F" w:rsidRPr="00D00CC9" w:rsidRDefault="00BC6F0F" w:rsidP="00BC6F0F">
      <w:pPr>
        <w:pStyle w:val="Prrafodelista"/>
        <w:numPr>
          <w:ilvl w:val="0"/>
          <w:numId w:val="20"/>
        </w:numPr>
        <w:spacing w:after="0" w:line="240" w:lineRule="auto"/>
        <w:contextualSpacing/>
        <w:jc w:val="both"/>
        <w:rPr>
          <w:rFonts w:ascii="Arial" w:hAnsi="Arial" w:cs="Arial"/>
          <w:b/>
          <w:bCs/>
          <w:sz w:val="24"/>
          <w:szCs w:val="24"/>
          <w:u w:val="single"/>
        </w:rPr>
      </w:pPr>
      <w:r w:rsidRPr="00D00CC9">
        <w:rPr>
          <w:rFonts w:ascii="Arial" w:hAnsi="Arial" w:cs="Arial"/>
          <w:b/>
          <w:bCs/>
          <w:sz w:val="24"/>
          <w:szCs w:val="24"/>
          <w:u w:val="single"/>
        </w:rPr>
        <w:t>ROA - Rentabilidad del Activo</w:t>
      </w:r>
    </w:p>
    <w:p w14:paraId="12CF448F" w14:textId="77777777" w:rsidR="00BC6F0F" w:rsidRPr="00D00CC9" w:rsidRDefault="00BC6F0F" w:rsidP="00BC6F0F">
      <w:pPr>
        <w:rPr>
          <w:rFonts w:ascii="Arial" w:hAnsi="Arial" w:cs="Arial"/>
          <w:sz w:val="24"/>
          <w:szCs w:val="24"/>
        </w:rPr>
      </w:pPr>
    </w:p>
    <w:p w14:paraId="3485EADB" w14:textId="77777777" w:rsidR="00BC6F0F" w:rsidRPr="00D00CC9" w:rsidRDefault="00BC6F0F" w:rsidP="00BC6F0F">
      <w:pPr>
        <w:pStyle w:val="Textoindependiente2"/>
        <w:rPr>
          <w:rFonts w:cs="Arial"/>
          <w:sz w:val="24"/>
          <w:szCs w:val="24"/>
        </w:rPr>
      </w:pPr>
      <w:r w:rsidRPr="00D00CC9">
        <w:rPr>
          <w:rFonts w:cs="Arial"/>
          <w:sz w:val="24"/>
          <w:szCs w:val="24"/>
        </w:rPr>
        <w:t xml:space="preserve">La rentabilidad del activo permite determinar el valor generado (utilidad) por cada peso invertido en el activo.  La magnitud del resultado refleja la capacidad de la entidad en la generación de ganancias. </w:t>
      </w:r>
    </w:p>
    <w:p w14:paraId="108FA349" w14:textId="77777777" w:rsidR="005F63A4" w:rsidRPr="00D00CC9" w:rsidRDefault="005F63A4" w:rsidP="001B574A">
      <w:pPr>
        <w:pStyle w:val="Sangradetextonormal"/>
        <w:spacing w:after="0"/>
        <w:ind w:left="0"/>
        <w:rPr>
          <w:rFonts w:cs="Arial"/>
          <w:b/>
          <w:bCs/>
          <w:szCs w:val="24"/>
          <w:u w:val="single"/>
        </w:rPr>
      </w:pPr>
    </w:p>
    <w:p w14:paraId="7177E52F" w14:textId="45DE31F9" w:rsidR="00BC6F0F" w:rsidRPr="00D00CC9" w:rsidRDefault="00C80FFE" w:rsidP="001B574A">
      <w:pPr>
        <w:pStyle w:val="Sangradetextonormal"/>
        <w:spacing w:after="0"/>
        <w:ind w:left="0"/>
        <w:rPr>
          <w:rFonts w:cs="Arial"/>
          <w:b/>
          <w:bCs/>
          <w:szCs w:val="24"/>
          <w:u w:val="single"/>
        </w:rPr>
      </w:pPr>
      <w:r w:rsidRPr="00D00CC9">
        <w:rPr>
          <w:rFonts w:cs="Arial"/>
          <w:b/>
          <w:bCs/>
          <w:noProof/>
          <w:szCs w:val="24"/>
          <w:u w:val="single"/>
          <w:lang w:val="es-CO"/>
        </w:rPr>
        <mc:AlternateContent>
          <mc:Choice Requires="wps">
            <w:drawing>
              <wp:anchor distT="0" distB="0" distL="114300" distR="114300" simplePos="0" relativeHeight="251658752" behindDoc="0" locked="0" layoutInCell="1" allowOverlap="1" wp14:anchorId="5D6ABB41" wp14:editId="364666B0">
                <wp:simplePos x="0" y="0"/>
                <wp:positionH relativeFrom="column">
                  <wp:posOffset>962025</wp:posOffset>
                </wp:positionH>
                <wp:positionV relativeFrom="paragraph">
                  <wp:posOffset>19050</wp:posOffset>
                </wp:positionV>
                <wp:extent cx="3686175" cy="485775"/>
                <wp:effectExtent l="0" t="0" r="0" b="0"/>
                <wp:wrapNone/>
                <wp:docPr id="9" name="Cuadro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6175" cy="485775"/>
                        </a:xfrm>
                        <a:prstGeom prst="rect">
                          <a:avLst/>
                        </a:prstGeom>
                        <a:noFill/>
                      </wps:spPr>
                      <wps:txbx>
                        <w:txbxContent>
                          <w:p w14:paraId="742E9FAD" w14:textId="4CB9CCBD" w:rsidR="00BC6F0F" w:rsidRDefault="00BC6F0F" w:rsidP="00404968">
                            <w:pPr>
                              <w:pStyle w:val="NormalWeb"/>
                              <w:spacing w:before="0" w:beforeAutospacing="0" w:after="0" w:afterAutospacing="0"/>
                              <w:jc w:val="center"/>
                            </w:pPr>
                            <w:r w:rsidRPr="00BC6F0F">
                              <w:rPr>
                                <w:rFonts w:ascii="Cambria Math" w:eastAsia="Cambria Math" w:hAnsi="Cambria Math"/>
                                <w:i/>
                                <w:iCs/>
                                <w:color w:val="000000"/>
                                <w:kern w:val="24"/>
                                <w:sz w:val="28"/>
                                <w:szCs w:val="28"/>
                                <w:lang w:val="es-MX"/>
                              </w:rPr>
                              <w:t>Rentabilidad del Activo</w:t>
                            </w:r>
                            <m:oMath>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Utilidad</m:t>
                                  </m:r>
                                </m:num>
                                <m:den>
                                  <m:r>
                                    <w:rPr>
                                      <w:rFonts w:ascii="Cambria Math" w:hAnsi="Cambria Math"/>
                                      <w:color w:val="000000"/>
                                      <w:kern w:val="24"/>
                                      <w:sz w:val="28"/>
                                      <w:szCs w:val="28"/>
                                      <w:lang w:val="es-MX"/>
                                    </w:rPr>
                                    <m:t>Activos Totales</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5D6ABB41" id="CuadroTexto 8" o:spid="_x0000_s1031" type="#_x0000_t202" style="position:absolute;left:0;text-align:left;margin-left:75.75pt;margin-top:1.5pt;width:290.25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" filled="f" stroked="f">
                <v:textbox style="mso-fit-shape-to-text:t" inset="0,0,0,0">
                  <w:txbxContent>
                    <w:p w14:paraId="742E9FAD" w14:textId="4CB9CCBD" w:rsidR="00BC6F0F" w:rsidRDefault="00BC6F0F" w:rsidP="00404968">
                      <w:pPr>
                        <w:pStyle w:val="NormalWeb"/>
                        <w:spacing w:before="0" w:beforeAutospacing="0" w:after="0" w:afterAutospacing="0"/>
                        <w:jc w:val="center"/>
                      </w:pPr>
                      <w:r w:rsidRPr="00BC6F0F">
                        <w:rPr>
                          <w:rFonts w:ascii="Cambria Math" w:eastAsia="Cambria Math" w:hAnsi="Cambria Math"/>
                          <w:i/>
                          <w:iCs/>
                          <w:color w:val="000000"/>
                          <w:kern w:val="24"/>
                          <w:sz w:val="28"/>
                          <w:szCs w:val="28"/>
                          <w:lang w:val="es-MX"/>
                        </w:rPr>
                        <w:t>Rentabilidad del Activo</w:t>
                      </w:r>
                      <m:oMath>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Utilidad</m:t>
                            </m:r>
                          </m:num>
                          <m:den>
                            <m:r>
                              <w:rPr>
                                <w:rFonts w:ascii="Cambria Math" w:hAnsi="Cambria Math"/>
                                <w:color w:val="000000"/>
                                <w:kern w:val="24"/>
                                <w:sz w:val="28"/>
                                <w:szCs w:val="28"/>
                                <w:lang w:val="es-MX"/>
                              </w:rPr>
                              <m:t>Activos Totales</m:t>
                            </m:r>
                          </m:den>
                        </m:f>
                      </m:oMath>
                    </w:p>
                  </w:txbxContent>
                </v:textbox>
              </v:shape>
            </w:pict>
          </mc:Fallback>
        </mc:AlternateContent>
      </w:r>
    </w:p>
    <w:p w14:paraId="1FA028B9" w14:textId="77777777" w:rsidR="007A6845" w:rsidRPr="00D00CC9" w:rsidRDefault="007A6845" w:rsidP="007A6845">
      <w:pPr>
        <w:jc w:val="center"/>
        <w:rPr>
          <w:rFonts w:ascii="Arial" w:eastAsia="Arial" w:hAnsi="Arial" w:cs="Arial"/>
          <w:noProof/>
          <w:sz w:val="24"/>
          <w:szCs w:val="24"/>
          <w:lang w:val="es-ES" w:eastAsia="es-ES" w:bidi="es-ES"/>
        </w:rPr>
      </w:pPr>
    </w:p>
    <w:p w14:paraId="5E47035E" w14:textId="77777777" w:rsidR="0004501B" w:rsidRPr="00D00CC9" w:rsidRDefault="0004501B" w:rsidP="00923277">
      <w:pPr>
        <w:jc w:val="center"/>
        <w:rPr>
          <w:rFonts w:ascii="Arial" w:hAnsi="Arial" w:cs="Arial"/>
          <w:sz w:val="24"/>
          <w:szCs w:val="24"/>
          <w:lang w:val="es-ES"/>
        </w:rPr>
      </w:pPr>
    </w:p>
    <w:p w14:paraId="655915E5" w14:textId="77777777" w:rsidR="009D7249" w:rsidRPr="00D00CC9" w:rsidRDefault="009D7249" w:rsidP="009D7249">
      <w:pPr>
        <w:pStyle w:val="Textoindependiente2"/>
        <w:rPr>
          <w:rFonts w:cs="Arial"/>
          <w:sz w:val="24"/>
          <w:szCs w:val="24"/>
        </w:rPr>
      </w:pPr>
      <w:r w:rsidRPr="00D00CC9">
        <w:rPr>
          <w:rFonts w:cs="Arial"/>
          <w:sz w:val="24"/>
          <w:szCs w:val="24"/>
        </w:rPr>
        <w:t>El tratamiento de este indicador financiero en el modelo CAMEL, es a través de la anualización de la utilidad, con base en la siguiente construcción matemática.</w:t>
      </w:r>
    </w:p>
    <w:p w14:paraId="25A9EFD9" w14:textId="77777777" w:rsidR="009D7249" w:rsidRPr="00D00CC9" w:rsidRDefault="009D7249" w:rsidP="009D7249">
      <w:pPr>
        <w:pStyle w:val="Textoindependiente2"/>
        <w:rPr>
          <w:rFonts w:cs="Arial"/>
          <w:sz w:val="24"/>
          <w:szCs w:val="24"/>
        </w:rPr>
      </w:pPr>
    </w:p>
    <w:p w14:paraId="036322C4" w14:textId="24AEF49E" w:rsidR="009D7249" w:rsidRPr="00D00CC9" w:rsidRDefault="00C80FFE" w:rsidP="009D7249">
      <w:pPr>
        <w:pStyle w:val="Textoindependiente2"/>
        <w:rPr>
          <w:rFonts w:cs="Arial"/>
          <w:sz w:val="24"/>
          <w:szCs w:val="24"/>
        </w:rPr>
      </w:pPr>
      <w:r w:rsidRPr="00D00CC9">
        <w:rPr>
          <w:rFonts w:cs="Arial"/>
          <w:noProof/>
          <w:sz w:val="24"/>
          <w:szCs w:val="24"/>
          <w:lang w:val="es-CO"/>
        </w:rPr>
        <mc:AlternateContent>
          <mc:Choice Requires="wps">
            <w:drawing>
              <wp:anchor distT="0" distB="0" distL="114300" distR="114300" simplePos="0" relativeHeight="251659776" behindDoc="0" locked="0" layoutInCell="1" allowOverlap="1" wp14:anchorId="629E901E" wp14:editId="0D08C65F">
                <wp:simplePos x="0" y="0"/>
                <wp:positionH relativeFrom="column">
                  <wp:posOffset>1038225</wp:posOffset>
                </wp:positionH>
                <wp:positionV relativeFrom="paragraph">
                  <wp:posOffset>141605</wp:posOffset>
                </wp:positionV>
                <wp:extent cx="3686175" cy="485775"/>
                <wp:effectExtent l="0" t="0" r="0" b="0"/>
                <wp:wrapNone/>
                <wp:docPr id="10" name="Cuadro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6175" cy="485775"/>
                        </a:xfrm>
                        <a:prstGeom prst="rect">
                          <a:avLst/>
                        </a:prstGeom>
                        <a:noFill/>
                      </wps:spPr>
                      <wps:txbx>
                        <w:txbxContent>
                          <w:p w14:paraId="02B267D1" w14:textId="5A4F2F58" w:rsidR="009D7249" w:rsidRDefault="009D7249" w:rsidP="00404968">
                            <w:pPr>
                              <w:pStyle w:val="NormalWeb"/>
                              <w:spacing w:before="0" w:beforeAutospacing="0" w:after="0" w:afterAutospacing="0"/>
                              <w:jc w:val="center"/>
                            </w:pPr>
                            <w:r w:rsidRPr="009D7249">
                              <w:rPr>
                                <w:rFonts w:ascii="Cambria Math" w:eastAsia="Cambria Math" w:hAnsi="Cambria Math"/>
                                <w:i/>
                                <w:iCs/>
                                <w:color w:val="000000"/>
                                <w:kern w:val="24"/>
                                <w:sz w:val="28"/>
                                <w:szCs w:val="28"/>
                                <w:lang w:val="es-MX"/>
                              </w:rPr>
                              <w:t>U</w:t>
                            </w:r>
                            <m:oMath>
                              <m:r>
                                <w:rPr>
                                  <w:rFonts w:ascii="Cambria Math" w:hAnsi="Cambria Math"/>
                                  <w:color w:val="000000"/>
                                  <w:kern w:val="24"/>
                                  <w:sz w:val="28"/>
                                  <w:szCs w:val="28"/>
                                  <w:lang w:val="es-MX"/>
                                </w:rPr>
                                <m:t>tilidad anualizada</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Utilidad período</m:t>
                                  </m:r>
                                </m:num>
                                <m:den>
                                  <m:r>
                                    <w:rPr>
                                      <w:rFonts w:ascii="Cambria Math" w:hAnsi="Cambria Math"/>
                                      <w:color w:val="000000"/>
                                      <w:kern w:val="24"/>
                                      <w:sz w:val="28"/>
                                      <w:szCs w:val="28"/>
                                      <w:lang w:val="es-MX"/>
                                    </w:rPr>
                                    <m:t>n</m:t>
                                  </m:r>
                                </m:den>
                              </m:f>
                              <m:r>
                                <w:rPr>
                                  <w:rFonts w:ascii="Cambria Math" w:hAnsi="Cambria Math"/>
                                  <w:color w:val="000000"/>
                                  <w:kern w:val="24"/>
                                  <w:sz w:val="28"/>
                                  <w:szCs w:val="28"/>
                                  <w:lang w:val="es-MX"/>
                                </w:rPr>
                                <m:t>*(12)</m:t>
                              </m:r>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629E901E" id="CuadroTexto 9" o:spid="_x0000_s1032" type="#_x0000_t202" style="position:absolute;left:0;text-align:left;margin-left:81.75pt;margin-top:11.15pt;width:290.25pt;height:3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" filled="f" stroked="f">
                <v:textbox style="mso-fit-shape-to-text:t" inset="0,0,0,0">
                  <w:txbxContent>
                    <w:p w14:paraId="02B267D1" w14:textId="5A4F2F58" w:rsidR="009D7249" w:rsidRDefault="009D7249" w:rsidP="00404968">
                      <w:pPr>
                        <w:pStyle w:val="NormalWeb"/>
                        <w:spacing w:before="0" w:beforeAutospacing="0" w:after="0" w:afterAutospacing="0"/>
                        <w:jc w:val="center"/>
                      </w:pPr>
                      <w:r w:rsidRPr="009D7249">
                        <w:rPr>
                          <w:rFonts w:ascii="Cambria Math" w:eastAsia="Cambria Math" w:hAnsi="Cambria Math"/>
                          <w:i/>
                          <w:iCs/>
                          <w:color w:val="000000"/>
                          <w:kern w:val="24"/>
                          <w:sz w:val="28"/>
                          <w:szCs w:val="28"/>
                          <w:lang w:val="es-MX"/>
                        </w:rPr>
                        <w:t>U</w:t>
                      </w:r>
                      <m:oMath>
                        <m:r>
                          <w:rPr>
                            <w:rFonts w:ascii="Cambria Math" w:hAnsi="Cambria Math"/>
                            <w:color w:val="000000"/>
                            <w:kern w:val="24"/>
                            <w:sz w:val="28"/>
                            <w:szCs w:val="28"/>
                            <w:lang w:val="es-MX"/>
                          </w:rPr>
                          <m:t>tilidad anualizada</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Utilidad período</m:t>
                            </m:r>
                          </m:num>
                          <m:den>
                            <m:r>
                              <w:rPr>
                                <w:rFonts w:ascii="Cambria Math" w:hAnsi="Cambria Math"/>
                                <w:color w:val="000000"/>
                                <w:kern w:val="24"/>
                                <w:sz w:val="28"/>
                                <w:szCs w:val="28"/>
                                <w:lang w:val="es-MX"/>
                              </w:rPr>
                              <m:t>n</m:t>
                            </m:r>
                          </m:den>
                        </m:f>
                        <m:r>
                          <w:rPr>
                            <w:rFonts w:ascii="Cambria Math" w:hAnsi="Cambria Math"/>
                            <w:color w:val="000000"/>
                            <w:kern w:val="24"/>
                            <w:sz w:val="28"/>
                            <w:szCs w:val="28"/>
                            <w:lang w:val="es-MX"/>
                          </w:rPr>
                          <m:t>*(12)</m:t>
                        </m:r>
                      </m:oMath>
                    </w:p>
                  </w:txbxContent>
                </v:textbox>
              </v:shape>
            </w:pict>
          </mc:Fallback>
        </mc:AlternateContent>
      </w:r>
    </w:p>
    <w:p w14:paraId="565D3B9C" w14:textId="77777777" w:rsidR="00404968" w:rsidRPr="00D00CC9" w:rsidRDefault="00404968" w:rsidP="009D7249">
      <w:pPr>
        <w:rPr>
          <w:rFonts w:ascii="Arial" w:hAnsi="Arial" w:cs="Arial"/>
          <w:snapToGrid w:val="0"/>
          <w:sz w:val="24"/>
          <w:szCs w:val="24"/>
        </w:rPr>
      </w:pPr>
    </w:p>
    <w:p w14:paraId="00181EBB" w14:textId="680CD95E" w:rsidR="00404968" w:rsidRPr="00C6298D" w:rsidRDefault="009D7249" w:rsidP="00C6298D">
      <w:pPr>
        <w:rPr>
          <w:rFonts w:ascii="Arial" w:hAnsi="Arial" w:cs="Arial"/>
          <w:snapToGrid w:val="0"/>
          <w:sz w:val="24"/>
          <w:szCs w:val="24"/>
        </w:rPr>
      </w:pPr>
      <w:r w:rsidRPr="00D00CC9">
        <w:rPr>
          <w:rFonts w:ascii="Arial" w:hAnsi="Arial" w:cs="Arial"/>
          <w:snapToGrid w:val="0"/>
          <w:sz w:val="24"/>
          <w:szCs w:val="24"/>
        </w:rPr>
        <w:t>Donde n: Número de meses que incluye el periodo de corte</w:t>
      </w:r>
    </w:p>
    <w:p w14:paraId="385FAD32" w14:textId="77777777" w:rsidR="00442967" w:rsidRPr="00D00CC9" w:rsidRDefault="00442967" w:rsidP="00442967">
      <w:pPr>
        <w:pStyle w:val="Prrafodelista"/>
        <w:numPr>
          <w:ilvl w:val="0"/>
          <w:numId w:val="20"/>
        </w:numPr>
        <w:spacing w:after="0" w:line="240" w:lineRule="auto"/>
        <w:contextualSpacing/>
        <w:jc w:val="both"/>
        <w:rPr>
          <w:rFonts w:ascii="Arial" w:hAnsi="Arial" w:cs="Arial"/>
          <w:b/>
          <w:bCs/>
          <w:sz w:val="24"/>
          <w:szCs w:val="24"/>
          <w:u w:val="single"/>
        </w:rPr>
      </w:pPr>
      <w:r w:rsidRPr="00D00CC9">
        <w:rPr>
          <w:rFonts w:ascii="Arial" w:hAnsi="Arial" w:cs="Arial"/>
          <w:b/>
          <w:bCs/>
          <w:sz w:val="24"/>
          <w:szCs w:val="24"/>
          <w:u w:val="single"/>
        </w:rPr>
        <w:t xml:space="preserve">Disponible / Activo Total </w:t>
      </w:r>
    </w:p>
    <w:p w14:paraId="49843906" w14:textId="77777777" w:rsidR="00442967" w:rsidRPr="00D00CC9" w:rsidRDefault="00442967" w:rsidP="00442967">
      <w:pPr>
        <w:pStyle w:val="Textoindependiente2"/>
        <w:rPr>
          <w:rFonts w:eastAsia="Calibri" w:cs="Arial"/>
          <w:snapToGrid w:val="0"/>
          <w:sz w:val="24"/>
          <w:szCs w:val="24"/>
          <w:lang w:val="es-CO" w:eastAsia="en-US"/>
        </w:rPr>
      </w:pPr>
    </w:p>
    <w:p w14:paraId="708C64D5" w14:textId="77777777" w:rsidR="00442967" w:rsidRPr="00D00CC9" w:rsidRDefault="00442967" w:rsidP="00442967">
      <w:pPr>
        <w:pStyle w:val="Textoindependiente2"/>
        <w:rPr>
          <w:rFonts w:cs="Arial"/>
          <w:sz w:val="24"/>
          <w:szCs w:val="24"/>
        </w:rPr>
      </w:pPr>
      <w:r w:rsidRPr="00D00CC9">
        <w:rPr>
          <w:rFonts w:cs="Arial"/>
          <w:sz w:val="24"/>
          <w:szCs w:val="24"/>
        </w:rPr>
        <w:t xml:space="preserve">El objetivo es medir el comportamiento de la liquidez en la entidad y su peso dentro del total de los activos. </w:t>
      </w:r>
    </w:p>
    <w:p w14:paraId="55052E6C" w14:textId="62DFAA74" w:rsidR="007F111D" w:rsidRPr="00D00CC9" w:rsidRDefault="00C80FFE" w:rsidP="007F69E4">
      <w:pPr>
        <w:tabs>
          <w:tab w:val="left" w:pos="5812"/>
        </w:tabs>
        <w:jc w:val="both"/>
        <w:rPr>
          <w:rFonts w:ascii="Arial" w:hAnsi="Arial" w:cs="Arial"/>
          <w:sz w:val="24"/>
          <w:szCs w:val="24"/>
        </w:rPr>
      </w:pPr>
      <w:r w:rsidRPr="00D00CC9">
        <w:rPr>
          <w:rFonts w:ascii="Arial" w:hAnsi="Arial" w:cs="Arial"/>
          <w:noProof/>
          <w:sz w:val="24"/>
          <w:szCs w:val="24"/>
        </w:rPr>
        <mc:AlternateContent>
          <mc:Choice Requires="wps">
            <w:drawing>
              <wp:anchor distT="0" distB="0" distL="114300" distR="114300" simplePos="0" relativeHeight="251660800" behindDoc="0" locked="0" layoutInCell="1" allowOverlap="1" wp14:anchorId="780BB120" wp14:editId="5DBAD08D">
                <wp:simplePos x="0" y="0"/>
                <wp:positionH relativeFrom="column">
                  <wp:posOffset>1028700</wp:posOffset>
                </wp:positionH>
                <wp:positionV relativeFrom="paragraph">
                  <wp:posOffset>283845</wp:posOffset>
                </wp:positionV>
                <wp:extent cx="3376930" cy="485775"/>
                <wp:effectExtent l="0" t="0" r="0" b="0"/>
                <wp:wrapNone/>
                <wp:docPr id="11" name="Cuadro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6930" cy="485775"/>
                        </a:xfrm>
                        <a:prstGeom prst="rect">
                          <a:avLst/>
                        </a:prstGeom>
                        <a:noFill/>
                      </wps:spPr>
                      <wps:txbx>
                        <w:txbxContent>
                          <w:p w14:paraId="3203F96D" w14:textId="5DE63F83" w:rsidR="00442967" w:rsidRDefault="00442967" w:rsidP="00404968">
                            <w:pPr>
                              <w:pStyle w:val="NormalWeb"/>
                              <w:spacing w:before="0" w:beforeAutospacing="0" w:after="0" w:afterAutospacing="0"/>
                              <w:jc w:val="center"/>
                            </w:pPr>
                            <w:r w:rsidRPr="00442967">
                              <w:rPr>
                                <w:rFonts w:ascii="Cambria Math" w:eastAsia="Cambria Math" w:hAnsi="Cambria Math"/>
                                <w:i/>
                                <w:iCs/>
                                <w:color w:val="000000"/>
                                <w:kern w:val="24"/>
                                <w:sz w:val="28"/>
                                <w:szCs w:val="28"/>
                              </w:rPr>
                              <w:t>Disponible/Activo Total</w:t>
                            </w:r>
                            <m:oMath>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Disponible</m:t>
                                  </m:r>
                                </m:num>
                                <m:den>
                                  <m:r>
                                    <w:rPr>
                                      <w:rFonts w:ascii="Cambria Math" w:hAnsi="Cambria Math"/>
                                      <w:color w:val="000000"/>
                                      <w:kern w:val="24"/>
                                      <w:sz w:val="28"/>
                                      <w:szCs w:val="28"/>
                                      <w:lang w:val="es-MX"/>
                                    </w:rPr>
                                    <m:t>Activos Totales </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780BB120" id="CuadroTexto 10" o:spid="_x0000_s1033" type="#_x0000_t202" style="position:absolute;left:0;text-align:left;margin-left:81pt;margin-top:22.35pt;width:265.9pt;height:38.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" filled="f" stroked="f">
                <v:textbox style="mso-fit-shape-to-text:t" inset="0,0,0,0">
                  <w:txbxContent>
                    <w:p w14:paraId="3203F96D" w14:textId="5DE63F83" w:rsidR="00442967" w:rsidRDefault="00442967" w:rsidP="00404968">
                      <w:pPr>
                        <w:pStyle w:val="NormalWeb"/>
                        <w:spacing w:before="0" w:beforeAutospacing="0" w:after="0" w:afterAutospacing="0"/>
                        <w:jc w:val="center"/>
                      </w:pPr>
                      <w:r w:rsidRPr="00442967">
                        <w:rPr>
                          <w:rFonts w:ascii="Cambria Math" w:eastAsia="Cambria Math" w:hAnsi="Cambria Math"/>
                          <w:i/>
                          <w:iCs/>
                          <w:color w:val="000000"/>
                          <w:kern w:val="24"/>
                          <w:sz w:val="28"/>
                          <w:szCs w:val="28"/>
                        </w:rPr>
                        <w:t>Disponible/Activo Total</w:t>
                      </w:r>
                      <m:oMath>
                        <m:r>
                          <w:rPr>
                            <w:rFonts w:ascii="Cambria Math" w:hAnsi="Cambria Math"/>
                            <w:color w:val="000000"/>
                            <w:kern w:val="24"/>
                            <w:sz w:val="28"/>
                            <w:szCs w:val="28"/>
                          </w:rPr>
                          <m:t>=</m:t>
                        </m:r>
                        <m:f>
                          <m:fPr>
                            <m:ctrlPr>
                              <w:rPr>
                                <w:rFonts w:ascii="Cambria Math" w:hAnsi="Cambria Math"/>
                                <w:i/>
                                <w:iCs/>
                                <w:color w:val="000000"/>
                                <w:kern w:val="24"/>
                                <w:sz w:val="28"/>
                                <w:szCs w:val="28"/>
                              </w:rPr>
                            </m:ctrlPr>
                          </m:fPr>
                          <m:num>
                            <m:r>
                              <w:rPr>
                                <w:rFonts w:ascii="Cambria Math" w:hAnsi="Cambria Math"/>
                                <w:color w:val="000000"/>
                                <w:kern w:val="24"/>
                                <w:sz w:val="28"/>
                                <w:szCs w:val="28"/>
                                <w:lang w:val="es-MX"/>
                              </w:rPr>
                              <m:t>Disponible</m:t>
                            </m:r>
                          </m:num>
                          <m:den>
                            <m:r>
                              <w:rPr>
                                <w:rFonts w:ascii="Cambria Math" w:hAnsi="Cambria Math"/>
                                <w:color w:val="000000"/>
                                <w:kern w:val="24"/>
                                <w:sz w:val="28"/>
                                <w:szCs w:val="28"/>
                                <w:lang w:val="es-MX"/>
                              </w:rPr>
                              <m:t>Activos Totales </m:t>
                            </m:r>
                          </m:den>
                        </m:f>
                      </m:oMath>
                    </w:p>
                  </w:txbxContent>
                </v:textbox>
              </v:shape>
            </w:pict>
          </mc:Fallback>
        </mc:AlternateContent>
      </w:r>
    </w:p>
    <w:p w14:paraId="42D2C691" w14:textId="77777777" w:rsidR="00442967" w:rsidRPr="00D00CC9" w:rsidRDefault="00442967" w:rsidP="007F69E4">
      <w:pPr>
        <w:tabs>
          <w:tab w:val="left" w:pos="5812"/>
        </w:tabs>
        <w:jc w:val="both"/>
        <w:rPr>
          <w:rFonts w:ascii="Arial" w:hAnsi="Arial" w:cs="Arial"/>
          <w:sz w:val="24"/>
          <w:szCs w:val="24"/>
        </w:rPr>
      </w:pPr>
    </w:p>
    <w:p w14:paraId="2B1880A5" w14:textId="77777777" w:rsidR="007F111D" w:rsidRPr="00D00CC9" w:rsidRDefault="007F111D" w:rsidP="007F69E4">
      <w:pPr>
        <w:tabs>
          <w:tab w:val="left" w:pos="5812"/>
        </w:tabs>
        <w:jc w:val="both"/>
        <w:rPr>
          <w:rFonts w:ascii="Arial" w:hAnsi="Arial" w:cs="Arial"/>
          <w:sz w:val="24"/>
          <w:szCs w:val="24"/>
          <w:lang w:val="es-MX"/>
        </w:rPr>
      </w:pPr>
    </w:p>
    <w:p w14:paraId="660BF6DB" w14:textId="77777777" w:rsidR="00AF1520" w:rsidRPr="00D00CC9" w:rsidRDefault="00AF1520" w:rsidP="00AF1520">
      <w:pPr>
        <w:pStyle w:val="Prrafodelista"/>
        <w:numPr>
          <w:ilvl w:val="0"/>
          <w:numId w:val="20"/>
        </w:numPr>
        <w:spacing w:after="0" w:line="240" w:lineRule="auto"/>
        <w:contextualSpacing/>
        <w:jc w:val="both"/>
        <w:rPr>
          <w:rFonts w:ascii="Arial" w:hAnsi="Arial" w:cs="Arial"/>
          <w:b/>
          <w:bCs/>
          <w:sz w:val="24"/>
          <w:szCs w:val="24"/>
          <w:u w:val="single"/>
        </w:rPr>
      </w:pPr>
      <w:r w:rsidRPr="00D00CC9">
        <w:rPr>
          <w:rFonts w:ascii="Arial" w:hAnsi="Arial" w:cs="Arial"/>
          <w:b/>
          <w:bCs/>
          <w:sz w:val="24"/>
          <w:szCs w:val="24"/>
          <w:u w:val="single"/>
        </w:rPr>
        <w:t xml:space="preserve">Inversiones / Activo Total </w:t>
      </w:r>
    </w:p>
    <w:p w14:paraId="740A233F" w14:textId="77777777" w:rsidR="00AF1520" w:rsidRPr="00D00CC9" w:rsidRDefault="00AF1520" w:rsidP="00232732">
      <w:pPr>
        <w:jc w:val="both"/>
        <w:rPr>
          <w:rFonts w:ascii="Arial" w:hAnsi="Arial" w:cs="Arial"/>
          <w:snapToGrid w:val="0"/>
          <w:sz w:val="24"/>
          <w:szCs w:val="24"/>
        </w:rPr>
      </w:pPr>
    </w:p>
    <w:p w14:paraId="43F7131C" w14:textId="77777777" w:rsidR="00AF1520" w:rsidRPr="00D00CC9" w:rsidRDefault="00AF1520" w:rsidP="00232732">
      <w:pPr>
        <w:jc w:val="both"/>
        <w:rPr>
          <w:rFonts w:ascii="Arial" w:hAnsi="Arial" w:cs="Arial"/>
          <w:snapToGrid w:val="0"/>
          <w:sz w:val="24"/>
          <w:szCs w:val="24"/>
        </w:rPr>
      </w:pPr>
      <w:r w:rsidRPr="00D00CC9">
        <w:rPr>
          <w:rFonts w:ascii="Arial" w:hAnsi="Arial" w:cs="Arial"/>
          <w:snapToGrid w:val="0"/>
          <w:sz w:val="24"/>
          <w:szCs w:val="24"/>
        </w:rPr>
        <w:t xml:space="preserve">Conocer el porcentaje de los activos de la entidad que se encuentran en inversiones permite conocer la capacidad que esta tiene para responder en momentos de requerimientos de liquidez. </w:t>
      </w:r>
    </w:p>
    <w:p w14:paraId="78A4F04F" w14:textId="77777777" w:rsidR="00404968" w:rsidRPr="00D00CC9" w:rsidRDefault="00404968" w:rsidP="00232732">
      <w:pPr>
        <w:jc w:val="both"/>
        <w:rPr>
          <w:rFonts w:ascii="Arial" w:hAnsi="Arial" w:cs="Arial"/>
          <w:snapToGrid w:val="0"/>
          <w:sz w:val="24"/>
          <w:szCs w:val="24"/>
        </w:rPr>
      </w:pPr>
    </w:p>
    <w:p w14:paraId="6AA4106A" w14:textId="0E74BE82" w:rsidR="00232732" w:rsidRPr="00D00CC9" w:rsidRDefault="00C80FFE" w:rsidP="00232732">
      <w:pPr>
        <w:jc w:val="both"/>
        <w:rPr>
          <w:rFonts w:ascii="Arial" w:hAnsi="Arial" w:cs="Arial"/>
          <w:snapToGrid w:val="0"/>
          <w:sz w:val="24"/>
          <w:szCs w:val="24"/>
        </w:rPr>
      </w:pPr>
      <w:r w:rsidRPr="00D00CC9">
        <w:rPr>
          <w:rFonts w:ascii="Arial" w:hAnsi="Arial" w:cs="Arial"/>
          <w:noProof/>
          <w:snapToGrid w:val="0"/>
          <w:sz w:val="24"/>
          <w:szCs w:val="24"/>
        </w:rPr>
        <mc:AlternateContent>
          <mc:Choice Requires="wps">
            <w:drawing>
              <wp:anchor distT="0" distB="0" distL="114300" distR="114300" simplePos="0" relativeHeight="251661824" behindDoc="0" locked="0" layoutInCell="1" allowOverlap="1" wp14:anchorId="73971DD8" wp14:editId="51BE594D">
                <wp:simplePos x="0" y="0"/>
                <wp:positionH relativeFrom="column">
                  <wp:posOffset>781050</wp:posOffset>
                </wp:positionH>
                <wp:positionV relativeFrom="paragraph">
                  <wp:posOffset>19050</wp:posOffset>
                </wp:positionV>
                <wp:extent cx="4406265" cy="485775"/>
                <wp:effectExtent l="0" t="0" r="0" b="0"/>
                <wp:wrapNone/>
                <wp:docPr id="12" name="Cuadro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265" cy="485775"/>
                        </a:xfrm>
                        <a:prstGeom prst="rect">
                          <a:avLst/>
                        </a:prstGeom>
                        <a:noFill/>
                      </wps:spPr>
                      <wps:txbx>
                        <w:txbxContent>
                          <w:p w14:paraId="443DB304" w14:textId="20418AAD" w:rsidR="00232732" w:rsidRDefault="00232732" w:rsidP="00404968">
                            <w:pPr>
                              <w:pStyle w:val="NormalWeb"/>
                              <w:spacing w:before="0" w:beforeAutospacing="0" w:after="0" w:afterAutospacing="0"/>
                              <w:jc w:val="center"/>
                            </w:pPr>
                            <w:r w:rsidRPr="00232732">
                              <w:rPr>
                                <w:rFonts w:ascii="Cambria Math" w:eastAsia="Cambria Math" w:hAnsi="Cambria Math"/>
                                <w:i/>
                                <w:iCs/>
                                <w:color w:val="000000"/>
                                <w:kern w:val="24"/>
                                <w:sz w:val="28"/>
                                <w:szCs w:val="28"/>
                                <w:lang w:val="es-MX"/>
                              </w:rPr>
                              <w:t>I</w:t>
                            </w:r>
                            <m:oMath>
                              <m:r>
                                <w:rPr>
                                  <w:rFonts w:ascii="Cambria Math" w:hAnsi="Cambria Math"/>
                                  <w:color w:val="000000"/>
                                  <w:kern w:val="24"/>
                                  <w:sz w:val="28"/>
                                  <w:szCs w:val="28"/>
                                  <w:lang w:val="es-MX"/>
                                </w:rPr>
                                <m:t>nversiones/ActivoTotal</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Inversiones</m:t>
                                  </m:r>
                                </m:num>
                                <m:den>
                                  <m:r>
                                    <w:rPr>
                                      <w:rFonts w:ascii="Cambria Math" w:hAnsi="Cambria Math"/>
                                      <w:color w:val="000000"/>
                                      <w:kern w:val="24"/>
                                      <w:sz w:val="28"/>
                                      <w:szCs w:val="28"/>
                                      <w:lang w:val="es-MX"/>
                                    </w:rPr>
                                    <m:t>Activos Totales</m:t>
                                  </m:r>
                                </m:den>
                              </m:f>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73971DD8" id="CuadroTexto 11" o:spid="_x0000_s1034" type="#_x0000_t202" style="position:absolute;left:0;text-align:left;margin-left:61.5pt;margin-top:1.5pt;width:346.95pt;height:3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" filled="f" stroked="f">
                <v:textbox style="mso-fit-shape-to-text:t" inset="0,0,0,0">
                  <w:txbxContent>
                    <w:p w14:paraId="443DB304" w14:textId="20418AAD" w:rsidR="00232732" w:rsidRDefault="00232732" w:rsidP="00404968">
                      <w:pPr>
                        <w:pStyle w:val="NormalWeb"/>
                        <w:spacing w:before="0" w:beforeAutospacing="0" w:after="0" w:afterAutospacing="0"/>
                        <w:jc w:val="center"/>
                      </w:pPr>
                      <w:r w:rsidRPr="00232732">
                        <w:rPr>
                          <w:rFonts w:ascii="Cambria Math" w:eastAsia="Cambria Math" w:hAnsi="Cambria Math"/>
                          <w:i/>
                          <w:iCs/>
                          <w:color w:val="000000"/>
                          <w:kern w:val="24"/>
                          <w:sz w:val="28"/>
                          <w:szCs w:val="28"/>
                          <w:lang w:val="es-MX"/>
                        </w:rPr>
                        <w:t>I</w:t>
                      </w:r>
                      <m:oMath>
                        <m:r>
                          <w:rPr>
                            <w:rFonts w:ascii="Cambria Math" w:hAnsi="Cambria Math"/>
                            <w:color w:val="000000"/>
                            <w:kern w:val="24"/>
                            <w:sz w:val="28"/>
                            <w:szCs w:val="28"/>
                            <w:lang w:val="es-MX"/>
                          </w:rPr>
                          <m:t>nversiones/ActivoTotal</m:t>
                        </m:r>
                        <m:r>
                          <w:rPr>
                            <w:rFonts w:ascii="Cambria Math" w:hAnsi="Cambria Math"/>
                            <w:color w:val="000000"/>
                            <w:kern w:val="24"/>
                            <w:sz w:val="28"/>
                            <w:szCs w:val="28"/>
                          </w:rPr>
                          <m:t>=</m:t>
                        </m:r>
                        <m:f>
                          <m:fPr>
                            <m:ctrlPr>
                              <w:rPr>
                                <w:rFonts w:ascii="Cambria Math" w:hAnsi="Cambria Math"/>
                                <w:i/>
                                <w:iCs/>
                                <w:color w:val="000000"/>
                                <w:kern w:val="24"/>
                                <w:sz w:val="28"/>
                                <w:szCs w:val="28"/>
                                <w:lang w:val="es-MX"/>
                              </w:rPr>
                            </m:ctrlPr>
                          </m:fPr>
                          <m:num>
                            <m:r>
                              <w:rPr>
                                <w:rFonts w:ascii="Cambria Math" w:hAnsi="Cambria Math"/>
                                <w:color w:val="000000"/>
                                <w:kern w:val="24"/>
                                <w:sz w:val="28"/>
                                <w:szCs w:val="28"/>
                                <w:lang w:val="es-MX"/>
                              </w:rPr>
                              <m:t>Inversiones</m:t>
                            </m:r>
                          </m:num>
                          <m:den>
                            <m:r>
                              <w:rPr>
                                <w:rFonts w:ascii="Cambria Math" w:hAnsi="Cambria Math"/>
                                <w:color w:val="000000"/>
                                <w:kern w:val="24"/>
                                <w:sz w:val="28"/>
                                <w:szCs w:val="28"/>
                                <w:lang w:val="es-MX"/>
                              </w:rPr>
                              <m:t>Activos Totales</m:t>
                            </m:r>
                          </m:den>
                        </m:f>
                      </m:oMath>
                    </w:p>
                  </w:txbxContent>
                </v:textbox>
              </v:shape>
            </w:pict>
          </mc:Fallback>
        </mc:AlternateContent>
      </w:r>
    </w:p>
    <w:p w14:paraId="3316AD51" w14:textId="77777777" w:rsidR="00232732" w:rsidRPr="00D00CC9" w:rsidRDefault="00232732" w:rsidP="007F69E4">
      <w:pPr>
        <w:tabs>
          <w:tab w:val="left" w:pos="5812"/>
        </w:tabs>
        <w:jc w:val="both"/>
        <w:rPr>
          <w:rFonts w:ascii="Arial" w:hAnsi="Arial" w:cs="Arial"/>
          <w:sz w:val="24"/>
          <w:szCs w:val="24"/>
        </w:rPr>
      </w:pPr>
    </w:p>
    <w:p w14:paraId="0803CB1B" w14:textId="77777777" w:rsidR="007F6A83" w:rsidRPr="00D00CC9" w:rsidRDefault="007F6A83" w:rsidP="002D6A51">
      <w:pPr>
        <w:jc w:val="both"/>
        <w:rPr>
          <w:rFonts w:ascii="Arial" w:hAnsi="Arial" w:cs="Arial"/>
          <w:snapToGrid w:val="0"/>
          <w:sz w:val="24"/>
          <w:szCs w:val="24"/>
        </w:rPr>
      </w:pPr>
    </w:p>
    <w:p w14:paraId="149373A6" w14:textId="77777777" w:rsidR="002D6A51" w:rsidRPr="00D00CC9" w:rsidRDefault="002D6A51" w:rsidP="002D6A51">
      <w:pPr>
        <w:jc w:val="both"/>
        <w:rPr>
          <w:rFonts w:ascii="Arial" w:hAnsi="Arial" w:cs="Arial"/>
          <w:snapToGrid w:val="0"/>
          <w:sz w:val="24"/>
          <w:szCs w:val="24"/>
        </w:rPr>
      </w:pPr>
      <w:r w:rsidRPr="00D00CC9">
        <w:rPr>
          <w:rFonts w:ascii="Arial" w:hAnsi="Arial" w:cs="Arial"/>
          <w:snapToGrid w:val="0"/>
          <w:sz w:val="24"/>
          <w:szCs w:val="24"/>
        </w:rPr>
        <w:t xml:space="preserve">Al igual que el indicador ROA (rentabilidad del activo) y en general todos los indicadores cuantitativos financieros, relacionados con rentabilidad, que se utilizan en el modelo CAMEL, deben estar anualizados, según se explicó anteriormente. </w:t>
      </w:r>
    </w:p>
    <w:p w14:paraId="77C85A8D" w14:textId="4FFBE249" w:rsidR="002D6A51" w:rsidRDefault="002D6A51" w:rsidP="002D6A51">
      <w:pPr>
        <w:jc w:val="both"/>
        <w:rPr>
          <w:rFonts w:ascii="Arial" w:hAnsi="Arial" w:cs="Arial"/>
          <w:snapToGrid w:val="0"/>
          <w:sz w:val="24"/>
          <w:szCs w:val="24"/>
        </w:rPr>
      </w:pPr>
      <w:r w:rsidRPr="00D00CC9">
        <w:rPr>
          <w:rFonts w:ascii="Arial" w:hAnsi="Arial" w:cs="Arial"/>
          <w:snapToGrid w:val="0"/>
          <w:sz w:val="24"/>
          <w:szCs w:val="24"/>
        </w:rPr>
        <w:t>Este proceso de anualización se realiza con el objeto de homogeneizar los indicadores del sector de manera que puedan ser comparados sin incurrir en errores que se originan por la diversidad de fechas de corte que tiene el sistema financiero y en virtud a que los indicadores de rentabilidad de períodos correspondientes a noviembre y diciembre, sin dicho tratamiento, presentarán cifras superiores obviamente por que involucran una cantidad de tiempo mayor que los pertenecientes a los primeros meses del año.</w:t>
      </w:r>
    </w:p>
    <w:p w14:paraId="0D24DD05" w14:textId="5A3FBBC4" w:rsidR="00C6298D" w:rsidRDefault="00C6298D" w:rsidP="002D6A51">
      <w:pPr>
        <w:jc w:val="both"/>
        <w:rPr>
          <w:rFonts w:ascii="Arial" w:hAnsi="Arial" w:cs="Arial"/>
          <w:snapToGrid w:val="0"/>
          <w:sz w:val="24"/>
          <w:szCs w:val="24"/>
        </w:rPr>
      </w:pPr>
    </w:p>
    <w:p w14:paraId="5A133BD2" w14:textId="2EEADD87" w:rsidR="00C6298D" w:rsidRDefault="00C6298D" w:rsidP="002D6A51">
      <w:pPr>
        <w:jc w:val="both"/>
        <w:rPr>
          <w:rFonts w:ascii="Arial" w:hAnsi="Arial" w:cs="Arial"/>
          <w:snapToGrid w:val="0"/>
          <w:sz w:val="24"/>
          <w:szCs w:val="24"/>
        </w:rPr>
      </w:pPr>
    </w:p>
    <w:p w14:paraId="03414FA6" w14:textId="7B995158" w:rsidR="00C6298D" w:rsidRDefault="00C6298D" w:rsidP="002D6A51">
      <w:pPr>
        <w:jc w:val="both"/>
        <w:rPr>
          <w:rFonts w:ascii="Arial" w:hAnsi="Arial" w:cs="Arial"/>
          <w:snapToGrid w:val="0"/>
          <w:sz w:val="24"/>
          <w:szCs w:val="24"/>
        </w:rPr>
      </w:pPr>
    </w:p>
    <w:p w14:paraId="43D28618" w14:textId="77777777" w:rsidR="00C6298D" w:rsidRPr="00D00CC9" w:rsidRDefault="00C6298D" w:rsidP="002D6A51">
      <w:pPr>
        <w:jc w:val="both"/>
        <w:rPr>
          <w:rFonts w:ascii="Arial" w:hAnsi="Arial" w:cs="Arial"/>
          <w:snapToGrid w:val="0"/>
          <w:sz w:val="24"/>
          <w:szCs w:val="24"/>
        </w:rPr>
      </w:pPr>
    </w:p>
    <w:p w14:paraId="5C46DCB7" w14:textId="77777777" w:rsidR="003B4DEF" w:rsidRPr="00D00CC9" w:rsidRDefault="001E2075" w:rsidP="001E2075">
      <w:pPr>
        <w:rPr>
          <w:rFonts w:ascii="Arial" w:hAnsi="Arial" w:cs="Arial"/>
          <w:snapToGrid w:val="0"/>
          <w:sz w:val="24"/>
          <w:szCs w:val="24"/>
        </w:rPr>
      </w:pPr>
      <w:r w:rsidRPr="00D00CC9">
        <w:rPr>
          <w:rFonts w:ascii="Arial" w:hAnsi="Arial" w:cs="Arial"/>
          <w:snapToGrid w:val="0"/>
          <w:sz w:val="24"/>
          <w:szCs w:val="24"/>
        </w:rPr>
        <w:lastRenderedPageBreak/>
        <w:t xml:space="preserve">A continuación, se presenta una tabla donde se resumen las principales variables: </w:t>
      </w:r>
    </w:p>
    <w:tbl>
      <w:tblPr>
        <w:tblW w:w="0" w:type="auto"/>
        <w:jc w:val="center"/>
        <w:tblCellMar>
          <w:left w:w="0" w:type="dxa"/>
          <w:right w:w="0" w:type="dxa"/>
        </w:tblCellMar>
        <w:tblLook w:val="0000" w:firstRow="0" w:lastRow="0" w:firstColumn="0" w:lastColumn="0" w:noHBand="0" w:noVBand="0"/>
      </w:tblPr>
      <w:tblGrid>
        <w:gridCol w:w="2840"/>
        <w:gridCol w:w="3134"/>
        <w:gridCol w:w="3245"/>
      </w:tblGrid>
      <w:tr w:rsidR="00D00CC9" w:rsidRPr="00D00CC9" w14:paraId="4770FCAF" w14:textId="77777777" w:rsidTr="000B1B46">
        <w:trPr>
          <w:cantSplit/>
          <w:trHeight w:val="458"/>
          <w:jc w:val="center"/>
        </w:trPr>
        <w:tc>
          <w:tcPr>
            <w:tcW w:w="2840" w:type="dxa"/>
            <w:vMerge w:val="restart"/>
            <w:tcBorders>
              <w:top w:val="single" w:sz="4" w:space="0" w:color="auto"/>
              <w:left w:val="single" w:sz="4" w:space="0" w:color="auto"/>
              <w:bottom w:val="single" w:sz="4" w:space="0" w:color="000000"/>
              <w:right w:val="nil"/>
            </w:tcBorders>
            <w:shd w:val="clear" w:color="auto" w:fill="5B9BD5"/>
            <w:vAlign w:val="center"/>
          </w:tcPr>
          <w:p w14:paraId="5CF930C4"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VARIABLES CUANTITATIVAS ENTIDADES FINANCIERAS</w:t>
            </w:r>
          </w:p>
        </w:tc>
        <w:tc>
          <w:tcPr>
            <w:tcW w:w="3134" w:type="dxa"/>
            <w:vMerge w:val="restart"/>
            <w:tcBorders>
              <w:top w:val="single" w:sz="4" w:space="0" w:color="auto"/>
              <w:left w:val="single" w:sz="4" w:space="0" w:color="auto"/>
              <w:bottom w:val="single" w:sz="4" w:space="0" w:color="000000"/>
              <w:right w:val="nil"/>
            </w:tcBorders>
            <w:shd w:val="clear" w:color="auto" w:fill="5B9BD5"/>
            <w:vAlign w:val="center"/>
          </w:tcPr>
          <w:p w14:paraId="5ED0C7C3"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INDICADORES</w:t>
            </w:r>
          </w:p>
        </w:tc>
        <w:tc>
          <w:tcPr>
            <w:tcW w:w="3245" w:type="dxa"/>
            <w:vMerge w:val="restart"/>
            <w:tcBorders>
              <w:top w:val="single" w:sz="4" w:space="0" w:color="auto"/>
              <w:left w:val="single" w:sz="4" w:space="0" w:color="auto"/>
              <w:bottom w:val="single" w:sz="4" w:space="0" w:color="000000"/>
              <w:right w:val="single" w:sz="4" w:space="0" w:color="auto"/>
            </w:tcBorders>
            <w:shd w:val="clear" w:color="auto" w:fill="5B9BD5"/>
            <w:vAlign w:val="center"/>
          </w:tcPr>
          <w:p w14:paraId="0A8C67A6"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FÓRMULAS</w:t>
            </w:r>
          </w:p>
        </w:tc>
      </w:tr>
      <w:tr w:rsidR="00D00CC9" w:rsidRPr="00D00CC9" w14:paraId="2D7F39A6" w14:textId="77777777" w:rsidTr="000B1B46">
        <w:trPr>
          <w:cantSplit/>
          <w:trHeight w:val="458"/>
          <w:jc w:val="center"/>
        </w:trPr>
        <w:tc>
          <w:tcPr>
            <w:tcW w:w="2840" w:type="dxa"/>
            <w:vMerge/>
            <w:tcBorders>
              <w:top w:val="single" w:sz="4" w:space="0" w:color="auto"/>
              <w:left w:val="single" w:sz="4" w:space="0" w:color="auto"/>
              <w:bottom w:val="single" w:sz="4" w:space="0" w:color="000000"/>
              <w:right w:val="nil"/>
            </w:tcBorders>
            <w:shd w:val="clear" w:color="auto" w:fill="5B9BD5"/>
            <w:vAlign w:val="center"/>
          </w:tcPr>
          <w:p w14:paraId="549A93F3" w14:textId="77777777" w:rsidR="001E2075" w:rsidRPr="00D00CC9" w:rsidRDefault="001E2075" w:rsidP="000B1B46">
            <w:pPr>
              <w:rPr>
                <w:rFonts w:ascii="Arial" w:eastAsia="Arial Unicode MS" w:hAnsi="Arial" w:cs="Arial"/>
                <w:sz w:val="24"/>
                <w:szCs w:val="24"/>
              </w:rPr>
            </w:pPr>
          </w:p>
        </w:tc>
        <w:tc>
          <w:tcPr>
            <w:tcW w:w="3134" w:type="dxa"/>
            <w:vMerge/>
            <w:tcBorders>
              <w:top w:val="single" w:sz="4" w:space="0" w:color="auto"/>
              <w:left w:val="single" w:sz="4" w:space="0" w:color="auto"/>
              <w:bottom w:val="single" w:sz="4" w:space="0" w:color="000000"/>
              <w:right w:val="nil"/>
            </w:tcBorders>
            <w:shd w:val="clear" w:color="auto" w:fill="5B9BD5"/>
            <w:vAlign w:val="center"/>
          </w:tcPr>
          <w:p w14:paraId="492AAAF7" w14:textId="77777777" w:rsidR="001E2075" w:rsidRPr="00D00CC9" w:rsidRDefault="001E2075" w:rsidP="000B1B46">
            <w:pPr>
              <w:rPr>
                <w:rFonts w:ascii="Arial" w:eastAsia="Arial Unicode MS" w:hAnsi="Arial" w:cs="Arial"/>
                <w:sz w:val="24"/>
                <w:szCs w:val="24"/>
              </w:rPr>
            </w:pPr>
          </w:p>
        </w:tc>
        <w:tc>
          <w:tcPr>
            <w:tcW w:w="3245" w:type="dxa"/>
            <w:vMerge/>
            <w:tcBorders>
              <w:top w:val="single" w:sz="4" w:space="0" w:color="auto"/>
              <w:left w:val="single" w:sz="4" w:space="0" w:color="auto"/>
              <w:bottom w:val="single" w:sz="4" w:space="0" w:color="000000"/>
              <w:right w:val="single" w:sz="4" w:space="0" w:color="auto"/>
            </w:tcBorders>
            <w:shd w:val="clear" w:color="auto" w:fill="5B9BD5"/>
            <w:vAlign w:val="center"/>
          </w:tcPr>
          <w:p w14:paraId="04EDAFD5" w14:textId="77777777" w:rsidR="001E2075" w:rsidRPr="00D00CC9" w:rsidRDefault="001E2075" w:rsidP="000B1B46">
            <w:pPr>
              <w:rPr>
                <w:rFonts w:ascii="Arial" w:eastAsia="Arial Unicode MS" w:hAnsi="Arial" w:cs="Arial"/>
                <w:sz w:val="24"/>
                <w:szCs w:val="24"/>
              </w:rPr>
            </w:pPr>
          </w:p>
        </w:tc>
      </w:tr>
      <w:tr w:rsidR="00D00CC9" w:rsidRPr="00D00CC9" w14:paraId="54729DDE" w14:textId="77777777" w:rsidTr="007F6A83">
        <w:trPr>
          <w:cantSplit/>
          <w:trHeight w:val="540"/>
          <w:jc w:val="center"/>
        </w:trPr>
        <w:tc>
          <w:tcPr>
            <w:tcW w:w="2840" w:type="dxa"/>
            <w:vMerge w:val="restart"/>
            <w:tcBorders>
              <w:top w:val="nil"/>
              <w:left w:val="single" w:sz="4" w:space="0" w:color="auto"/>
              <w:bottom w:val="single" w:sz="4" w:space="0" w:color="000000"/>
              <w:right w:val="single" w:sz="4" w:space="0" w:color="auto"/>
            </w:tcBorders>
            <w:vAlign w:val="center"/>
          </w:tcPr>
          <w:p w14:paraId="04D362C9"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RENTABILIDAD</w:t>
            </w:r>
          </w:p>
        </w:tc>
        <w:tc>
          <w:tcPr>
            <w:tcW w:w="3134" w:type="dxa"/>
            <w:tcBorders>
              <w:top w:val="nil"/>
              <w:left w:val="nil"/>
              <w:bottom w:val="single" w:sz="4" w:space="0" w:color="auto"/>
              <w:right w:val="single" w:sz="4" w:space="0" w:color="auto"/>
            </w:tcBorders>
            <w:vAlign w:val="center"/>
          </w:tcPr>
          <w:p w14:paraId="3C816574"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RENTABILIDAD ACTIVO</w:t>
            </w:r>
          </w:p>
        </w:tc>
        <w:tc>
          <w:tcPr>
            <w:tcW w:w="3245" w:type="dxa"/>
            <w:tcBorders>
              <w:top w:val="nil"/>
              <w:left w:val="nil"/>
              <w:bottom w:val="single" w:sz="4" w:space="0" w:color="auto"/>
              <w:right w:val="single" w:sz="4" w:space="0" w:color="auto"/>
            </w:tcBorders>
            <w:vAlign w:val="center"/>
          </w:tcPr>
          <w:p w14:paraId="4B1DE1F7"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Utilidad neta/Activos</w:t>
            </w:r>
          </w:p>
        </w:tc>
      </w:tr>
      <w:tr w:rsidR="00D00CC9" w:rsidRPr="00D00CC9" w14:paraId="1CFA4222" w14:textId="77777777" w:rsidTr="007F6A83">
        <w:trPr>
          <w:cantSplit/>
          <w:trHeight w:val="510"/>
          <w:jc w:val="center"/>
        </w:trPr>
        <w:tc>
          <w:tcPr>
            <w:tcW w:w="2840" w:type="dxa"/>
            <w:vMerge/>
            <w:tcBorders>
              <w:top w:val="nil"/>
              <w:left w:val="single" w:sz="4" w:space="0" w:color="auto"/>
              <w:bottom w:val="single" w:sz="4" w:space="0" w:color="000000"/>
              <w:right w:val="single" w:sz="4" w:space="0" w:color="auto"/>
            </w:tcBorders>
            <w:vAlign w:val="center"/>
          </w:tcPr>
          <w:p w14:paraId="4C1F1F05" w14:textId="77777777" w:rsidR="001E2075" w:rsidRPr="00D00CC9" w:rsidRDefault="001E2075" w:rsidP="000B1B46">
            <w:pPr>
              <w:rPr>
                <w:rFonts w:ascii="Arial" w:eastAsia="Arial Unicode MS" w:hAnsi="Arial" w:cs="Arial"/>
                <w:b/>
                <w:sz w:val="24"/>
                <w:szCs w:val="24"/>
              </w:rPr>
            </w:pPr>
          </w:p>
        </w:tc>
        <w:tc>
          <w:tcPr>
            <w:tcW w:w="3134" w:type="dxa"/>
            <w:tcBorders>
              <w:top w:val="nil"/>
              <w:left w:val="nil"/>
              <w:bottom w:val="single" w:sz="4" w:space="0" w:color="auto"/>
              <w:right w:val="single" w:sz="4" w:space="0" w:color="auto"/>
            </w:tcBorders>
            <w:vAlign w:val="center"/>
          </w:tcPr>
          <w:p w14:paraId="60F5E6B2"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RENTABILIDAD PATRIMONIO</w:t>
            </w:r>
          </w:p>
        </w:tc>
        <w:tc>
          <w:tcPr>
            <w:tcW w:w="3245" w:type="dxa"/>
            <w:tcBorders>
              <w:top w:val="nil"/>
              <w:left w:val="nil"/>
              <w:bottom w:val="single" w:sz="4" w:space="0" w:color="auto"/>
              <w:right w:val="single" w:sz="4" w:space="0" w:color="auto"/>
            </w:tcBorders>
            <w:vAlign w:val="center"/>
          </w:tcPr>
          <w:p w14:paraId="54A0195F"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Utilidad neta/Patrimonio</w:t>
            </w:r>
          </w:p>
        </w:tc>
      </w:tr>
      <w:tr w:rsidR="00D00CC9" w:rsidRPr="00D00CC9" w14:paraId="5742A959" w14:textId="77777777" w:rsidTr="007F6A83">
        <w:trPr>
          <w:cantSplit/>
          <w:trHeight w:val="765"/>
          <w:jc w:val="center"/>
        </w:trPr>
        <w:tc>
          <w:tcPr>
            <w:tcW w:w="2840" w:type="dxa"/>
            <w:vMerge w:val="restart"/>
            <w:tcBorders>
              <w:top w:val="nil"/>
              <w:left w:val="single" w:sz="4" w:space="0" w:color="auto"/>
              <w:bottom w:val="single" w:sz="4" w:space="0" w:color="000000"/>
              <w:right w:val="single" w:sz="4" w:space="0" w:color="auto"/>
            </w:tcBorders>
            <w:vAlign w:val="center"/>
          </w:tcPr>
          <w:p w14:paraId="47C7C60D"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RIESGO</w:t>
            </w:r>
          </w:p>
        </w:tc>
        <w:tc>
          <w:tcPr>
            <w:tcW w:w="3134" w:type="dxa"/>
            <w:tcBorders>
              <w:top w:val="nil"/>
              <w:left w:val="nil"/>
              <w:bottom w:val="single" w:sz="4" w:space="0" w:color="auto"/>
              <w:right w:val="single" w:sz="4" w:space="0" w:color="auto"/>
            </w:tcBorders>
            <w:vAlign w:val="center"/>
          </w:tcPr>
          <w:p w14:paraId="5605C74C"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CALIDAD DE LA CARTERA</w:t>
            </w:r>
          </w:p>
        </w:tc>
        <w:tc>
          <w:tcPr>
            <w:tcW w:w="3245" w:type="dxa"/>
            <w:tcBorders>
              <w:top w:val="nil"/>
              <w:left w:val="nil"/>
              <w:bottom w:val="single" w:sz="4" w:space="0" w:color="auto"/>
              <w:right w:val="single" w:sz="4" w:space="0" w:color="auto"/>
            </w:tcBorders>
            <w:vAlign w:val="center"/>
          </w:tcPr>
          <w:p w14:paraId="36BBA200"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(Cartera Vencida Total/Cartera Bruta Total)*100</w:t>
            </w:r>
          </w:p>
        </w:tc>
      </w:tr>
      <w:tr w:rsidR="00D00CC9" w:rsidRPr="00D00CC9" w14:paraId="228EDA91" w14:textId="77777777" w:rsidTr="007F6A83">
        <w:trPr>
          <w:cantSplit/>
          <w:trHeight w:val="510"/>
          <w:jc w:val="center"/>
        </w:trPr>
        <w:tc>
          <w:tcPr>
            <w:tcW w:w="2840" w:type="dxa"/>
            <w:vMerge/>
            <w:tcBorders>
              <w:top w:val="nil"/>
              <w:left w:val="single" w:sz="4" w:space="0" w:color="auto"/>
              <w:bottom w:val="single" w:sz="4" w:space="0" w:color="000000"/>
              <w:right w:val="single" w:sz="4" w:space="0" w:color="auto"/>
            </w:tcBorders>
            <w:vAlign w:val="center"/>
          </w:tcPr>
          <w:p w14:paraId="3367A2E2" w14:textId="77777777" w:rsidR="001E2075" w:rsidRPr="00D00CC9" w:rsidRDefault="001E2075" w:rsidP="000B1B46">
            <w:pPr>
              <w:rPr>
                <w:rFonts w:ascii="Arial" w:eastAsia="Arial Unicode MS" w:hAnsi="Arial" w:cs="Arial"/>
                <w:b/>
                <w:sz w:val="24"/>
                <w:szCs w:val="24"/>
              </w:rPr>
            </w:pPr>
          </w:p>
        </w:tc>
        <w:tc>
          <w:tcPr>
            <w:tcW w:w="3134" w:type="dxa"/>
            <w:tcBorders>
              <w:top w:val="nil"/>
              <w:left w:val="nil"/>
              <w:bottom w:val="single" w:sz="4" w:space="0" w:color="auto"/>
              <w:right w:val="single" w:sz="4" w:space="0" w:color="auto"/>
            </w:tcBorders>
            <w:vAlign w:val="center"/>
          </w:tcPr>
          <w:p w14:paraId="29E092FE"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CUBRIMIENTO DE LA CARTERA</w:t>
            </w:r>
          </w:p>
        </w:tc>
        <w:tc>
          <w:tcPr>
            <w:tcW w:w="3245" w:type="dxa"/>
            <w:tcBorders>
              <w:top w:val="nil"/>
              <w:left w:val="nil"/>
              <w:bottom w:val="single" w:sz="4" w:space="0" w:color="auto"/>
              <w:right w:val="single" w:sz="4" w:space="0" w:color="auto"/>
            </w:tcBorders>
            <w:vAlign w:val="center"/>
          </w:tcPr>
          <w:p w14:paraId="2773DA6A"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Provisión Cartera Vencida Total/Cartera Vencida Total</w:t>
            </w:r>
          </w:p>
        </w:tc>
      </w:tr>
      <w:tr w:rsidR="00D00CC9" w:rsidRPr="00D00CC9" w14:paraId="52AC9AF1" w14:textId="77777777" w:rsidTr="007F6A83">
        <w:trPr>
          <w:trHeight w:val="765"/>
          <w:jc w:val="center"/>
        </w:trPr>
        <w:tc>
          <w:tcPr>
            <w:tcW w:w="2840" w:type="dxa"/>
            <w:tcBorders>
              <w:top w:val="nil"/>
              <w:left w:val="single" w:sz="4" w:space="0" w:color="auto"/>
              <w:bottom w:val="single" w:sz="4" w:space="0" w:color="auto"/>
              <w:right w:val="single" w:sz="4" w:space="0" w:color="auto"/>
            </w:tcBorders>
            <w:vAlign w:val="center"/>
          </w:tcPr>
          <w:p w14:paraId="5D63C025"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SOLVENCIA</w:t>
            </w:r>
          </w:p>
        </w:tc>
        <w:tc>
          <w:tcPr>
            <w:tcW w:w="3134" w:type="dxa"/>
            <w:tcBorders>
              <w:top w:val="nil"/>
              <w:left w:val="nil"/>
              <w:bottom w:val="single" w:sz="4" w:space="0" w:color="auto"/>
              <w:right w:val="single" w:sz="4" w:space="0" w:color="auto"/>
            </w:tcBorders>
            <w:vAlign w:val="center"/>
          </w:tcPr>
          <w:p w14:paraId="56CF329E"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MARGEN DE SOLVENCIA</w:t>
            </w:r>
          </w:p>
        </w:tc>
        <w:tc>
          <w:tcPr>
            <w:tcW w:w="3245" w:type="dxa"/>
            <w:tcBorders>
              <w:top w:val="nil"/>
              <w:left w:val="nil"/>
              <w:bottom w:val="single" w:sz="4" w:space="0" w:color="auto"/>
              <w:right w:val="single" w:sz="4" w:space="0" w:color="auto"/>
            </w:tcBorders>
            <w:vAlign w:val="center"/>
          </w:tcPr>
          <w:p w14:paraId="65D5B5CE"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Patrimonio Técnico/Activos Ponderados por Nivel de Riesgo</w:t>
            </w:r>
          </w:p>
        </w:tc>
      </w:tr>
      <w:tr w:rsidR="001E2075" w:rsidRPr="00D00CC9" w14:paraId="472DC7C6" w14:textId="77777777" w:rsidTr="007F6A83">
        <w:trPr>
          <w:trHeight w:val="510"/>
          <w:jc w:val="center"/>
        </w:trPr>
        <w:tc>
          <w:tcPr>
            <w:tcW w:w="2840" w:type="dxa"/>
            <w:tcBorders>
              <w:top w:val="nil"/>
              <w:left w:val="single" w:sz="4" w:space="0" w:color="auto"/>
              <w:bottom w:val="single" w:sz="4" w:space="0" w:color="auto"/>
              <w:right w:val="single" w:sz="4" w:space="0" w:color="auto"/>
            </w:tcBorders>
            <w:vAlign w:val="center"/>
          </w:tcPr>
          <w:p w14:paraId="42C0FA19" w14:textId="77777777" w:rsidR="001E2075" w:rsidRPr="00D00CC9" w:rsidRDefault="001E2075" w:rsidP="000B1B46">
            <w:pPr>
              <w:jc w:val="center"/>
              <w:rPr>
                <w:rFonts w:ascii="Arial" w:eastAsia="Arial Unicode MS" w:hAnsi="Arial" w:cs="Arial"/>
                <w:b/>
                <w:sz w:val="24"/>
                <w:szCs w:val="24"/>
              </w:rPr>
            </w:pPr>
            <w:r w:rsidRPr="00D00CC9">
              <w:rPr>
                <w:rFonts w:ascii="Arial" w:hAnsi="Arial" w:cs="Arial"/>
                <w:b/>
                <w:sz w:val="24"/>
                <w:szCs w:val="24"/>
              </w:rPr>
              <w:t>GERENCIA</w:t>
            </w:r>
          </w:p>
        </w:tc>
        <w:tc>
          <w:tcPr>
            <w:tcW w:w="3134" w:type="dxa"/>
            <w:tcBorders>
              <w:top w:val="nil"/>
              <w:left w:val="nil"/>
              <w:bottom w:val="single" w:sz="4" w:space="0" w:color="auto"/>
              <w:right w:val="single" w:sz="4" w:space="0" w:color="auto"/>
            </w:tcBorders>
            <w:vAlign w:val="center"/>
          </w:tcPr>
          <w:p w14:paraId="0047762A"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ESTRUCTURA DE BALANCE</w:t>
            </w:r>
          </w:p>
        </w:tc>
        <w:tc>
          <w:tcPr>
            <w:tcW w:w="3245" w:type="dxa"/>
            <w:tcBorders>
              <w:top w:val="nil"/>
              <w:left w:val="nil"/>
              <w:bottom w:val="single" w:sz="4" w:space="0" w:color="auto"/>
              <w:right w:val="single" w:sz="4" w:space="0" w:color="auto"/>
            </w:tcBorders>
            <w:vAlign w:val="center"/>
          </w:tcPr>
          <w:p w14:paraId="508CDE02" w14:textId="77777777" w:rsidR="001E2075" w:rsidRPr="00D00CC9" w:rsidRDefault="001E2075" w:rsidP="000B1B46">
            <w:pPr>
              <w:jc w:val="center"/>
              <w:rPr>
                <w:rFonts w:ascii="Arial" w:eastAsia="Arial Unicode MS" w:hAnsi="Arial" w:cs="Arial"/>
                <w:sz w:val="24"/>
                <w:szCs w:val="24"/>
              </w:rPr>
            </w:pPr>
            <w:r w:rsidRPr="00D00CC9">
              <w:rPr>
                <w:rFonts w:ascii="Arial" w:hAnsi="Arial" w:cs="Arial"/>
                <w:sz w:val="24"/>
                <w:szCs w:val="24"/>
              </w:rPr>
              <w:t>Activos Productivos/Pasivos con Costo</w:t>
            </w:r>
          </w:p>
        </w:tc>
      </w:tr>
    </w:tbl>
    <w:p w14:paraId="4255BF03" w14:textId="77777777" w:rsidR="00BB7434" w:rsidRPr="00D00CC9" w:rsidRDefault="00BB7434" w:rsidP="00BB7434">
      <w:pPr>
        <w:spacing w:after="0" w:line="240" w:lineRule="auto"/>
        <w:jc w:val="both"/>
        <w:rPr>
          <w:rFonts w:ascii="Arial" w:hAnsi="Arial" w:cs="Arial"/>
          <w:snapToGrid w:val="0"/>
          <w:sz w:val="24"/>
          <w:szCs w:val="24"/>
        </w:rPr>
      </w:pPr>
    </w:p>
    <w:p w14:paraId="153C0A13" w14:textId="7E6F317D" w:rsidR="007F6DB9" w:rsidRPr="00C6298D" w:rsidRDefault="00BB7434" w:rsidP="00C6298D">
      <w:pPr>
        <w:spacing w:after="0" w:line="240" w:lineRule="auto"/>
        <w:jc w:val="both"/>
        <w:rPr>
          <w:rFonts w:ascii="Arial" w:hAnsi="Arial" w:cs="Arial"/>
          <w:snapToGrid w:val="0"/>
          <w:sz w:val="24"/>
          <w:szCs w:val="24"/>
        </w:rPr>
      </w:pPr>
      <w:r w:rsidRPr="00D00CC9">
        <w:rPr>
          <w:rFonts w:ascii="Arial" w:hAnsi="Arial" w:cs="Arial"/>
          <w:snapToGrid w:val="0"/>
          <w:sz w:val="24"/>
          <w:szCs w:val="24"/>
        </w:rPr>
        <w:t>Variables Cualitativas: CAMEL incluye como indicador cualitativo relevante la calificación de las Sociedades Calificadoras de Riesgo, el cual es utilizado como factor adicional para el modelo.</w:t>
      </w:r>
    </w:p>
    <w:sectPr w:rsidR="007F6DB9" w:rsidRPr="00C6298D" w:rsidSect="00D00C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22F2" w14:textId="77777777" w:rsidR="004765C6" w:rsidRDefault="004765C6" w:rsidP="00962017">
      <w:pPr>
        <w:spacing w:after="0" w:line="240" w:lineRule="auto"/>
      </w:pPr>
      <w:r>
        <w:separator/>
      </w:r>
    </w:p>
  </w:endnote>
  <w:endnote w:type="continuationSeparator" w:id="0">
    <w:p w14:paraId="37A8A7DC" w14:textId="77777777" w:rsidR="004765C6" w:rsidRDefault="004765C6"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etropolis">
    <w:altName w:val="Arial"/>
    <w:panose1 w:val="00000000000000000000"/>
    <w:charset w:val="00"/>
    <w:family w:val="modern"/>
    <w:notTrueType/>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AFFB" w14:textId="787D66C4" w:rsidR="000F27D5" w:rsidRPr="00D00CC9" w:rsidRDefault="00D00CC9" w:rsidP="00D00CC9">
    <w:pPr>
      <w:pStyle w:val="Piedepgina1"/>
      <w:jc w:val="center"/>
      <w:rPr>
        <w:rFonts w:ascii="Arial" w:hAnsi="Arial"/>
        <w:color w:val="BFBFBF" w:themeColor="background1" w:themeShade="BF"/>
        <w:sz w:val="18"/>
        <w:szCs w:val="18"/>
      </w:rPr>
    </w:pPr>
    <w:bookmarkStart w:id="3"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E62D" w14:textId="77777777" w:rsidR="004765C6" w:rsidRDefault="004765C6" w:rsidP="00962017">
      <w:pPr>
        <w:spacing w:after="0" w:line="240" w:lineRule="auto"/>
      </w:pPr>
      <w:r>
        <w:separator/>
      </w:r>
    </w:p>
  </w:footnote>
  <w:footnote w:type="continuationSeparator" w:id="0">
    <w:p w14:paraId="43CB08FA" w14:textId="77777777" w:rsidR="004765C6" w:rsidRDefault="004765C6" w:rsidP="00962017">
      <w:pPr>
        <w:spacing w:after="0" w:line="240" w:lineRule="auto"/>
      </w:pPr>
      <w:r>
        <w:continuationSeparator/>
      </w:r>
    </w:p>
  </w:footnote>
  <w:footnote w:id="1">
    <w:p w14:paraId="2E4E918A" w14:textId="77777777" w:rsidR="007A6845" w:rsidRPr="000A34B6" w:rsidRDefault="007A6845" w:rsidP="007A6845">
      <w:r w:rsidRPr="00F651BA">
        <w:rPr>
          <w:rStyle w:val="Refdenotaalpie"/>
          <w:sz w:val="14"/>
          <w:szCs w:val="12"/>
        </w:rPr>
        <w:footnoteRef/>
      </w:r>
      <w:r w:rsidRPr="00F651BA">
        <w:rPr>
          <w:sz w:val="14"/>
          <w:szCs w:val="12"/>
        </w:rPr>
        <w:t xml:space="preserve"> “El Patrimonio Técnico corresponde a la suma del patrimonio básico más el patrimonio adicional. El patrimonio adicional solo puede sumar hasta el 100% del patrimonio básico.” Superintendencia Bancaria</w:t>
      </w:r>
      <w:r w:rsidRPr="00C0528A">
        <w:t>.</w:t>
      </w:r>
    </w:p>
    <w:p w14:paraId="17322C35" w14:textId="77777777" w:rsidR="007A6845" w:rsidRPr="000A34B6" w:rsidRDefault="007A6845" w:rsidP="007A6845">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1067"/>
      <w:gridCol w:w="10"/>
      <w:gridCol w:w="867"/>
      <w:gridCol w:w="317"/>
      <w:gridCol w:w="917"/>
      <w:gridCol w:w="987"/>
      <w:gridCol w:w="797"/>
      <w:gridCol w:w="1476"/>
    </w:tblGrid>
    <w:tr w:rsidR="00D00CC9" w:rsidRPr="0099063E" w14:paraId="0E6FB549" w14:textId="77777777" w:rsidTr="00A2700A">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CEF16" w14:textId="77777777" w:rsidR="00D00CC9" w:rsidRPr="00056E74" w:rsidRDefault="00D00CC9" w:rsidP="00D00CC9">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6B816D9C" wp14:editId="5F56F740">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F1DD" w14:textId="77777777"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9878113" w14:textId="77777777"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D00CC9" w:rsidRPr="0099063E" w14:paraId="6BC9566C" w14:textId="77777777" w:rsidTr="00A2700A">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8A5CE7" w14:textId="77777777" w:rsidR="00D00CC9" w:rsidRPr="00056E74" w:rsidRDefault="00D00CC9" w:rsidP="00D00CC9">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AEA46" w14:textId="77777777" w:rsidR="00D00CC9" w:rsidRPr="00056E74" w:rsidRDefault="00D00CC9" w:rsidP="00D00CC9">
          <w:pPr>
            <w:spacing w:after="0"/>
            <w:rPr>
              <w:rFonts w:ascii="Arial" w:eastAsia="Times New Roman" w:hAnsi="Arial" w:cs="Arial"/>
              <w:b/>
              <w:sz w:val="18"/>
              <w:szCs w:val="18"/>
            </w:rPr>
          </w:pPr>
          <w:r>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9A700D" w14:textId="1777B184" w:rsidR="00D00CC9" w:rsidRPr="00056E74" w:rsidRDefault="00D00CC9" w:rsidP="00D00CC9">
          <w:pPr>
            <w:spacing w:after="0"/>
            <w:jc w:val="both"/>
            <w:rPr>
              <w:rFonts w:ascii="Arial" w:eastAsia="Times New Roman" w:hAnsi="Arial" w:cs="Arial"/>
              <w:b/>
              <w:sz w:val="18"/>
              <w:szCs w:val="18"/>
            </w:rPr>
          </w:pPr>
          <w:r w:rsidRPr="00D00CC9">
            <w:rPr>
              <w:rFonts w:ascii="Arial" w:eastAsia="Times New Roman" w:hAnsi="Arial" w:cs="Arial"/>
              <w:b/>
              <w:sz w:val="18"/>
              <w:szCs w:val="18"/>
            </w:rPr>
            <w:t>MANUAL APLICACIÓN MODELO CAMEL PARA ANÁLISIS DE RIESGO EMISOR – DEPOSITARIO Y CONTRAPARTE</w:t>
          </w:r>
        </w:p>
      </w:tc>
    </w:tr>
    <w:tr w:rsidR="00D00CC9" w:rsidRPr="0099063E" w14:paraId="6048FF92" w14:textId="77777777" w:rsidTr="00A2700A">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60553D0" w14:textId="77777777" w:rsidR="00D00CC9" w:rsidRPr="00056E74" w:rsidRDefault="00D00CC9" w:rsidP="00D00CC9">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D1FAA"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49313" w14:textId="4282F30C"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10</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B2355"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74F24"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3FB0F"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4644" w14:textId="77777777" w:rsidR="00D00CC9" w:rsidRPr="00056E74" w:rsidRDefault="00D00CC9" w:rsidP="00D00CC9">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B740D"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FC5ED" w14:textId="77777777" w:rsidR="00D00CC9" w:rsidRPr="00056E74" w:rsidRDefault="00D00CC9" w:rsidP="00D00CC9">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34C4C913" w14:textId="77777777" w:rsidR="000F27D5" w:rsidRDefault="000F27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94"/>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610344"/>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42CC0"/>
    <w:multiLevelType w:val="hybridMultilevel"/>
    <w:tmpl w:val="36F49CFA"/>
    <w:lvl w:ilvl="0" w:tplc="240A0019">
      <w:start w:val="1"/>
      <w:numFmt w:val="lowerLetter"/>
      <w:lvlText w:val="%1."/>
      <w:lvlJc w:val="left"/>
      <w:pPr>
        <w:ind w:left="720" w:hanging="360"/>
      </w:pPr>
      <w:rPr>
        <w:sz w:val="18"/>
        <w:szCs w:val="18"/>
      </w:rPr>
    </w:lvl>
    <w:lvl w:ilvl="1" w:tplc="CEB0AF1C">
      <w:start w:val="1"/>
      <w:numFmt w:val="lowerRoman"/>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B10B9"/>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A50A6"/>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8332B8"/>
    <w:multiLevelType w:val="hybridMultilevel"/>
    <w:tmpl w:val="05F00168"/>
    <w:lvl w:ilvl="0" w:tplc="A0264EF8">
      <w:start w:val="2"/>
      <w:numFmt w:val="bullet"/>
      <w:lvlText w:val="-"/>
      <w:lvlJc w:val="left"/>
      <w:pPr>
        <w:ind w:left="720" w:hanging="360"/>
      </w:pPr>
      <w:rPr>
        <w:rFonts w:ascii="Arial" w:eastAsia="MS Mincho"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280335"/>
    <w:multiLevelType w:val="hybridMultilevel"/>
    <w:tmpl w:val="71DC6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 w15:restartNumberingAfterBreak="0">
    <w:nsid w:val="4AA55325"/>
    <w:multiLevelType w:val="hybridMultilevel"/>
    <w:tmpl w:val="11BC9E38"/>
    <w:lvl w:ilvl="0" w:tplc="0409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203DB0"/>
    <w:multiLevelType w:val="multilevel"/>
    <w:tmpl w:val="99AC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Metropolis" w:hAnsi="Metropolis"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AA9557A"/>
    <w:multiLevelType w:val="hybridMultilevel"/>
    <w:tmpl w:val="59B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A299D"/>
    <w:multiLevelType w:val="singleLevel"/>
    <w:tmpl w:val="03C044BE"/>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C767267"/>
    <w:multiLevelType w:val="hybridMultilevel"/>
    <w:tmpl w:val="3E7EC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0A1869"/>
    <w:multiLevelType w:val="hybridMultilevel"/>
    <w:tmpl w:val="6A48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34BED"/>
    <w:multiLevelType w:val="hybridMultilevel"/>
    <w:tmpl w:val="AB14C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7B00B98"/>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0062A2"/>
    <w:multiLevelType w:val="hybridMultilevel"/>
    <w:tmpl w:val="67A2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23C32"/>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2BC6F98"/>
    <w:multiLevelType w:val="multilevel"/>
    <w:tmpl w:val="99AC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Metropolis" w:hAnsi="Metropolis"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E63732"/>
    <w:multiLevelType w:val="hybridMultilevel"/>
    <w:tmpl w:val="55F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98376096">
    <w:abstractNumId w:val="19"/>
  </w:num>
  <w:num w:numId="2" w16cid:durableId="1979458239">
    <w:abstractNumId w:val="23"/>
  </w:num>
  <w:num w:numId="3" w16cid:durableId="637034485">
    <w:abstractNumId w:val="10"/>
  </w:num>
  <w:num w:numId="4" w16cid:durableId="222063366">
    <w:abstractNumId w:val="8"/>
  </w:num>
  <w:num w:numId="5" w16cid:durableId="88352656">
    <w:abstractNumId w:val="5"/>
  </w:num>
  <w:num w:numId="6" w16cid:durableId="1815440878">
    <w:abstractNumId w:val="14"/>
  </w:num>
  <w:num w:numId="7" w16cid:durableId="209418552">
    <w:abstractNumId w:val="25"/>
  </w:num>
  <w:num w:numId="8" w16cid:durableId="753623991">
    <w:abstractNumId w:val="2"/>
  </w:num>
  <w:num w:numId="9" w16cid:durableId="540098765">
    <w:abstractNumId w:val="12"/>
  </w:num>
  <w:num w:numId="10" w16cid:durableId="822352525">
    <w:abstractNumId w:val="15"/>
  </w:num>
  <w:num w:numId="11" w16cid:durableId="1481776054">
    <w:abstractNumId w:val="18"/>
  </w:num>
  <w:num w:numId="12" w16cid:durableId="1320113314">
    <w:abstractNumId w:val="1"/>
  </w:num>
  <w:num w:numId="13" w16cid:durableId="606235699">
    <w:abstractNumId w:val="4"/>
  </w:num>
  <w:num w:numId="14" w16cid:durableId="730810309">
    <w:abstractNumId w:val="9"/>
  </w:num>
  <w:num w:numId="15" w16cid:durableId="81462613">
    <w:abstractNumId w:val="17"/>
  </w:num>
  <w:num w:numId="16" w16cid:durableId="1285111441">
    <w:abstractNumId w:val="21"/>
  </w:num>
  <w:num w:numId="17" w16cid:durableId="2026521131">
    <w:abstractNumId w:val="13"/>
  </w:num>
  <w:num w:numId="18" w16cid:durableId="765274628">
    <w:abstractNumId w:val="7"/>
  </w:num>
  <w:num w:numId="19" w16cid:durableId="358163781">
    <w:abstractNumId w:val="24"/>
  </w:num>
  <w:num w:numId="20" w16cid:durableId="32922537">
    <w:abstractNumId w:val="20"/>
  </w:num>
  <w:num w:numId="21" w16cid:durableId="679813394">
    <w:abstractNumId w:val="22"/>
  </w:num>
  <w:num w:numId="22" w16cid:durableId="1538279185">
    <w:abstractNumId w:val="0"/>
  </w:num>
  <w:num w:numId="23" w16cid:durableId="449982577">
    <w:abstractNumId w:val="6"/>
  </w:num>
  <w:num w:numId="24" w16cid:durableId="387145556">
    <w:abstractNumId w:val="16"/>
  </w:num>
  <w:num w:numId="25" w16cid:durableId="507446748">
    <w:abstractNumId w:val="11"/>
  </w:num>
  <w:num w:numId="26" w16cid:durableId="183522055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2E18"/>
    <w:rsid w:val="00004377"/>
    <w:rsid w:val="00014937"/>
    <w:rsid w:val="00017032"/>
    <w:rsid w:val="00020FAD"/>
    <w:rsid w:val="00033AC1"/>
    <w:rsid w:val="000400EA"/>
    <w:rsid w:val="0004501B"/>
    <w:rsid w:val="0004780A"/>
    <w:rsid w:val="00052C4C"/>
    <w:rsid w:val="00066CEC"/>
    <w:rsid w:val="00074185"/>
    <w:rsid w:val="00074C13"/>
    <w:rsid w:val="00075942"/>
    <w:rsid w:val="0008130F"/>
    <w:rsid w:val="00081A80"/>
    <w:rsid w:val="00087381"/>
    <w:rsid w:val="00087B3B"/>
    <w:rsid w:val="000A0B90"/>
    <w:rsid w:val="000A35EF"/>
    <w:rsid w:val="000A4F9C"/>
    <w:rsid w:val="000A68B1"/>
    <w:rsid w:val="000B1B46"/>
    <w:rsid w:val="000B5908"/>
    <w:rsid w:val="000B6A68"/>
    <w:rsid w:val="000C1BCE"/>
    <w:rsid w:val="000C2528"/>
    <w:rsid w:val="000C2CCB"/>
    <w:rsid w:val="000C4A02"/>
    <w:rsid w:val="000D07D5"/>
    <w:rsid w:val="000D1B4B"/>
    <w:rsid w:val="000D59E4"/>
    <w:rsid w:val="000E0028"/>
    <w:rsid w:val="000E3A72"/>
    <w:rsid w:val="000F0527"/>
    <w:rsid w:val="000F2402"/>
    <w:rsid w:val="000F27D5"/>
    <w:rsid w:val="001008E8"/>
    <w:rsid w:val="0010196D"/>
    <w:rsid w:val="001020B9"/>
    <w:rsid w:val="00122553"/>
    <w:rsid w:val="00122E85"/>
    <w:rsid w:val="0012459C"/>
    <w:rsid w:val="00126B10"/>
    <w:rsid w:val="00137F0E"/>
    <w:rsid w:val="001704D5"/>
    <w:rsid w:val="00175E50"/>
    <w:rsid w:val="00180EA9"/>
    <w:rsid w:val="00191BD0"/>
    <w:rsid w:val="001A2E82"/>
    <w:rsid w:val="001A3D2D"/>
    <w:rsid w:val="001A61CD"/>
    <w:rsid w:val="001B574A"/>
    <w:rsid w:val="001C3465"/>
    <w:rsid w:val="001D0358"/>
    <w:rsid w:val="001D3DB7"/>
    <w:rsid w:val="001E202B"/>
    <w:rsid w:val="001E2075"/>
    <w:rsid w:val="001E43A6"/>
    <w:rsid w:val="001E4502"/>
    <w:rsid w:val="001E523A"/>
    <w:rsid w:val="001F4345"/>
    <w:rsid w:val="001F5A2B"/>
    <w:rsid w:val="0020387A"/>
    <w:rsid w:val="0021662C"/>
    <w:rsid w:val="002217A6"/>
    <w:rsid w:val="00222521"/>
    <w:rsid w:val="00230D0D"/>
    <w:rsid w:val="00232732"/>
    <w:rsid w:val="00232837"/>
    <w:rsid w:val="00233754"/>
    <w:rsid w:val="00237DF6"/>
    <w:rsid w:val="00243D24"/>
    <w:rsid w:val="00252597"/>
    <w:rsid w:val="0025415C"/>
    <w:rsid w:val="00256E49"/>
    <w:rsid w:val="00267047"/>
    <w:rsid w:val="00272F3A"/>
    <w:rsid w:val="002731FC"/>
    <w:rsid w:val="00273E76"/>
    <w:rsid w:val="00276A11"/>
    <w:rsid w:val="00281821"/>
    <w:rsid w:val="00283C95"/>
    <w:rsid w:val="002A4147"/>
    <w:rsid w:val="002A611E"/>
    <w:rsid w:val="002A7804"/>
    <w:rsid w:val="002B385C"/>
    <w:rsid w:val="002B7965"/>
    <w:rsid w:val="002C22F2"/>
    <w:rsid w:val="002D2284"/>
    <w:rsid w:val="002D6A51"/>
    <w:rsid w:val="002E0847"/>
    <w:rsid w:val="002E6139"/>
    <w:rsid w:val="002F5E7B"/>
    <w:rsid w:val="002F6875"/>
    <w:rsid w:val="002F7E26"/>
    <w:rsid w:val="00301FD4"/>
    <w:rsid w:val="003116CB"/>
    <w:rsid w:val="0031603F"/>
    <w:rsid w:val="00322E54"/>
    <w:rsid w:val="00327534"/>
    <w:rsid w:val="00327551"/>
    <w:rsid w:val="00331FEA"/>
    <w:rsid w:val="00333E0A"/>
    <w:rsid w:val="00335845"/>
    <w:rsid w:val="00335C34"/>
    <w:rsid w:val="00347662"/>
    <w:rsid w:val="00352C76"/>
    <w:rsid w:val="0035326B"/>
    <w:rsid w:val="00355C38"/>
    <w:rsid w:val="00356F87"/>
    <w:rsid w:val="003630E4"/>
    <w:rsid w:val="00371489"/>
    <w:rsid w:val="0039393E"/>
    <w:rsid w:val="003A29BC"/>
    <w:rsid w:val="003B4DEF"/>
    <w:rsid w:val="003B7FC2"/>
    <w:rsid w:val="003E1D5C"/>
    <w:rsid w:val="003E32CD"/>
    <w:rsid w:val="00402E32"/>
    <w:rsid w:val="00404968"/>
    <w:rsid w:val="004115C7"/>
    <w:rsid w:val="00411AF2"/>
    <w:rsid w:val="004159ED"/>
    <w:rsid w:val="00417A83"/>
    <w:rsid w:val="004275AC"/>
    <w:rsid w:val="004316BC"/>
    <w:rsid w:val="0043467E"/>
    <w:rsid w:val="004400E9"/>
    <w:rsid w:val="004404AE"/>
    <w:rsid w:val="00442967"/>
    <w:rsid w:val="00444045"/>
    <w:rsid w:val="004470CE"/>
    <w:rsid w:val="0045356D"/>
    <w:rsid w:val="0045562A"/>
    <w:rsid w:val="00462039"/>
    <w:rsid w:val="004629CA"/>
    <w:rsid w:val="0046378C"/>
    <w:rsid w:val="00467222"/>
    <w:rsid w:val="004719C0"/>
    <w:rsid w:val="00473971"/>
    <w:rsid w:val="004759B9"/>
    <w:rsid w:val="004762D6"/>
    <w:rsid w:val="004765C6"/>
    <w:rsid w:val="0047741B"/>
    <w:rsid w:val="00480E50"/>
    <w:rsid w:val="004812E5"/>
    <w:rsid w:val="0048199A"/>
    <w:rsid w:val="00483088"/>
    <w:rsid w:val="00484CAD"/>
    <w:rsid w:val="004A6DD8"/>
    <w:rsid w:val="004B08BA"/>
    <w:rsid w:val="004B1F40"/>
    <w:rsid w:val="004B3C92"/>
    <w:rsid w:val="004B66EB"/>
    <w:rsid w:val="004B6BA1"/>
    <w:rsid w:val="004C196F"/>
    <w:rsid w:val="004C771B"/>
    <w:rsid w:val="004D30C1"/>
    <w:rsid w:val="004D7579"/>
    <w:rsid w:val="004E09EB"/>
    <w:rsid w:val="004E2FD6"/>
    <w:rsid w:val="004E7749"/>
    <w:rsid w:val="0051093C"/>
    <w:rsid w:val="00514D0B"/>
    <w:rsid w:val="005217B2"/>
    <w:rsid w:val="00530EDB"/>
    <w:rsid w:val="005343F9"/>
    <w:rsid w:val="00543E86"/>
    <w:rsid w:val="005451C9"/>
    <w:rsid w:val="005471E8"/>
    <w:rsid w:val="00554C51"/>
    <w:rsid w:val="00554F18"/>
    <w:rsid w:val="00556CAD"/>
    <w:rsid w:val="0055767A"/>
    <w:rsid w:val="005623EF"/>
    <w:rsid w:val="00572EBC"/>
    <w:rsid w:val="00575F3D"/>
    <w:rsid w:val="005778DB"/>
    <w:rsid w:val="00581FA9"/>
    <w:rsid w:val="00582554"/>
    <w:rsid w:val="00587273"/>
    <w:rsid w:val="00594B0F"/>
    <w:rsid w:val="00597066"/>
    <w:rsid w:val="005B4896"/>
    <w:rsid w:val="005C014D"/>
    <w:rsid w:val="005C6968"/>
    <w:rsid w:val="005C7814"/>
    <w:rsid w:val="005D496B"/>
    <w:rsid w:val="005E0BE4"/>
    <w:rsid w:val="005E50DC"/>
    <w:rsid w:val="005E577E"/>
    <w:rsid w:val="005F632A"/>
    <w:rsid w:val="005F63A4"/>
    <w:rsid w:val="005F7187"/>
    <w:rsid w:val="00601326"/>
    <w:rsid w:val="006017D6"/>
    <w:rsid w:val="00604BE2"/>
    <w:rsid w:val="00610274"/>
    <w:rsid w:val="00632126"/>
    <w:rsid w:val="006406A8"/>
    <w:rsid w:val="00641259"/>
    <w:rsid w:val="006442E6"/>
    <w:rsid w:val="006474BB"/>
    <w:rsid w:val="00650B6B"/>
    <w:rsid w:val="006548DA"/>
    <w:rsid w:val="00660DB5"/>
    <w:rsid w:val="00664AED"/>
    <w:rsid w:val="006709B3"/>
    <w:rsid w:val="006738BA"/>
    <w:rsid w:val="006744B1"/>
    <w:rsid w:val="006837FE"/>
    <w:rsid w:val="006844EC"/>
    <w:rsid w:val="00692C94"/>
    <w:rsid w:val="006A22E4"/>
    <w:rsid w:val="006A29EE"/>
    <w:rsid w:val="006A6CC7"/>
    <w:rsid w:val="006B1AEB"/>
    <w:rsid w:val="006C3C94"/>
    <w:rsid w:val="006C5EE0"/>
    <w:rsid w:val="006C7F6D"/>
    <w:rsid w:val="006D2DF6"/>
    <w:rsid w:val="006E2DD4"/>
    <w:rsid w:val="006E7751"/>
    <w:rsid w:val="006F52B4"/>
    <w:rsid w:val="006F6911"/>
    <w:rsid w:val="006F7CE5"/>
    <w:rsid w:val="007055AC"/>
    <w:rsid w:val="00706F6D"/>
    <w:rsid w:val="00714AA3"/>
    <w:rsid w:val="00734F3E"/>
    <w:rsid w:val="00734FCC"/>
    <w:rsid w:val="007517B1"/>
    <w:rsid w:val="00755C44"/>
    <w:rsid w:val="00771EA9"/>
    <w:rsid w:val="00786B33"/>
    <w:rsid w:val="00786EB1"/>
    <w:rsid w:val="00787848"/>
    <w:rsid w:val="00792634"/>
    <w:rsid w:val="00793477"/>
    <w:rsid w:val="007941FE"/>
    <w:rsid w:val="007A3CC7"/>
    <w:rsid w:val="007A6730"/>
    <w:rsid w:val="007A6845"/>
    <w:rsid w:val="007A7CA1"/>
    <w:rsid w:val="007B2B15"/>
    <w:rsid w:val="007B2CFE"/>
    <w:rsid w:val="007B49BD"/>
    <w:rsid w:val="007C49DC"/>
    <w:rsid w:val="007D0B78"/>
    <w:rsid w:val="007D7476"/>
    <w:rsid w:val="007E3B9C"/>
    <w:rsid w:val="007E3D50"/>
    <w:rsid w:val="007E4983"/>
    <w:rsid w:val="007F111D"/>
    <w:rsid w:val="007F2A91"/>
    <w:rsid w:val="007F69E4"/>
    <w:rsid w:val="007F6A83"/>
    <w:rsid w:val="007F6DB9"/>
    <w:rsid w:val="00800532"/>
    <w:rsid w:val="0080266D"/>
    <w:rsid w:val="00804FA0"/>
    <w:rsid w:val="0080722D"/>
    <w:rsid w:val="00811534"/>
    <w:rsid w:val="00811A5A"/>
    <w:rsid w:val="00821E81"/>
    <w:rsid w:val="00824417"/>
    <w:rsid w:val="00830A2E"/>
    <w:rsid w:val="00830FC4"/>
    <w:rsid w:val="00831BD9"/>
    <w:rsid w:val="00834802"/>
    <w:rsid w:val="00845787"/>
    <w:rsid w:val="00857C21"/>
    <w:rsid w:val="00867700"/>
    <w:rsid w:val="008714F1"/>
    <w:rsid w:val="0087405B"/>
    <w:rsid w:val="00876507"/>
    <w:rsid w:val="00885B86"/>
    <w:rsid w:val="00894296"/>
    <w:rsid w:val="00894D87"/>
    <w:rsid w:val="008A5F18"/>
    <w:rsid w:val="008B7A7C"/>
    <w:rsid w:val="008C020C"/>
    <w:rsid w:val="008C04FB"/>
    <w:rsid w:val="008D3450"/>
    <w:rsid w:val="008F2FC5"/>
    <w:rsid w:val="008F5E0E"/>
    <w:rsid w:val="008F766A"/>
    <w:rsid w:val="009028F6"/>
    <w:rsid w:val="00902FE2"/>
    <w:rsid w:val="009031D1"/>
    <w:rsid w:val="009118B4"/>
    <w:rsid w:val="00915772"/>
    <w:rsid w:val="00921726"/>
    <w:rsid w:val="0092234C"/>
    <w:rsid w:val="00923277"/>
    <w:rsid w:val="00926E9A"/>
    <w:rsid w:val="009303F2"/>
    <w:rsid w:val="00935E98"/>
    <w:rsid w:val="009368AC"/>
    <w:rsid w:val="00937025"/>
    <w:rsid w:val="00942913"/>
    <w:rsid w:val="0095366B"/>
    <w:rsid w:val="00954B0E"/>
    <w:rsid w:val="00956853"/>
    <w:rsid w:val="00962017"/>
    <w:rsid w:val="00973841"/>
    <w:rsid w:val="00986106"/>
    <w:rsid w:val="009939AC"/>
    <w:rsid w:val="009A3C86"/>
    <w:rsid w:val="009A6FA6"/>
    <w:rsid w:val="009B2E95"/>
    <w:rsid w:val="009C7C9E"/>
    <w:rsid w:val="009D5637"/>
    <w:rsid w:val="009D5C97"/>
    <w:rsid w:val="009D6E46"/>
    <w:rsid w:val="009D70BB"/>
    <w:rsid w:val="009D7249"/>
    <w:rsid w:val="009E13A7"/>
    <w:rsid w:val="00A04376"/>
    <w:rsid w:val="00A055E1"/>
    <w:rsid w:val="00A14254"/>
    <w:rsid w:val="00A20D2B"/>
    <w:rsid w:val="00A214C2"/>
    <w:rsid w:val="00A214D1"/>
    <w:rsid w:val="00A252DD"/>
    <w:rsid w:val="00A35C8D"/>
    <w:rsid w:val="00A35F86"/>
    <w:rsid w:val="00A41CE4"/>
    <w:rsid w:val="00A43E4D"/>
    <w:rsid w:val="00A54DF6"/>
    <w:rsid w:val="00A570DD"/>
    <w:rsid w:val="00A60DAF"/>
    <w:rsid w:val="00A62CAA"/>
    <w:rsid w:val="00A63366"/>
    <w:rsid w:val="00A726A2"/>
    <w:rsid w:val="00A74F39"/>
    <w:rsid w:val="00A75D42"/>
    <w:rsid w:val="00A7725F"/>
    <w:rsid w:val="00A8694F"/>
    <w:rsid w:val="00A97669"/>
    <w:rsid w:val="00AA6C5B"/>
    <w:rsid w:val="00AC6D75"/>
    <w:rsid w:val="00AD11CD"/>
    <w:rsid w:val="00AD5C09"/>
    <w:rsid w:val="00AD7981"/>
    <w:rsid w:val="00AE0651"/>
    <w:rsid w:val="00AE73D3"/>
    <w:rsid w:val="00AF1520"/>
    <w:rsid w:val="00AF16C0"/>
    <w:rsid w:val="00B006A1"/>
    <w:rsid w:val="00B21ECE"/>
    <w:rsid w:val="00B24306"/>
    <w:rsid w:val="00B24741"/>
    <w:rsid w:val="00B2722F"/>
    <w:rsid w:val="00B32D5F"/>
    <w:rsid w:val="00B333D9"/>
    <w:rsid w:val="00B337C4"/>
    <w:rsid w:val="00B52977"/>
    <w:rsid w:val="00B575B4"/>
    <w:rsid w:val="00B6236F"/>
    <w:rsid w:val="00B668FF"/>
    <w:rsid w:val="00B73A36"/>
    <w:rsid w:val="00B8256D"/>
    <w:rsid w:val="00B8657C"/>
    <w:rsid w:val="00B90888"/>
    <w:rsid w:val="00B93B10"/>
    <w:rsid w:val="00B97527"/>
    <w:rsid w:val="00BA02D8"/>
    <w:rsid w:val="00BB3E10"/>
    <w:rsid w:val="00BB4DC8"/>
    <w:rsid w:val="00BB7434"/>
    <w:rsid w:val="00BC127A"/>
    <w:rsid w:val="00BC3C6B"/>
    <w:rsid w:val="00BC6F0F"/>
    <w:rsid w:val="00BD3D57"/>
    <w:rsid w:val="00BD52F5"/>
    <w:rsid w:val="00BE083B"/>
    <w:rsid w:val="00BE4611"/>
    <w:rsid w:val="00BF297B"/>
    <w:rsid w:val="00BF6F3A"/>
    <w:rsid w:val="00C05ABC"/>
    <w:rsid w:val="00C1277D"/>
    <w:rsid w:val="00C20C80"/>
    <w:rsid w:val="00C24875"/>
    <w:rsid w:val="00C32A75"/>
    <w:rsid w:val="00C34F7E"/>
    <w:rsid w:val="00C354E0"/>
    <w:rsid w:val="00C3745B"/>
    <w:rsid w:val="00C37D90"/>
    <w:rsid w:val="00C424E6"/>
    <w:rsid w:val="00C54AF3"/>
    <w:rsid w:val="00C6298D"/>
    <w:rsid w:val="00C73682"/>
    <w:rsid w:val="00C73808"/>
    <w:rsid w:val="00C7662D"/>
    <w:rsid w:val="00C80FFE"/>
    <w:rsid w:val="00C864A3"/>
    <w:rsid w:val="00CA2248"/>
    <w:rsid w:val="00CA4FC5"/>
    <w:rsid w:val="00CB1A8B"/>
    <w:rsid w:val="00CB2303"/>
    <w:rsid w:val="00CB385A"/>
    <w:rsid w:val="00CB677B"/>
    <w:rsid w:val="00CC0451"/>
    <w:rsid w:val="00CC49F9"/>
    <w:rsid w:val="00CC6F7D"/>
    <w:rsid w:val="00CD1598"/>
    <w:rsid w:val="00CD53A8"/>
    <w:rsid w:val="00CD6CDB"/>
    <w:rsid w:val="00CE0417"/>
    <w:rsid w:val="00CE526F"/>
    <w:rsid w:val="00CE6094"/>
    <w:rsid w:val="00D00CC9"/>
    <w:rsid w:val="00D0459A"/>
    <w:rsid w:val="00D05702"/>
    <w:rsid w:val="00D064B1"/>
    <w:rsid w:val="00D07631"/>
    <w:rsid w:val="00D24368"/>
    <w:rsid w:val="00D25FC4"/>
    <w:rsid w:val="00D2687C"/>
    <w:rsid w:val="00D27492"/>
    <w:rsid w:val="00D3701B"/>
    <w:rsid w:val="00D375AF"/>
    <w:rsid w:val="00D42DA9"/>
    <w:rsid w:val="00D453E5"/>
    <w:rsid w:val="00D5470F"/>
    <w:rsid w:val="00D551D1"/>
    <w:rsid w:val="00D62958"/>
    <w:rsid w:val="00D72868"/>
    <w:rsid w:val="00DA21E9"/>
    <w:rsid w:val="00DA4AD2"/>
    <w:rsid w:val="00DA68A9"/>
    <w:rsid w:val="00DB5215"/>
    <w:rsid w:val="00DC017A"/>
    <w:rsid w:val="00DC6B15"/>
    <w:rsid w:val="00DD4922"/>
    <w:rsid w:val="00DE2071"/>
    <w:rsid w:val="00DE45CF"/>
    <w:rsid w:val="00DE6963"/>
    <w:rsid w:val="00E03013"/>
    <w:rsid w:val="00E030BB"/>
    <w:rsid w:val="00E05074"/>
    <w:rsid w:val="00E13AF0"/>
    <w:rsid w:val="00E153A6"/>
    <w:rsid w:val="00E16FAD"/>
    <w:rsid w:val="00E22324"/>
    <w:rsid w:val="00E2566E"/>
    <w:rsid w:val="00E30BFC"/>
    <w:rsid w:val="00E30C05"/>
    <w:rsid w:val="00E45A75"/>
    <w:rsid w:val="00E45ADB"/>
    <w:rsid w:val="00E55117"/>
    <w:rsid w:val="00E5612F"/>
    <w:rsid w:val="00E648E6"/>
    <w:rsid w:val="00E65048"/>
    <w:rsid w:val="00E71CA3"/>
    <w:rsid w:val="00E84D9C"/>
    <w:rsid w:val="00EA06A1"/>
    <w:rsid w:val="00EA13C2"/>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25E7"/>
    <w:rsid w:val="00F149BA"/>
    <w:rsid w:val="00F15F89"/>
    <w:rsid w:val="00F32847"/>
    <w:rsid w:val="00F34C6D"/>
    <w:rsid w:val="00F3766A"/>
    <w:rsid w:val="00F427E7"/>
    <w:rsid w:val="00F4467E"/>
    <w:rsid w:val="00F50480"/>
    <w:rsid w:val="00F70E72"/>
    <w:rsid w:val="00F730BD"/>
    <w:rsid w:val="00F759BE"/>
    <w:rsid w:val="00F77099"/>
    <w:rsid w:val="00F77CD5"/>
    <w:rsid w:val="00F77DC3"/>
    <w:rsid w:val="00F91655"/>
    <w:rsid w:val="00F93CAC"/>
    <w:rsid w:val="00F945DD"/>
    <w:rsid w:val="00FA1934"/>
    <w:rsid w:val="00FA3670"/>
    <w:rsid w:val="00FA595B"/>
    <w:rsid w:val="00FA61D8"/>
    <w:rsid w:val="00FB27D0"/>
    <w:rsid w:val="00FB66E6"/>
    <w:rsid w:val="00FD0921"/>
    <w:rsid w:val="00FE2AE9"/>
    <w:rsid w:val="00FE7F37"/>
    <w:rsid w:val="00FF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9080F"/>
  <w15:chartTrackingRefBased/>
  <w15:docId w15:val="{A3F69B61-613C-4AB3-9EF5-5A394C2C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semiHidden/>
    <w:unhideWhenUsed/>
    <w:rsid w:val="00962017"/>
    <w:rPr>
      <w:rFonts w:eastAsia="Times New Roman"/>
      <w:sz w:val="20"/>
      <w:szCs w:val="20"/>
    </w:rPr>
  </w:style>
  <w:style w:type="character" w:customStyle="1" w:styleId="TextonotapieCar">
    <w:name w:val="Texto nota pie Car"/>
    <w:link w:val="Textonotapie"/>
    <w:semiHidden/>
    <w:rsid w:val="00962017"/>
    <w:rPr>
      <w:rFonts w:ascii="Calibri" w:eastAsia="Times New Roman" w:hAnsi="Calibri" w:cs="Times New Roman"/>
      <w:sz w:val="20"/>
      <w:szCs w:val="20"/>
    </w:rPr>
  </w:style>
  <w:style w:type="character" w:styleId="Refdenotaalpie">
    <w:name w:val="footnote reference"/>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581FA9"/>
    <w:pPr>
      <w:tabs>
        <w:tab w:val="left" w:pos="440"/>
        <w:tab w:val="right" w:leader="dot" w:pos="8828"/>
      </w:tabs>
      <w:spacing w:before="360"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styleId="Sangradetextonormal">
    <w:name w:val="Body Text Indent"/>
    <w:basedOn w:val="Normal"/>
    <w:link w:val="SangradetextonormalCar"/>
    <w:uiPriority w:val="99"/>
    <w:unhideWhenUsed/>
    <w:rsid w:val="00811534"/>
    <w:pPr>
      <w:spacing w:after="120" w:line="240" w:lineRule="auto"/>
      <w:ind w:left="283"/>
      <w:jc w:val="both"/>
    </w:pPr>
    <w:rPr>
      <w:rFonts w:ascii="Arial" w:eastAsia="MS Mincho" w:hAnsi="Arial"/>
      <w:sz w:val="24"/>
      <w:lang w:val="es-ES"/>
    </w:rPr>
  </w:style>
  <w:style w:type="character" w:customStyle="1" w:styleId="SangradetextonormalCar">
    <w:name w:val="Sangría de texto normal Car"/>
    <w:link w:val="Sangradetextonormal"/>
    <w:uiPriority w:val="99"/>
    <w:rsid w:val="00811534"/>
    <w:rPr>
      <w:rFonts w:ascii="Arial" w:eastAsia="MS Mincho" w:hAnsi="Arial"/>
      <w:sz w:val="24"/>
      <w:szCs w:val="22"/>
      <w:lang w:val="es-ES"/>
    </w:rPr>
  </w:style>
  <w:style w:type="paragraph" w:styleId="Sangra3detindependiente">
    <w:name w:val="Body Text Indent 3"/>
    <w:basedOn w:val="Normal"/>
    <w:link w:val="Sangra3detindependienteCar"/>
    <w:uiPriority w:val="99"/>
    <w:semiHidden/>
    <w:unhideWhenUsed/>
    <w:rsid w:val="004C196F"/>
    <w:pPr>
      <w:spacing w:after="120" w:line="240" w:lineRule="auto"/>
      <w:ind w:left="283"/>
      <w:jc w:val="both"/>
    </w:pPr>
    <w:rPr>
      <w:rFonts w:ascii="Arial" w:eastAsia="MS Mincho" w:hAnsi="Arial"/>
      <w:sz w:val="16"/>
      <w:szCs w:val="16"/>
      <w:lang w:val="es-ES"/>
    </w:rPr>
  </w:style>
  <w:style w:type="character" w:customStyle="1" w:styleId="Sangra3detindependienteCar">
    <w:name w:val="Sangría 3 de t. independiente Car"/>
    <w:link w:val="Sangra3detindependiente"/>
    <w:uiPriority w:val="99"/>
    <w:semiHidden/>
    <w:rsid w:val="004C196F"/>
    <w:rPr>
      <w:rFonts w:ascii="Arial" w:eastAsia="MS Mincho" w:hAnsi="Arial"/>
      <w:sz w:val="16"/>
      <w:szCs w:val="16"/>
      <w:lang w:val="es-ES"/>
    </w:rPr>
  </w:style>
  <w:style w:type="paragraph" w:customStyle="1" w:styleId="Piedepgina1">
    <w:name w:val="Pie de página1"/>
    <w:basedOn w:val="Normal"/>
    <w:next w:val="Piedepgina"/>
    <w:uiPriority w:val="99"/>
    <w:unhideWhenUsed/>
    <w:rsid w:val="00D00CC9"/>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D00CC9"/>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957957583">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8575-37E2-4F6F-B8E7-800B2712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5835</Words>
  <Characters>32097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37857</CharactersWithSpaces>
  <SharedDoc>false</SharedDoc>
  <HLinks>
    <vt:vector size="78" baseType="variant">
      <vt:variant>
        <vt:i4>1572927</vt:i4>
      </vt:variant>
      <vt:variant>
        <vt:i4>74</vt:i4>
      </vt:variant>
      <vt:variant>
        <vt:i4>0</vt:i4>
      </vt:variant>
      <vt:variant>
        <vt:i4>5</vt:i4>
      </vt:variant>
      <vt:variant>
        <vt:lpwstr/>
      </vt:variant>
      <vt:variant>
        <vt:lpwstr>_Toc96174836</vt:lpwstr>
      </vt:variant>
      <vt:variant>
        <vt:i4>1769535</vt:i4>
      </vt:variant>
      <vt:variant>
        <vt:i4>68</vt:i4>
      </vt:variant>
      <vt:variant>
        <vt:i4>0</vt:i4>
      </vt:variant>
      <vt:variant>
        <vt:i4>5</vt:i4>
      </vt:variant>
      <vt:variant>
        <vt:lpwstr/>
      </vt:variant>
      <vt:variant>
        <vt:lpwstr>_Toc96174835</vt:lpwstr>
      </vt:variant>
      <vt:variant>
        <vt:i4>1703999</vt:i4>
      </vt:variant>
      <vt:variant>
        <vt:i4>62</vt:i4>
      </vt:variant>
      <vt:variant>
        <vt:i4>0</vt:i4>
      </vt:variant>
      <vt:variant>
        <vt:i4>5</vt:i4>
      </vt:variant>
      <vt:variant>
        <vt:lpwstr/>
      </vt:variant>
      <vt:variant>
        <vt:lpwstr>_Toc96174834</vt:lpwstr>
      </vt:variant>
      <vt:variant>
        <vt:i4>1900607</vt:i4>
      </vt:variant>
      <vt:variant>
        <vt:i4>56</vt:i4>
      </vt:variant>
      <vt:variant>
        <vt:i4>0</vt:i4>
      </vt:variant>
      <vt:variant>
        <vt:i4>5</vt:i4>
      </vt:variant>
      <vt:variant>
        <vt:lpwstr/>
      </vt:variant>
      <vt:variant>
        <vt:lpwstr>_Toc96174833</vt:lpwstr>
      </vt:variant>
      <vt:variant>
        <vt:i4>1835071</vt:i4>
      </vt:variant>
      <vt:variant>
        <vt:i4>50</vt:i4>
      </vt:variant>
      <vt:variant>
        <vt:i4>0</vt:i4>
      </vt:variant>
      <vt:variant>
        <vt:i4>5</vt:i4>
      </vt:variant>
      <vt:variant>
        <vt:lpwstr/>
      </vt:variant>
      <vt:variant>
        <vt:lpwstr>_Toc96174832</vt:lpwstr>
      </vt:variant>
      <vt:variant>
        <vt:i4>2031679</vt:i4>
      </vt:variant>
      <vt:variant>
        <vt:i4>44</vt:i4>
      </vt:variant>
      <vt:variant>
        <vt:i4>0</vt:i4>
      </vt:variant>
      <vt:variant>
        <vt:i4>5</vt:i4>
      </vt:variant>
      <vt:variant>
        <vt:lpwstr/>
      </vt:variant>
      <vt:variant>
        <vt:lpwstr>_Toc96174831</vt:lpwstr>
      </vt:variant>
      <vt:variant>
        <vt:i4>1966143</vt:i4>
      </vt:variant>
      <vt:variant>
        <vt:i4>38</vt:i4>
      </vt:variant>
      <vt:variant>
        <vt:i4>0</vt:i4>
      </vt:variant>
      <vt:variant>
        <vt:i4>5</vt:i4>
      </vt:variant>
      <vt:variant>
        <vt:lpwstr/>
      </vt:variant>
      <vt:variant>
        <vt:lpwstr>_Toc96174830</vt:lpwstr>
      </vt:variant>
      <vt:variant>
        <vt:i4>1507390</vt:i4>
      </vt:variant>
      <vt:variant>
        <vt:i4>32</vt:i4>
      </vt:variant>
      <vt:variant>
        <vt:i4>0</vt:i4>
      </vt:variant>
      <vt:variant>
        <vt:i4>5</vt:i4>
      </vt:variant>
      <vt:variant>
        <vt:lpwstr/>
      </vt:variant>
      <vt:variant>
        <vt:lpwstr>_Toc96174829</vt:lpwstr>
      </vt:variant>
      <vt:variant>
        <vt:i4>1441854</vt:i4>
      </vt:variant>
      <vt:variant>
        <vt:i4>26</vt:i4>
      </vt:variant>
      <vt:variant>
        <vt:i4>0</vt:i4>
      </vt:variant>
      <vt:variant>
        <vt:i4>5</vt:i4>
      </vt:variant>
      <vt:variant>
        <vt:lpwstr/>
      </vt:variant>
      <vt:variant>
        <vt:lpwstr>_Toc96174828</vt:lpwstr>
      </vt:variant>
      <vt:variant>
        <vt:i4>1638462</vt:i4>
      </vt:variant>
      <vt:variant>
        <vt:i4>20</vt:i4>
      </vt:variant>
      <vt:variant>
        <vt:i4>0</vt:i4>
      </vt:variant>
      <vt:variant>
        <vt:i4>5</vt:i4>
      </vt:variant>
      <vt:variant>
        <vt:lpwstr/>
      </vt:variant>
      <vt:variant>
        <vt:lpwstr>_Toc96174827</vt:lpwstr>
      </vt:variant>
      <vt:variant>
        <vt:i4>1572926</vt:i4>
      </vt:variant>
      <vt:variant>
        <vt:i4>14</vt:i4>
      </vt:variant>
      <vt:variant>
        <vt:i4>0</vt:i4>
      </vt:variant>
      <vt:variant>
        <vt:i4>5</vt:i4>
      </vt:variant>
      <vt:variant>
        <vt:lpwstr/>
      </vt:variant>
      <vt:variant>
        <vt:lpwstr>_Toc96174826</vt:lpwstr>
      </vt:variant>
      <vt:variant>
        <vt:i4>1769534</vt:i4>
      </vt:variant>
      <vt:variant>
        <vt:i4>8</vt:i4>
      </vt:variant>
      <vt:variant>
        <vt:i4>0</vt:i4>
      </vt:variant>
      <vt:variant>
        <vt:i4>5</vt:i4>
      </vt:variant>
      <vt:variant>
        <vt:lpwstr/>
      </vt:variant>
      <vt:variant>
        <vt:lpwstr>_Toc96174825</vt:lpwstr>
      </vt:variant>
      <vt:variant>
        <vt:i4>1703998</vt:i4>
      </vt:variant>
      <vt:variant>
        <vt:i4>2</vt:i4>
      </vt:variant>
      <vt:variant>
        <vt:i4>0</vt:i4>
      </vt:variant>
      <vt:variant>
        <vt:i4>5</vt:i4>
      </vt:variant>
      <vt:variant>
        <vt:lpwstr/>
      </vt:variant>
      <vt:variant>
        <vt:lpwstr>_Toc96174824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Cabrera</dc:creator>
  <cp:keywords/>
  <dc:description/>
  <cp:lastModifiedBy>portatil</cp:lastModifiedBy>
  <cp:revision>8</cp:revision>
  <dcterms:created xsi:type="dcterms:W3CDTF">2022-06-07T22:35:00Z</dcterms:created>
  <dcterms:modified xsi:type="dcterms:W3CDTF">2022-06-07T23:31:00Z</dcterms:modified>
</cp:coreProperties>
</file>