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"/>
        <w:gridCol w:w="2184"/>
        <w:gridCol w:w="830"/>
        <w:gridCol w:w="2762"/>
        <w:gridCol w:w="825"/>
        <w:gridCol w:w="1922"/>
      </w:tblGrid>
      <w:tr w:rsidR="008A2A04" w:rsidRPr="008A2A04" w14:paraId="6954E401" w14:textId="77777777" w:rsidTr="00026C01">
        <w:trPr>
          <w:trHeight w:val="102"/>
        </w:trPr>
        <w:tc>
          <w:tcPr>
            <w:tcW w:w="1610" w:type="pct"/>
            <w:gridSpan w:val="2"/>
            <w:shd w:val="clear" w:color="auto" w:fill="auto"/>
            <w:hideMark/>
          </w:tcPr>
          <w:p w14:paraId="7627898D" w14:textId="77777777" w:rsidR="008A2A04" w:rsidRPr="008A2A04" w:rsidRDefault="008A2A04" w:rsidP="00966EC0">
            <w:pPr>
              <w:spacing w:after="0" w:line="240" w:lineRule="auto"/>
              <w:ind w:left="708" w:hanging="708"/>
              <w:jc w:val="both"/>
              <w:rPr>
                <w:rFonts w:ascii="Arial" w:eastAsia="Calibri" w:hAnsi="Arial" w:cs="Arial"/>
                <w:b/>
                <w:bCs/>
                <w:sz w:val="14"/>
                <w:szCs w:val="14"/>
              </w:rPr>
            </w:pPr>
            <w:bookmarkStart w:id="0" w:name="_Hlk54964152"/>
            <w:r w:rsidRPr="008A2A04">
              <w:rPr>
                <w:rFonts w:ascii="Arial" w:eastAsia="Calibri" w:hAnsi="Arial" w:cs="Arial"/>
                <w:b/>
                <w:bCs/>
                <w:sz w:val="14"/>
                <w:szCs w:val="14"/>
              </w:rPr>
              <w:t>Elaboro:</w:t>
            </w:r>
          </w:p>
        </w:tc>
        <w:tc>
          <w:tcPr>
            <w:tcW w:w="1921" w:type="pct"/>
            <w:gridSpan w:val="2"/>
            <w:shd w:val="clear" w:color="auto" w:fill="auto"/>
            <w:hideMark/>
          </w:tcPr>
          <w:p w14:paraId="65D4D424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bCs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b/>
                <w:bCs/>
                <w:sz w:val="14"/>
                <w:szCs w:val="14"/>
                <w:lang w:val="es-ES_tradnl" w:eastAsia="es-ES"/>
              </w:rPr>
              <w:t>Reviso:</w:t>
            </w:r>
          </w:p>
        </w:tc>
        <w:tc>
          <w:tcPr>
            <w:tcW w:w="1469" w:type="pct"/>
            <w:gridSpan w:val="2"/>
            <w:shd w:val="clear" w:color="auto" w:fill="auto"/>
            <w:hideMark/>
          </w:tcPr>
          <w:p w14:paraId="30DB54E7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4"/>
                <w:szCs w:val="14"/>
                <w:lang w:val="es-ES_tradnl" w:eastAsia="es-ES"/>
              </w:rPr>
            </w:pPr>
            <w:r w:rsidRPr="008A2A04">
              <w:rPr>
                <w:rFonts w:ascii="Arial" w:eastAsia="Calibri" w:hAnsi="Arial" w:cs="Arial"/>
                <w:b/>
                <w:sz w:val="14"/>
                <w:szCs w:val="14"/>
                <w:lang w:val="es-ES_tradnl" w:eastAsia="es-ES"/>
              </w:rPr>
              <w:t>Aprobó</w:t>
            </w:r>
            <w:r w:rsidRPr="008A2A04">
              <w:rPr>
                <w:rFonts w:ascii="Arial" w:eastAsia="Calibri" w:hAnsi="Arial" w:cs="Arial"/>
                <w:sz w:val="14"/>
                <w:szCs w:val="14"/>
                <w:lang w:val="es-ES_tradnl"/>
              </w:rPr>
              <w:t xml:space="preserve"> </w:t>
            </w:r>
          </w:p>
        </w:tc>
      </w:tr>
      <w:tr w:rsidR="00966EC0" w:rsidRPr="008A2A04" w14:paraId="383091B3" w14:textId="77777777" w:rsidTr="00026C01">
        <w:trPr>
          <w:trHeight w:val="64"/>
        </w:trPr>
        <w:tc>
          <w:tcPr>
            <w:tcW w:w="442" w:type="pct"/>
            <w:shd w:val="clear" w:color="auto" w:fill="auto"/>
            <w:hideMark/>
          </w:tcPr>
          <w:p w14:paraId="78BBDC24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168" w:type="pct"/>
            <w:shd w:val="clear" w:color="auto" w:fill="auto"/>
          </w:tcPr>
          <w:p w14:paraId="59F952DA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sz w:val="14"/>
                <w:szCs w:val="14"/>
              </w:rPr>
              <w:t>Edward Izquierdo Arizmendi</w:t>
            </w:r>
          </w:p>
        </w:tc>
        <w:tc>
          <w:tcPr>
            <w:tcW w:w="444" w:type="pct"/>
            <w:shd w:val="clear" w:color="auto" w:fill="auto"/>
            <w:hideMark/>
          </w:tcPr>
          <w:p w14:paraId="4CEC661D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477" w:type="pct"/>
            <w:shd w:val="clear" w:color="auto" w:fill="auto"/>
          </w:tcPr>
          <w:p w14:paraId="2416361C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sz w:val="14"/>
                <w:szCs w:val="14"/>
              </w:rPr>
              <w:t>Jaime Cárdenas</w:t>
            </w:r>
          </w:p>
        </w:tc>
        <w:tc>
          <w:tcPr>
            <w:tcW w:w="441" w:type="pct"/>
            <w:shd w:val="clear" w:color="auto" w:fill="auto"/>
            <w:hideMark/>
          </w:tcPr>
          <w:p w14:paraId="0326A645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028" w:type="pct"/>
            <w:shd w:val="clear" w:color="auto" w:fill="auto"/>
          </w:tcPr>
          <w:p w14:paraId="7CC54D39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sz w:val="14"/>
                <w:szCs w:val="14"/>
              </w:rPr>
              <w:t>Yina Cubillos Gutiérrez</w:t>
            </w:r>
          </w:p>
        </w:tc>
      </w:tr>
      <w:tr w:rsidR="00966EC0" w:rsidRPr="008A2A04" w14:paraId="7FB79C38" w14:textId="77777777" w:rsidTr="00026C01">
        <w:tc>
          <w:tcPr>
            <w:tcW w:w="442" w:type="pct"/>
            <w:shd w:val="clear" w:color="auto" w:fill="auto"/>
            <w:hideMark/>
          </w:tcPr>
          <w:p w14:paraId="3A525286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168" w:type="pct"/>
            <w:shd w:val="clear" w:color="auto" w:fill="auto"/>
          </w:tcPr>
          <w:p w14:paraId="0334B800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sz w:val="14"/>
                <w:szCs w:val="14"/>
              </w:rPr>
              <w:t>Asesor externo de Procesos</w:t>
            </w:r>
          </w:p>
        </w:tc>
        <w:tc>
          <w:tcPr>
            <w:tcW w:w="444" w:type="pct"/>
            <w:shd w:val="clear" w:color="auto" w:fill="auto"/>
            <w:hideMark/>
          </w:tcPr>
          <w:p w14:paraId="188378E5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477" w:type="pct"/>
            <w:shd w:val="clear" w:color="auto" w:fill="auto"/>
          </w:tcPr>
          <w:p w14:paraId="06C1B912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sz w:val="14"/>
                <w:szCs w:val="14"/>
              </w:rPr>
              <w:t>Administrador de Riesgos</w:t>
            </w:r>
          </w:p>
        </w:tc>
        <w:tc>
          <w:tcPr>
            <w:tcW w:w="441" w:type="pct"/>
            <w:shd w:val="clear" w:color="auto" w:fill="auto"/>
            <w:hideMark/>
          </w:tcPr>
          <w:p w14:paraId="50E5A3C8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028" w:type="pct"/>
            <w:shd w:val="clear" w:color="auto" w:fill="auto"/>
          </w:tcPr>
          <w:p w14:paraId="14C90AFF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sz w:val="14"/>
                <w:szCs w:val="14"/>
              </w:rPr>
              <w:t>Gerente</w:t>
            </w:r>
          </w:p>
        </w:tc>
      </w:tr>
      <w:tr w:rsidR="00966EC0" w:rsidRPr="008A2A04" w14:paraId="7E4C1C28" w14:textId="77777777" w:rsidTr="00026C01">
        <w:tc>
          <w:tcPr>
            <w:tcW w:w="442" w:type="pct"/>
            <w:shd w:val="clear" w:color="auto" w:fill="auto"/>
            <w:hideMark/>
          </w:tcPr>
          <w:p w14:paraId="41F10A67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168" w:type="pct"/>
            <w:shd w:val="clear" w:color="auto" w:fill="auto"/>
          </w:tcPr>
          <w:p w14:paraId="5728E736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sz w:val="14"/>
                <w:szCs w:val="14"/>
              </w:rPr>
              <w:t>29/09/2021</w:t>
            </w:r>
          </w:p>
        </w:tc>
        <w:tc>
          <w:tcPr>
            <w:tcW w:w="444" w:type="pct"/>
            <w:shd w:val="clear" w:color="auto" w:fill="auto"/>
            <w:hideMark/>
          </w:tcPr>
          <w:p w14:paraId="573ADBA2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477" w:type="pct"/>
            <w:shd w:val="clear" w:color="auto" w:fill="auto"/>
          </w:tcPr>
          <w:p w14:paraId="0808A79A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sz w:val="14"/>
                <w:szCs w:val="14"/>
              </w:rPr>
              <w:t>29/09/2021</w:t>
            </w:r>
          </w:p>
        </w:tc>
        <w:tc>
          <w:tcPr>
            <w:tcW w:w="441" w:type="pct"/>
            <w:shd w:val="clear" w:color="auto" w:fill="auto"/>
            <w:hideMark/>
          </w:tcPr>
          <w:p w14:paraId="4F1278F0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028" w:type="pct"/>
            <w:shd w:val="clear" w:color="auto" w:fill="auto"/>
          </w:tcPr>
          <w:p w14:paraId="12B67FA8" w14:textId="77777777" w:rsidR="008A2A04" w:rsidRPr="008A2A04" w:rsidRDefault="008A2A04" w:rsidP="00966EC0">
            <w:pPr>
              <w:spacing w:after="0" w:line="240" w:lineRule="auto"/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8A2A04">
              <w:rPr>
                <w:rFonts w:ascii="Arial" w:eastAsia="Calibri" w:hAnsi="Arial" w:cs="Arial"/>
                <w:sz w:val="14"/>
                <w:szCs w:val="14"/>
              </w:rPr>
              <w:t>29/09/2021</w:t>
            </w:r>
          </w:p>
        </w:tc>
      </w:tr>
      <w:bookmarkEnd w:id="0"/>
    </w:tbl>
    <w:p w14:paraId="52BDA365" w14:textId="77777777" w:rsidR="008A2A04" w:rsidRPr="00966EC0" w:rsidRDefault="008A2A04" w:rsidP="00966EC0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14:paraId="43D6A53C" w14:textId="6F6F5657" w:rsidR="00EB7161" w:rsidRPr="00966EC0" w:rsidRDefault="00EB7161" w:rsidP="00966EC0">
      <w:pPr>
        <w:pStyle w:val="Prrafodelista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  <w:r w:rsidRPr="00966EC0">
        <w:rPr>
          <w:rFonts w:ascii="Arial" w:eastAsia="+mj-ea" w:hAnsi="Arial" w:cs="Arial"/>
          <w:b/>
          <w:kern w:val="24"/>
          <w:sz w:val="24"/>
          <w:szCs w:val="24"/>
        </w:rPr>
        <w:t>OBJETIVO:</w:t>
      </w:r>
    </w:p>
    <w:p w14:paraId="1D502F02" w14:textId="77777777" w:rsidR="00680234" w:rsidRPr="00966EC0" w:rsidRDefault="00680234" w:rsidP="00966EC0">
      <w:pPr>
        <w:pStyle w:val="Prrafodelista"/>
        <w:spacing w:after="0" w:line="240" w:lineRule="auto"/>
        <w:ind w:left="284" w:hanging="284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</w:p>
    <w:p w14:paraId="43D6A53D" w14:textId="291CBAE9" w:rsidR="004257CD" w:rsidRPr="00966EC0" w:rsidRDefault="00CF3007" w:rsidP="00966EC0">
      <w:pPr>
        <w:pStyle w:val="Prrafodelista"/>
        <w:spacing w:after="0" w:line="240" w:lineRule="auto"/>
        <w:ind w:left="0"/>
        <w:jc w:val="both"/>
        <w:rPr>
          <w:rFonts w:ascii="Arial" w:eastAsia="+mj-ea" w:hAnsi="Arial" w:cs="Arial"/>
          <w:kern w:val="24"/>
          <w:sz w:val="24"/>
          <w:szCs w:val="24"/>
        </w:rPr>
      </w:pPr>
      <w:r w:rsidRPr="00966EC0">
        <w:rPr>
          <w:rFonts w:ascii="Arial" w:eastAsia="+mj-ea" w:hAnsi="Arial" w:cs="Arial"/>
          <w:kern w:val="24"/>
          <w:sz w:val="24"/>
          <w:szCs w:val="24"/>
        </w:rPr>
        <w:t>Establecer los pasos a seguir para administrar y mantener el nivel de calidad de cartera</w:t>
      </w:r>
      <w:r w:rsidR="00D81378" w:rsidRPr="00966EC0">
        <w:rPr>
          <w:rFonts w:ascii="Arial" w:eastAsia="+mj-ea" w:hAnsi="Arial" w:cs="Arial"/>
          <w:kern w:val="24"/>
          <w:sz w:val="24"/>
          <w:szCs w:val="24"/>
        </w:rPr>
        <w:t xml:space="preserve"> </w:t>
      </w:r>
      <w:r w:rsidRPr="00966EC0">
        <w:rPr>
          <w:rFonts w:ascii="Arial" w:eastAsia="+mj-ea" w:hAnsi="Arial" w:cs="Arial"/>
          <w:kern w:val="24"/>
          <w:sz w:val="24"/>
          <w:szCs w:val="24"/>
        </w:rPr>
        <w:t>esperado.</w:t>
      </w:r>
    </w:p>
    <w:p w14:paraId="43D6A53E" w14:textId="77777777" w:rsidR="00EB7161" w:rsidRPr="00966EC0" w:rsidRDefault="00EB7161" w:rsidP="00966EC0">
      <w:pPr>
        <w:pStyle w:val="Prrafodelista"/>
        <w:spacing w:after="0" w:line="240" w:lineRule="auto"/>
        <w:ind w:left="284" w:hanging="284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</w:p>
    <w:p w14:paraId="43D6A53F" w14:textId="28282CAE" w:rsidR="007B3533" w:rsidRPr="00966EC0" w:rsidRDefault="00EB7161" w:rsidP="00966EC0">
      <w:pPr>
        <w:pStyle w:val="Prrafodelista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  <w:r w:rsidRPr="00966EC0">
        <w:rPr>
          <w:rFonts w:ascii="Arial" w:eastAsia="+mj-ea" w:hAnsi="Arial" w:cs="Arial"/>
          <w:b/>
          <w:kern w:val="24"/>
          <w:sz w:val="24"/>
          <w:szCs w:val="24"/>
        </w:rPr>
        <w:t>ALCANCE:</w:t>
      </w:r>
      <w:r w:rsidR="007B3533" w:rsidRPr="00966EC0">
        <w:rPr>
          <w:rFonts w:ascii="Arial" w:eastAsia="+mj-ea" w:hAnsi="Arial" w:cs="Arial"/>
          <w:b/>
          <w:kern w:val="24"/>
          <w:sz w:val="24"/>
          <w:szCs w:val="24"/>
        </w:rPr>
        <w:t xml:space="preserve"> </w:t>
      </w:r>
    </w:p>
    <w:p w14:paraId="2846D798" w14:textId="77777777" w:rsidR="00680234" w:rsidRPr="00966EC0" w:rsidRDefault="00680234" w:rsidP="00966EC0">
      <w:pPr>
        <w:pStyle w:val="Prrafodelista"/>
        <w:spacing w:after="0" w:line="240" w:lineRule="auto"/>
        <w:ind w:left="284" w:hanging="284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</w:p>
    <w:p w14:paraId="43D6A540" w14:textId="0D24CA56" w:rsidR="00CF3007" w:rsidRPr="00966EC0" w:rsidRDefault="00CF3007" w:rsidP="00966EC0">
      <w:pPr>
        <w:pStyle w:val="Prrafodelista"/>
        <w:spacing w:after="0" w:line="240" w:lineRule="auto"/>
        <w:ind w:left="0"/>
        <w:jc w:val="both"/>
        <w:rPr>
          <w:rFonts w:ascii="Arial" w:eastAsia="+mj-ea" w:hAnsi="Arial" w:cs="Arial"/>
          <w:kern w:val="24"/>
          <w:sz w:val="24"/>
          <w:szCs w:val="24"/>
        </w:rPr>
      </w:pPr>
      <w:r w:rsidRPr="00966EC0">
        <w:rPr>
          <w:rFonts w:ascii="Arial" w:eastAsia="+mj-ea" w:hAnsi="Arial" w:cs="Arial"/>
          <w:kern w:val="24"/>
          <w:sz w:val="24"/>
          <w:szCs w:val="24"/>
        </w:rPr>
        <w:t xml:space="preserve">Inicia con el cierre periódico de cartera y termina con la recuperación de la cartera. Aplica para los asociados activos y ex asociados que presenten saldos en sus obligaciones pecuniarias con </w:t>
      </w:r>
      <w:r w:rsidR="00225C3A" w:rsidRPr="00966EC0">
        <w:rPr>
          <w:rFonts w:ascii="Arial" w:eastAsia="+mj-ea" w:hAnsi="Arial" w:cs="Arial"/>
          <w:kern w:val="24"/>
          <w:sz w:val="24"/>
          <w:szCs w:val="24"/>
        </w:rPr>
        <w:t>la entidad</w:t>
      </w:r>
      <w:r w:rsidRPr="00966EC0">
        <w:rPr>
          <w:rFonts w:ascii="Arial" w:eastAsia="+mj-ea" w:hAnsi="Arial" w:cs="Arial"/>
          <w:kern w:val="24"/>
          <w:sz w:val="24"/>
          <w:szCs w:val="24"/>
        </w:rPr>
        <w:t xml:space="preserve">. </w:t>
      </w:r>
    </w:p>
    <w:p w14:paraId="577300A9" w14:textId="77777777" w:rsidR="008A2A04" w:rsidRPr="00966EC0" w:rsidRDefault="008A2A04" w:rsidP="00966EC0">
      <w:pPr>
        <w:pStyle w:val="Prrafodelista"/>
        <w:spacing w:after="0" w:line="240" w:lineRule="auto"/>
        <w:ind w:left="0"/>
        <w:jc w:val="both"/>
        <w:rPr>
          <w:rFonts w:ascii="Arial" w:eastAsia="+mj-ea" w:hAnsi="Arial" w:cs="Arial"/>
          <w:kern w:val="24"/>
          <w:sz w:val="24"/>
          <w:szCs w:val="24"/>
        </w:rPr>
      </w:pPr>
    </w:p>
    <w:p w14:paraId="73DB225A" w14:textId="55FC4494" w:rsidR="008A2A04" w:rsidRPr="00966EC0" w:rsidRDefault="008A2A04" w:rsidP="00966EC0">
      <w:pPr>
        <w:pStyle w:val="Prrafodelista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pacing w:val="-3"/>
          <w:sz w:val="24"/>
          <w:szCs w:val="24"/>
        </w:rPr>
      </w:pPr>
      <w:r w:rsidRPr="00966EC0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49DFC2B9" w14:textId="77777777" w:rsidR="008A2A04" w:rsidRPr="00966EC0" w:rsidRDefault="008A2A04" w:rsidP="00966EC0">
      <w:pPr>
        <w:spacing w:after="0" w:line="240" w:lineRule="auto"/>
        <w:ind w:left="284"/>
        <w:jc w:val="both"/>
        <w:rPr>
          <w:rFonts w:ascii="Arial" w:hAnsi="Arial" w:cs="Arial"/>
          <w:spacing w:val="-3"/>
          <w:sz w:val="24"/>
          <w:szCs w:val="24"/>
        </w:rPr>
      </w:pPr>
    </w:p>
    <w:p w14:paraId="3ABA958E" w14:textId="2A543D43" w:rsidR="008A2A04" w:rsidRPr="00966EC0" w:rsidRDefault="008A2A04" w:rsidP="00966EC0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66EC0">
        <w:rPr>
          <w:rFonts w:ascii="Arial" w:hAnsi="Arial" w:cs="Arial"/>
          <w:b/>
          <w:spacing w:val="-3"/>
          <w:sz w:val="24"/>
          <w:szCs w:val="24"/>
        </w:rPr>
        <w:t>INTERNA.</w:t>
      </w:r>
      <w:bookmarkStart w:id="1" w:name="_Hlk83828413"/>
    </w:p>
    <w:p w14:paraId="7CBEFB6B" w14:textId="77777777" w:rsidR="008A2A04" w:rsidRPr="00966EC0" w:rsidRDefault="008A2A04" w:rsidP="00966EC0">
      <w:pPr>
        <w:spacing w:after="0" w:line="240" w:lineRule="auto"/>
        <w:ind w:left="624"/>
        <w:jc w:val="both"/>
        <w:rPr>
          <w:rFonts w:ascii="Arial" w:hAnsi="Arial" w:cs="Arial"/>
          <w:spacing w:val="-3"/>
          <w:sz w:val="24"/>
          <w:szCs w:val="24"/>
        </w:rPr>
      </w:pPr>
    </w:p>
    <w:p w14:paraId="0A5A7B4E" w14:textId="0E2889F0" w:rsidR="008A2A04" w:rsidRPr="00966EC0" w:rsidRDefault="008A2A04" w:rsidP="00966EC0">
      <w:pPr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66EC0">
        <w:rPr>
          <w:rFonts w:ascii="Arial" w:hAnsi="Arial" w:cs="Arial"/>
          <w:spacing w:val="-3"/>
          <w:sz w:val="24"/>
          <w:szCs w:val="24"/>
        </w:rPr>
        <w:t>Reglamento SARC</w:t>
      </w:r>
    </w:p>
    <w:bookmarkEnd w:id="1"/>
    <w:p w14:paraId="4C390373" w14:textId="73DE5146" w:rsidR="008A2A04" w:rsidRPr="00966EC0" w:rsidRDefault="008A2A04" w:rsidP="00966EC0">
      <w:pPr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66EC0">
        <w:rPr>
          <w:rFonts w:ascii="Arial" w:hAnsi="Arial" w:cs="Arial"/>
          <w:spacing w:val="-3"/>
          <w:sz w:val="24"/>
          <w:szCs w:val="24"/>
        </w:rPr>
        <w:t xml:space="preserve">Reglamento de </w:t>
      </w:r>
      <w:r w:rsidR="00A43D69">
        <w:rPr>
          <w:rFonts w:ascii="Arial" w:hAnsi="Arial" w:cs="Arial"/>
          <w:spacing w:val="-3"/>
          <w:sz w:val="24"/>
          <w:szCs w:val="24"/>
        </w:rPr>
        <w:t xml:space="preserve">Cartera </w:t>
      </w:r>
      <w:r w:rsidRPr="00966EC0">
        <w:rPr>
          <w:rFonts w:ascii="Arial" w:hAnsi="Arial" w:cs="Arial"/>
          <w:spacing w:val="-3"/>
          <w:sz w:val="24"/>
          <w:szCs w:val="24"/>
        </w:rPr>
        <w:tab/>
      </w:r>
    </w:p>
    <w:p w14:paraId="424641BF" w14:textId="77777777" w:rsidR="008A2A04" w:rsidRPr="00966EC0" w:rsidRDefault="008A2A04" w:rsidP="00966EC0">
      <w:pPr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66EC0">
        <w:rPr>
          <w:rFonts w:ascii="Arial" w:hAnsi="Arial" w:cs="Arial"/>
          <w:spacing w:val="-3"/>
          <w:sz w:val="24"/>
          <w:szCs w:val="24"/>
        </w:rPr>
        <w:t>Reglamento De Tasas.</w:t>
      </w:r>
    </w:p>
    <w:p w14:paraId="0750E019" w14:textId="208AD006" w:rsidR="008A2A04" w:rsidRPr="00966EC0" w:rsidRDefault="008A2A04" w:rsidP="00966EC0">
      <w:pPr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66EC0">
        <w:rPr>
          <w:rFonts w:ascii="Arial" w:hAnsi="Arial" w:cs="Arial"/>
          <w:spacing w:val="-3"/>
          <w:sz w:val="24"/>
          <w:szCs w:val="24"/>
        </w:rPr>
        <w:t xml:space="preserve">Reglamento Comité Evaluación de Cartera. </w:t>
      </w:r>
    </w:p>
    <w:p w14:paraId="085B3FFD" w14:textId="77777777" w:rsidR="008A2A04" w:rsidRPr="00966EC0" w:rsidRDefault="008A2A04" w:rsidP="00966EC0">
      <w:pPr>
        <w:spacing w:after="0" w:line="240" w:lineRule="auto"/>
        <w:ind w:left="851"/>
        <w:jc w:val="both"/>
        <w:rPr>
          <w:rFonts w:ascii="Arial" w:hAnsi="Arial" w:cs="Arial"/>
          <w:spacing w:val="-3"/>
          <w:sz w:val="24"/>
          <w:szCs w:val="24"/>
        </w:rPr>
      </w:pPr>
    </w:p>
    <w:p w14:paraId="44B1E3DE" w14:textId="77777777" w:rsidR="008A2A04" w:rsidRPr="00966EC0" w:rsidRDefault="008A2A04" w:rsidP="00966EC0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66EC0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777F8BBE" w14:textId="77777777" w:rsidR="008A2A04" w:rsidRPr="00966EC0" w:rsidRDefault="008A2A04" w:rsidP="00966EC0">
      <w:pPr>
        <w:pStyle w:val="Prrafodelista"/>
        <w:spacing w:after="0" w:line="240" w:lineRule="auto"/>
        <w:ind w:left="284" w:hanging="207"/>
        <w:jc w:val="both"/>
        <w:rPr>
          <w:rFonts w:ascii="Arial" w:hAnsi="Arial" w:cs="Arial"/>
          <w:spacing w:val="-3"/>
          <w:sz w:val="24"/>
          <w:szCs w:val="24"/>
        </w:rPr>
      </w:pPr>
    </w:p>
    <w:p w14:paraId="41ACCE62" w14:textId="6425263E" w:rsidR="00F4743E" w:rsidRPr="00966EC0" w:rsidRDefault="008A2A04" w:rsidP="00966EC0">
      <w:pPr>
        <w:numPr>
          <w:ilvl w:val="2"/>
          <w:numId w:val="6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bookmarkStart w:id="2" w:name="_Hlk86940000"/>
      <w:r w:rsidRPr="00966EC0">
        <w:rPr>
          <w:rFonts w:ascii="Arial" w:hAnsi="Arial" w:cs="Arial"/>
          <w:spacing w:val="-3"/>
          <w:sz w:val="24"/>
          <w:szCs w:val="24"/>
        </w:rPr>
        <w:t>Circular Básica Contable y Financiera por medio de la Circular Externa 22 de 2020 – Supersolidaria</w:t>
      </w:r>
    </w:p>
    <w:bookmarkEnd w:id="2"/>
    <w:p w14:paraId="003909E5" w14:textId="77777777" w:rsidR="00F4743E" w:rsidRPr="00966EC0" w:rsidRDefault="00F4743E" w:rsidP="00966EC0">
      <w:pPr>
        <w:spacing w:after="0" w:line="240" w:lineRule="auto"/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6ACE1274" w14:textId="77777777" w:rsidR="00F4743E" w:rsidRPr="00966EC0" w:rsidRDefault="00F4743E" w:rsidP="00966EC0">
      <w:pPr>
        <w:pStyle w:val="Prrafodelista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966EC0">
        <w:rPr>
          <w:rFonts w:ascii="Arial" w:hAnsi="Arial" w:cs="Arial"/>
          <w:b/>
          <w:sz w:val="24"/>
          <w:szCs w:val="24"/>
        </w:rPr>
        <w:t>DEFINICIONES</w:t>
      </w:r>
    </w:p>
    <w:p w14:paraId="62E0B268" w14:textId="5D8AAC35" w:rsidR="00F4743E" w:rsidRPr="00966EC0" w:rsidRDefault="00F4743E" w:rsidP="00966EC0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6EC0">
        <w:rPr>
          <w:rFonts w:ascii="Arial" w:hAnsi="Arial" w:cs="Arial"/>
          <w:b/>
          <w:sz w:val="24"/>
          <w:szCs w:val="24"/>
        </w:rPr>
        <w:t>N/A.</w:t>
      </w:r>
    </w:p>
    <w:p w14:paraId="2BFD49DE" w14:textId="77777777" w:rsidR="00F4743E" w:rsidRPr="00966EC0" w:rsidRDefault="00F4743E" w:rsidP="00966EC0">
      <w:pPr>
        <w:pStyle w:val="Prrafodelista"/>
        <w:spacing w:after="0" w:line="240" w:lineRule="auto"/>
        <w:ind w:left="624"/>
        <w:jc w:val="both"/>
        <w:rPr>
          <w:rFonts w:ascii="Arial" w:hAnsi="Arial" w:cs="Arial"/>
          <w:b/>
          <w:sz w:val="24"/>
          <w:szCs w:val="24"/>
        </w:rPr>
      </w:pPr>
    </w:p>
    <w:p w14:paraId="072E26C1" w14:textId="4479F692" w:rsidR="00F4743E" w:rsidRPr="00966EC0" w:rsidRDefault="00F4743E" w:rsidP="00966EC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6EC0">
        <w:rPr>
          <w:rFonts w:ascii="Arial" w:hAnsi="Arial" w:cs="Arial"/>
          <w:b/>
          <w:sz w:val="24"/>
          <w:szCs w:val="24"/>
        </w:rPr>
        <w:t>RESPONSABLES.</w:t>
      </w:r>
    </w:p>
    <w:p w14:paraId="15F521F3" w14:textId="77777777" w:rsidR="00F4743E" w:rsidRPr="00966EC0" w:rsidRDefault="00F4743E" w:rsidP="00966EC0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37DAF7DF" w14:textId="77777777" w:rsidR="00F4743E" w:rsidRPr="00966EC0" w:rsidRDefault="00F4743E" w:rsidP="00966EC0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966EC0">
        <w:rPr>
          <w:rFonts w:ascii="Arial" w:hAnsi="Arial" w:cs="Arial"/>
          <w:bCs/>
          <w:spacing w:val="-3"/>
          <w:sz w:val="24"/>
          <w:szCs w:val="24"/>
        </w:rPr>
        <w:t>Coordinador de Cartera</w:t>
      </w:r>
    </w:p>
    <w:p w14:paraId="6663F2D0" w14:textId="77777777" w:rsidR="00F4743E" w:rsidRPr="00966EC0" w:rsidRDefault="00F4743E" w:rsidP="00966EC0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966EC0">
        <w:rPr>
          <w:rFonts w:ascii="Arial" w:hAnsi="Arial" w:cs="Arial"/>
          <w:bCs/>
          <w:spacing w:val="-3"/>
          <w:sz w:val="24"/>
          <w:szCs w:val="24"/>
        </w:rPr>
        <w:t xml:space="preserve">Gerencia </w:t>
      </w:r>
    </w:p>
    <w:p w14:paraId="2366F65F" w14:textId="77777777" w:rsidR="00F4743E" w:rsidRPr="00966EC0" w:rsidRDefault="00F4743E" w:rsidP="00966EC0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966EC0">
        <w:rPr>
          <w:rFonts w:ascii="Arial" w:hAnsi="Arial" w:cs="Arial"/>
          <w:bCs/>
          <w:spacing w:val="-3"/>
          <w:sz w:val="24"/>
          <w:szCs w:val="24"/>
        </w:rPr>
        <w:t>Comité de Evaluación de Crédito y Cartera.</w:t>
      </w:r>
    </w:p>
    <w:p w14:paraId="40066810" w14:textId="77777777" w:rsidR="00F4743E" w:rsidRPr="00966EC0" w:rsidRDefault="00F4743E" w:rsidP="00966EC0">
      <w:pPr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966EC0">
        <w:rPr>
          <w:rFonts w:ascii="Arial" w:hAnsi="Arial" w:cs="Arial"/>
          <w:bCs/>
          <w:spacing w:val="-3"/>
          <w:sz w:val="24"/>
          <w:szCs w:val="24"/>
        </w:rPr>
        <w:t>Comité de riesgos</w:t>
      </w:r>
    </w:p>
    <w:p w14:paraId="43D6A544" w14:textId="77777777" w:rsidR="0031139C" w:rsidRPr="00966EC0" w:rsidRDefault="0031139C" w:rsidP="00966EC0">
      <w:pPr>
        <w:pStyle w:val="Prrafodelista"/>
        <w:spacing w:after="0" w:line="240" w:lineRule="auto"/>
        <w:ind w:left="0"/>
        <w:jc w:val="both"/>
        <w:rPr>
          <w:rFonts w:ascii="Arial" w:eastAsia="+mj-ea" w:hAnsi="Arial" w:cs="Arial"/>
          <w:kern w:val="24"/>
          <w:sz w:val="24"/>
          <w:szCs w:val="24"/>
        </w:rPr>
      </w:pPr>
    </w:p>
    <w:p w14:paraId="5AE20BAC" w14:textId="576703F1" w:rsidR="001D3AC7" w:rsidRDefault="00F4743E" w:rsidP="00966EC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  <w:r w:rsidRPr="00966EC0">
        <w:rPr>
          <w:rFonts w:ascii="Arial" w:eastAsia="+mj-ea" w:hAnsi="Arial" w:cs="Arial"/>
          <w:b/>
          <w:kern w:val="24"/>
          <w:sz w:val="24"/>
          <w:szCs w:val="24"/>
        </w:rPr>
        <w:t>CONDICIONES DE OPERACIÓN.</w:t>
      </w:r>
    </w:p>
    <w:p w14:paraId="260F156F" w14:textId="77777777" w:rsidR="008B69BD" w:rsidRPr="008B69BD" w:rsidRDefault="008B69BD" w:rsidP="008B69BD">
      <w:pPr>
        <w:spacing w:after="0" w:line="240" w:lineRule="auto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</w:p>
    <w:p w14:paraId="3C9E356A" w14:textId="17720890" w:rsidR="001D3AC7" w:rsidRPr="00966EC0" w:rsidRDefault="00622A0B" w:rsidP="00966EC0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  <w:r w:rsidRPr="00966EC0">
        <w:rPr>
          <w:rFonts w:ascii="Arial" w:eastAsia="+mj-ea" w:hAnsi="Arial" w:cs="Arial"/>
          <w:kern w:val="24"/>
          <w:sz w:val="24"/>
          <w:szCs w:val="24"/>
        </w:rPr>
        <w:lastRenderedPageBreak/>
        <w:t>Las etapas de cobro deben cumplir con lo establecido en los reglamentos de cartera y la normatividad aplicable.</w:t>
      </w:r>
    </w:p>
    <w:p w14:paraId="0CBF2C58" w14:textId="77777777" w:rsidR="001D3AC7" w:rsidRPr="00966EC0" w:rsidRDefault="001D3AC7" w:rsidP="00966EC0">
      <w:pPr>
        <w:pStyle w:val="Prrafodelista"/>
        <w:spacing w:after="0" w:line="240" w:lineRule="auto"/>
        <w:ind w:left="624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</w:p>
    <w:p w14:paraId="2F81D2B5" w14:textId="77777777" w:rsidR="001D3AC7" w:rsidRPr="00966EC0" w:rsidRDefault="00622A0B" w:rsidP="00966EC0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  <w:r w:rsidRPr="00966EC0">
        <w:rPr>
          <w:rFonts w:ascii="Arial" w:eastAsia="+mj-ea" w:hAnsi="Arial" w:cs="Arial"/>
          <w:kern w:val="24"/>
          <w:sz w:val="24"/>
          <w:szCs w:val="24"/>
        </w:rPr>
        <w:t>En la recuperación de cartera se deben seguir los lineamientos establecidos en los procedimientos transversales, tales como</w:t>
      </w:r>
    </w:p>
    <w:p w14:paraId="227D3C54" w14:textId="77777777" w:rsidR="001D3AC7" w:rsidRPr="00966EC0" w:rsidRDefault="001D3AC7" w:rsidP="00966EC0">
      <w:pPr>
        <w:pStyle w:val="Prrafodelista"/>
        <w:spacing w:after="0" w:line="240" w:lineRule="auto"/>
        <w:jc w:val="both"/>
        <w:rPr>
          <w:rFonts w:ascii="Arial" w:eastAsia="+mj-ea" w:hAnsi="Arial" w:cs="Arial"/>
          <w:kern w:val="24"/>
          <w:sz w:val="24"/>
          <w:szCs w:val="24"/>
        </w:rPr>
      </w:pPr>
    </w:p>
    <w:p w14:paraId="53080DC6" w14:textId="77777777" w:rsidR="001D3AC7" w:rsidRPr="00966EC0" w:rsidRDefault="00622A0B" w:rsidP="00966EC0">
      <w:pPr>
        <w:pStyle w:val="Prrafodelista"/>
        <w:numPr>
          <w:ilvl w:val="2"/>
          <w:numId w:val="6"/>
        </w:numPr>
        <w:spacing w:after="0" w:line="240" w:lineRule="auto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  <w:r w:rsidRPr="00966EC0">
        <w:rPr>
          <w:rFonts w:ascii="Arial" w:eastAsia="+mj-ea" w:hAnsi="Arial" w:cs="Arial"/>
          <w:kern w:val="24"/>
          <w:sz w:val="24"/>
          <w:szCs w:val="24"/>
        </w:rPr>
        <w:t>Actualización de datos.</w:t>
      </w:r>
    </w:p>
    <w:p w14:paraId="3C25793A" w14:textId="77777777" w:rsidR="001D3AC7" w:rsidRPr="00966EC0" w:rsidRDefault="00622A0B" w:rsidP="00966EC0">
      <w:pPr>
        <w:pStyle w:val="Prrafodelista"/>
        <w:numPr>
          <w:ilvl w:val="2"/>
          <w:numId w:val="6"/>
        </w:numPr>
        <w:spacing w:after="0" w:line="240" w:lineRule="auto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  <w:r w:rsidRPr="00966EC0">
        <w:rPr>
          <w:rFonts w:ascii="Arial" w:eastAsia="+mj-ea" w:hAnsi="Arial" w:cs="Arial"/>
          <w:kern w:val="24"/>
          <w:sz w:val="24"/>
          <w:szCs w:val="24"/>
        </w:rPr>
        <w:t>Consulta en Listas restrictivas</w:t>
      </w:r>
    </w:p>
    <w:p w14:paraId="43D6A54A" w14:textId="4A5F113F" w:rsidR="00622A0B" w:rsidRPr="00966EC0" w:rsidRDefault="00622A0B" w:rsidP="00966EC0">
      <w:pPr>
        <w:pStyle w:val="Prrafodelista"/>
        <w:numPr>
          <w:ilvl w:val="2"/>
          <w:numId w:val="6"/>
        </w:numPr>
        <w:spacing w:after="0" w:line="240" w:lineRule="auto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  <w:r w:rsidRPr="00966EC0">
        <w:rPr>
          <w:rFonts w:ascii="Arial" w:eastAsia="+mj-ea" w:hAnsi="Arial" w:cs="Arial"/>
          <w:kern w:val="24"/>
          <w:sz w:val="24"/>
          <w:szCs w:val="24"/>
        </w:rPr>
        <w:t>Procedimiento para la Administración del Riesgo de PEP.</w:t>
      </w:r>
    </w:p>
    <w:p w14:paraId="43D6A54B" w14:textId="77777777" w:rsidR="00622A0B" w:rsidRPr="00966EC0" w:rsidRDefault="00622A0B" w:rsidP="00966EC0">
      <w:pPr>
        <w:pStyle w:val="Prrafodelista"/>
        <w:spacing w:after="0" w:line="240" w:lineRule="auto"/>
        <w:ind w:left="284" w:hanging="284"/>
        <w:jc w:val="both"/>
        <w:rPr>
          <w:rFonts w:ascii="Arial" w:eastAsia="+mj-ea" w:hAnsi="Arial" w:cs="Arial"/>
          <w:kern w:val="24"/>
          <w:sz w:val="24"/>
          <w:szCs w:val="24"/>
        </w:rPr>
      </w:pPr>
    </w:p>
    <w:p w14:paraId="40F63B63" w14:textId="57B43E7D" w:rsidR="006879F9" w:rsidRPr="00966EC0" w:rsidRDefault="006879F9" w:rsidP="00966EC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  <w:r w:rsidRPr="00966EC0">
        <w:rPr>
          <w:rFonts w:ascii="Arial" w:eastAsia="+mj-ea" w:hAnsi="Arial" w:cs="Arial"/>
          <w:b/>
          <w:kern w:val="24"/>
          <w:sz w:val="24"/>
          <w:szCs w:val="24"/>
        </w:rPr>
        <w:t>DESCRIPCIÓN DE ACTIVIDADES.</w:t>
      </w:r>
    </w:p>
    <w:p w14:paraId="38CE3301" w14:textId="77777777" w:rsidR="00F659C6" w:rsidRPr="00966EC0" w:rsidRDefault="00F659C6" w:rsidP="00966EC0">
      <w:pPr>
        <w:pStyle w:val="Prrafodelista"/>
        <w:spacing w:after="0" w:line="240" w:lineRule="auto"/>
        <w:ind w:left="360"/>
        <w:jc w:val="both"/>
        <w:rPr>
          <w:rFonts w:ascii="Arial" w:eastAsia="+mj-ea" w:hAnsi="Arial" w:cs="Arial"/>
          <w:b/>
          <w:kern w:val="24"/>
          <w:sz w:val="24"/>
          <w:szCs w:val="24"/>
        </w:rPr>
      </w:pPr>
    </w:p>
    <w:p w14:paraId="43D6A54C" w14:textId="76A9ED68" w:rsidR="00095874" w:rsidRPr="00966EC0" w:rsidRDefault="006879F9" w:rsidP="00966EC0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eastAsia="+mj-ea" w:hAnsi="Arial" w:cs="Arial"/>
          <w:kern w:val="24"/>
          <w:sz w:val="24"/>
          <w:szCs w:val="24"/>
        </w:rPr>
      </w:pPr>
      <w:r w:rsidRPr="00966EC0">
        <w:rPr>
          <w:rFonts w:ascii="Arial" w:hAnsi="Arial" w:cs="Arial"/>
          <w:b/>
          <w:bCs/>
          <w:sz w:val="24"/>
          <w:szCs w:val="24"/>
          <w:lang w:val="es-ES"/>
        </w:rPr>
        <w:t>Preliminares</w:t>
      </w:r>
    </w:p>
    <w:p w14:paraId="43D6A54D" w14:textId="77777777" w:rsidR="009D3C4C" w:rsidRPr="00966EC0" w:rsidRDefault="009D3C4C" w:rsidP="00966EC0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9553" w:type="dxa"/>
        <w:tblLook w:val="04A0" w:firstRow="1" w:lastRow="0" w:firstColumn="1" w:lastColumn="0" w:noHBand="0" w:noVBand="1"/>
      </w:tblPr>
      <w:tblGrid>
        <w:gridCol w:w="790"/>
        <w:gridCol w:w="4586"/>
        <w:gridCol w:w="2043"/>
        <w:gridCol w:w="2134"/>
      </w:tblGrid>
      <w:tr w:rsidR="006879F9" w:rsidRPr="00966EC0" w14:paraId="43D6A552" w14:textId="77777777" w:rsidTr="0073447A">
        <w:tc>
          <w:tcPr>
            <w:tcW w:w="790" w:type="dxa"/>
            <w:vAlign w:val="center"/>
          </w:tcPr>
          <w:p w14:paraId="43D6A54E" w14:textId="2F8F7A50" w:rsidR="006879F9" w:rsidRPr="00966EC0" w:rsidRDefault="006879F9" w:rsidP="00966EC0">
            <w:pPr>
              <w:ind w:left="284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66EC0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586" w:type="dxa"/>
            <w:vAlign w:val="center"/>
          </w:tcPr>
          <w:p w14:paraId="43D6A54F" w14:textId="2E540CE1" w:rsidR="006879F9" w:rsidRPr="00966EC0" w:rsidRDefault="006879F9" w:rsidP="00966EC0">
            <w:pPr>
              <w:ind w:left="284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66EC0">
              <w:rPr>
                <w:rFonts w:ascii="Arial" w:hAnsi="Arial" w:cs="Arial"/>
                <w:b/>
                <w:spacing w:val="-3"/>
                <w:sz w:val="24"/>
                <w:szCs w:val="24"/>
              </w:rPr>
              <w:t>Actividad</w:t>
            </w:r>
          </w:p>
        </w:tc>
        <w:tc>
          <w:tcPr>
            <w:tcW w:w="2043" w:type="dxa"/>
            <w:vAlign w:val="center"/>
          </w:tcPr>
          <w:p w14:paraId="43D6A550" w14:textId="697EE7F5" w:rsidR="006879F9" w:rsidRPr="00966EC0" w:rsidRDefault="006879F9" w:rsidP="00966EC0">
            <w:pPr>
              <w:ind w:left="284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66EC0">
              <w:rPr>
                <w:rFonts w:ascii="Arial" w:hAnsi="Arial" w:cs="Arial"/>
                <w:b/>
                <w:spacing w:val="-3"/>
                <w:sz w:val="24"/>
                <w:szCs w:val="24"/>
              </w:rPr>
              <w:t>Responsable</w:t>
            </w:r>
          </w:p>
        </w:tc>
        <w:tc>
          <w:tcPr>
            <w:tcW w:w="2134" w:type="dxa"/>
            <w:vAlign w:val="center"/>
          </w:tcPr>
          <w:p w14:paraId="43D6A551" w14:textId="44958223" w:rsidR="006879F9" w:rsidRPr="00966EC0" w:rsidRDefault="006879F9" w:rsidP="00966EC0">
            <w:pPr>
              <w:ind w:left="284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66EC0">
              <w:rPr>
                <w:rFonts w:ascii="Arial" w:hAnsi="Arial" w:cs="Arial"/>
                <w:b/>
                <w:spacing w:val="-3"/>
                <w:sz w:val="24"/>
                <w:szCs w:val="24"/>
              </w:rPr>
              <w:t>Registro</w:t>
            </w:r>
          </w:p>
        </w:tc>
      </w:tr>
      <w:tr w:rsidR="006879F9" w:rsidRPr="00966EC0" w14:paraId="43D6A55C" w14:textId="77777777" w:rsidTr="007D5344">
        <w:tc>
          <w:tcPr>
            <w:tcW w:w="790" w:type="dxa"/>
            <w:vAlign w:val="center"/>
          </w:tcPr>
          <w:p w14:paraId="43D6A558" w14:textId="58E40048" w:rsidR="006879F9" w:rsidRPr="00966EC0" w:rsidRDefault="006879F9" w:rsidP="00966EC0">
            <w:pPr>
              <w:ind w:left="284" w:hanging="284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966EC0">
              <w:rPr>
                <w:rFonts w:ascii="Arial" w:hAnsi="Arial" w:cs="Arial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4586" w:type="dxa"/>
            <w:vAlign w:val="center"/>
          </w:tcPr>
          <w:p w14:paraId="43D6A559" w14:textId="0D391F2E" w:rsidR="006879F9" w:rsidRPr="00966EC0" w:rsidRDefault="006879F9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Valida la aplicación de pagos, generación de cuentas por cobrar y el registro de notas relacionadas con el cierre de cartera.</w:t>
            </w:r>
          </w:p>
        </w:tc>
        <w:tc>
          <w:tcPr>
            <w:tcW w:w="2043" w:type="dxa"/>
            <w:vAlign w:val="center"/>
          </w:tcPr>
          <w:p w14:paraId="09462116" w14:textId="77777777" w:rsidR="00287930" w:rsidRPr="00966EC0" w:rsidRDefault="00287930" w:rsidP="00966EC0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66EC0"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Cartera</w:t>
            </w:r>
          </w:p>
          <w:p w14:paraId="43D6A55A" w14:textId="26AE19C2" w:rsidR="006879F9" w:rsidRPr="00966EC0" w:rsidRDefault="006879F9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</w:tc>
        <w:tc>
          <w:tcPr>
            <w:tcW w:w="2134" w:type="dxa"/>
            <w:vAlign w:val="center"/>
          </w:tcPr>
          <w:p w14:paraId="43D6A55B" w14:textId="64437C54" w:rsidR="006879F9" w:rsidRPr="00966EC0" w:rsidRDefault="006F004C" w:rsidP="00966E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EC0">
              <w:rPr>
                <w:rFonts w:ascii="Arial" w:hAnsi="Arial" w:cs="Arial"/>
                <w:sz w:val="24"/>
                <w:szCs w:val="24"/>
              </w:rPr>
              <w:t>Revisión de Cierre de cartera</w:t>
            </w:r>
          </w:p>
        </w:tc>
      </w:tr>
      <w:tr w:rsidR="006879F9" w:rsidRPr="00966EC0" w14:paraId="43D6A561" w14:textId="77777777" w:rsidTr="007D5344">
        <w:tc>
          <w:tcPr>
            <w:tcW w:w="790" w:type="dxa"/>
            <w:vAlign w:val="center"/>
          </w:tcPr>
          <w:p w14:paraId="43D6A55D" w14:textId="16F8FD0A" w:rsidR="006879F9" w:rsidRPr="00966EC0" w:rsidRDefault="006879F9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4586" w:type="dxa"/>
            <w:vAlign w:val="center"/>
          </w:tcPr>
          <w:p w14:paraId="43D6A55E" w14:textId="07622291" w:rsidR="006879F9" w:rsidRPr="00966EC0" w:rsidRDefault="006879F9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Realiza el cierre de cartera de acuerdo con el Instructivo Cierre de Cartera</w:t>
            </w:r>
            <w:r w:rsidR="00493D05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y orientaciones de la gerencia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.</w:t>
            </w:r>
          </w:p>
        </w:tc>
        <w:tc>
          <w:tcPr>
            <w:tcW w:w="2043" w:type="dxa"/>
            <w:vAlign w:val="center"/>
          </w:tcPr>
          <w:p w14:paraId="43D6A55F" w14:textId="0AE18406" w:rsidR="006879F9" w:rsidRPr="00966EC0" w:rsidRDefault="00287930" w:rsidP="00966EC0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66EC0"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43D6A560" w14:textId="6356CCF3" w:rsidR="006879F9" w:rsidRPr="00966EC0" w:rsidRDefault="006F004C" w:rsidP="00966EC0">
            <w:pPr>
              <w:pStyle w:val="Ttulo3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</w:rPr>
              <w:t>Cierre de cartera</w:t>
            </w:r>
          </w:p>
        </w:tc>
      </w:tr>
      <w:tr w:rsidR="006879F9" w:rsidRPr="00966EC0" w14:paraId="43D6A566" w14:textId="77777777" w:rsidTr="007D5344">
        <w:tc>
          <w:tcPr>
            <w:tcW w:w="790" w:type="dxa"/>
            <w:vAlign w:val="center"/>
          </w:tcPr>
          <w:p w14:paraId="43D6A562" w14:textId="6910301D" w:rsidR="006879F9" w:rsidRPr="00966EC0" w:rsidRDefault="006879F9" w:rsidP="00966EC0">
            <w:pPr>
              <w:ind w:left="284" w:hanging="284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966EC0">
              <w:rPr>
                <w:rFonts w:ascii="Arial" w:hAnsi="Arial" w:cs="Arial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4586" w:type="dxa"/>
            <w:vAlign w:val="center"/>
          </w:tcPr>
          <w:p w14:paraId="43D6A563" w14:textId="5AD4C18E" w:rsidR="006879F9" w:rsidRPr="00966EC0" w:rsidRDefault="006879F9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Genera y envía reporte para las Centrales de Riesgo de acuerdo con el </w:t>
            </w:r>
            <w:r w:rsidRPr="00966EC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Instructivo de Centrales de Riesgo</w:t>
            </w:r>
            <w:r w:rsidR="00493D0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2043" w:type="dxa"/>
            <w:vAlign w:val="center"/>
          </w:tcPr>
          <w:p w14:paraId="43D6A564" w14:textId="08928724" w:rsidR="006879F9" w:rsidRPr="00966EC0" w:rsidRDefault="00287930" w:rsidP="00966EC0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66EC0"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43D6A565" w14:textId="2737F815" w:rsidR="006879F9" w:rsidRPr="00966EC0" w:rsidRDefault="006F004C" w:rsidP="00966EC0">
            <w:pPr>
              <w:pStyle w:val="Ttulo3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a centrales de riesgo</w:t>
            </w:r>
          </w:p>
        </w:tc>
      </w:tr>
      <w:tr w:rsidR="006879F9" w:rsidRPr="00966EC0" w14:paraId="43D6A56D" w14:textId="77777777" w:rsidTr="007D5344">
        <w:tc>
          <w:tcPr>
            <w:tcW w:w="790" w:type="dxa"/>
            <w:vAlign w:val="center"/>
          </w:tcPr>
          <w:p w14:paraId="43D6A567" w14:textId="408FBBAA" w:rsidR="006879F9" w:rsidRPr="00966EC0" w:rsidRDefault="006879F9" w:rsidP="00966EC0">
            <w:pPr>
              <w:ind w:left="284" w:hanging="284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966EC0">
              <w:rPr>
                <w:rFonts w:ascii="Arial" w:hAnsi="Arial" w:cs="Arial"/>
                <w:sz w:val="24"/>
                <w:szCs w:val="24"/>
                <w:lang w:val="es-ES" w:eastAsia="es-ES"/>
              </w:rPr>
              <w:t>3.1</w:t>
            </w:r>
          </w:p>
        </w:tc>
        <w:tc>
          <w:tcPr>
            <w:tcW w:w="4586" w:type="dxa"/>
            <w:vAlign w:val="center"/>
          </w:tcPr>
          <w:p w14:paraId="43D6A568" w14:textId="08124C2A" w:rsidR="006879F9" w:rsidRPr="00966EC0" w:rsidRDefault="006879F9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Recibe comunicado o notificación de satisfacción o rechazo del archivo enviado.</w:t>
            </w:r>
          </w:p>
          <w:p w14:paraId="4100A48D" w14:textId="77777777" w:rsidR="0028114A" w:rsidRPr="00966EC0" w:rsidRDefault="0028114A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69" w14:textId="50B57F07" w:rsidR="006879F9" w:rsidRPr="00966EC0" w:rsidRDefault="006879F9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Si el archivo enviado es recibido satisfactoriamente pasa al punto 3.3</w:t>
            </w:r>
          </w:p>
          <w:p w14:paraId="5DD70629" w14:textId="77777777" w:rsidR="0028114A" w:rsidRPr="00966EC0" w:rsidRDefault="0028114A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6A" w14:textId="7D0B2513" w:rsidR="006879F9" w:rsidRPr="00966EC0" w:rsidRDefault="006879F9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En caso de rechazo continua en el punto 3.2</w:t>
            </w:r>
          </w:p>
        </w:tc>
        <w:tc>
          <w:tcPr>
            <w:tcW w:w="2043" w:type="dxa"/>
            <w:vAlign w:val="center"/>
          </w:tcPr>
          <w:p w14:paraId="785722F4" w14:textId="77777777" w:rsidR="00287930" w:rsidRPr="00966EC0" w:rsidRDefault="00287930" w:rsidP="00966EC0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66EC0"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Cartera</w:t>
            </w:r>
          </w:p>
          <w:p w14:paraId="43D6A56B" w14:textId="45302018" w:rsidR="006879F9" w:rsidRPr="00966EC0" w:rsidRDefault="006879F9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</w:tc>
        <w:tc>
          <w:tcPr>
            <w:tcW w:w="2134" w:type="dxa"/>
            <w:vAlign w:val="center"/>
          </w:tcPr>
          <w:p w14:paraId="43D6A56C" w14:textId="72CC94AB" w:rsidR="006879F9" w:rsidRPr="00966EC0" w:rsidRDefault="006F004C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Respuesta Centrales de riesgo</w:t>
            </w:r>
          </w:p>
        </w:tc>
      </w:tr>
      <w:tr w:rsidR="006879F9" w:rsidRPr="00966EC0" w14:paraId="43D6A572" w14:textId="77777777" w:rsidTr="007D5344">
        <w:trPr>
          <w:trHeight w:val="45"/>
        </w:trPr>
        <w:tc>
          <w:tcPr>
            <w:tcW w:w="790" w:type="dxa"/>
            <w:vAlign w:val="center"/>
            <w:hideMark/>
          </w:tcPr>
          <w:p w14:paraId="43D6A56E" w14:textId="19CA27F2" w:rsidR="006879F9" w:rsidRPr="00966EC0" w:rsidRDefault="006879F9" w:rsidP="00966EC0">
            <w:pPr>
              <w:pStyle w:val="Ttulo2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3.2</w:t>
            </w:r>
          </w:p>
        </w:tc>
        <w:tc>
          <w:tcPr>
            <w:tcW w:w="4586" w:type="dxa"/>
            <w:vAlign w:val="center"/>
            <w:hideMark/>
          </w:tcPr>
          <w:p w14:paraId="43D6A56F" w14:textId="59841E56" w:rsidR="006879F9" w:rsidRPr="00966EC0" w:rsidRDefault="006879F9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Revisa, corrige y envía reporte para las Centrales de Riesgo.</w:t>
            </w:r>
          </w:p>
        </w:tc>
        <w:tc>
          <w:tcPr>
            <w:tcW w:w="2043" w:type="dxa"/>
            <w:vAlign w:val="center"/>
          </w:tcPr>
          <w:p w14:paraId="43D6A570" w14:textId="023DFE65" w:rsidR="006879F9" w:rsidRPr="00966EC0" w:rsidRDefault="00287930" w:rsidP="00966EC0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66EC0"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Cartera</w:t>
            </w:r>
          </w:p>
        </w:tc>
        <w:tc>
          <w:tcPr>
            <w:tcW w:w="2134" w:type="dxa"/>
          </w:tcPr>
          <w:p w14:paraId="43D6A571" w14:textId="03C22CED" w:rsidR="006879F9" w:rsidRPr="00966EC0" w:rsidRDefault="007D5344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Corrección</w:t>
            </w:r>
            <w:r w:rsidR="006F004C"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 xml:space="preserve"> reporte a centrales de riesgo</w:t>
            </w:r>
          </w:p>
        </w:tc>
      </w:tr>
      <w:tr w:rsidR="006879F9" w:rsidRPr="00966EC0" w14:paraId="43D6A577" w14:textId="77777777" w:rsidTr="007D5344">
        <w:tc>
          <w:tcPr>
            <w:tcW w:w="790" w:type="dxa"/>
            <w:vAlign w:val="center"/>
          </w:tcPr>
          <w:p w14:paraId="43D6A573" w14:textId="5CBC1254" w:rsidR="006879F9" w:rsidRPr="00966EC0" w:rsidRDefault="006879F9" w:rsidP="00966EC0">
            <w:pPr>
              <w:pStyle w:val="Ttulo2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3.3</w:t>
            </w:r>
          </w:p>
        </w:tc>
        <w:tc>
          <w:tcPr>
            <w:tcW w:w="4586" w:type="dxa"/>
            <w:vAlign w:val="center"/>
          </w:tcPr>
          <w:p w14:paraId="43D6A574" w14:textId="42CE9ACF" w:rsidR="006879F9" w:rsidRPr="00966EC0" w:rsidRDefault="006879F9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Envía copia de la notificación de recibido a satisfacción a</w:t>
            </w:r>
            <w:r w:rsidR="006F004C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l área de Riesgos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.</w:t>
            </w:r>
          </w:p>
        </w:tc>
        <w:tc>
          <w:tcPr>
            <w:tcW w:w="2043" w:type="dxa"/>
            <w:vAlign w:val="center"/>
          </w:tcPr>
          <w:p w14:paraId="43D6A575" w14:textId="1F0C9076" w:rsidR="006879F9" w:rsidRPr="00966EC0" w:rsidRDefault="00287930" w:rsidP="00966EC0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66EC0"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Cartera</w:t>
            </w:r>
          </w:p>
        </w:tc>
        <w:tc>
          <w:tcPr>
            <w:tcW w:w="2134" w:type="dxa"/>
          </w:tcPr>
          <w:p w14:paraId="43D6A576" w14:textId="26E23358" w:rsidR="006879F9" w:rsidRPr="00966EC0" w:rsidRDefault="007D5344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Notificación de recibido al área de riesgo</w:t>
            </w:r>
          </w:p>
        </w:tc>
      </w:tr>
      <w:tr w:rsidR="006879F9" w:rsidRPr="00966EC0" w14:paraId="43D6A57C" w14:textId="77777777" w:rsidTr="007D5344">
        <w:trPr>
          <w:trHeight w:val="45"/>
        </w:trPr>
        <w:tc>
          <w:tcPr>
            <w:tcW w:w="790" w:type="dxa"/>
            <w:vAlign w:val="center"/>
          </w:tcPr>
          <w:p w14:paraId="43D6A578" w14:textId="0E20CCF9" w:rsidR="006879F9" w:rsidRPr="00966EC0" w:rsidRDefault="006879F9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4586" w:type="dxa"/>
            <w:vAlign w:val="center"/>
          </w:tcPr>
          <w:p w14:paraId="43D6A579" w14:textId="77777777" w:rsidR="006879F9" w:rsidRPr="00966EC0" w:rsidRDefault="006879F9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Genera y envía al área de contabilidad el reporte de cartera para transmitir a la Superintendencia de Economía Solidaria.</w:t>
            </w:r>
          </w:p>
        </w:tc>
        <w:tc>
          <w:tcPr>
            <w:tcW w:w="2043" w:type="dxa"/>
            <w:vAlign w:val="center"/>
          </w:tcPr>
          <w:p w14:paraId="43D6A57A" w14:textId="120D06EA" w:rsidR="006879F9" w:rsidRPr="00966EC0" w:rsidRDefault="00287930" w:rsidP="00966EC0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966EC0">
              <w:rPr>
                <w:rFonts w:ascii="Arial" w:hAnsi="Arial" w:cs="Arial"/>
                <w:bCs/>
                <w:spacing w:val="-3"/>
                <w:sz w:val="24"/>
                <w:szCs w:val="24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43D6A57B" w14:textId="3587B9D1" w:rsidR="006879F9" w:rsidRPr="00966EC0" w:rsidRDefault="007D5344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Cartera</w:t>
            </w:r>
          </w:p>
        </w:tc>
      </w:tr>
      <w:tr w:rsidR="006879F9" w:rsidRPr="00966EC0" w14:paraId="39CC0AD2" w14:textId="77777777" w:rsidTr="006879F9">
        <w:trPr>
          <w:trHeight w:val="45"/>
        </w:trPr>
        <w:tc>
          <w:tcPr>
            <w:tcW w:w="9553" w:type="dxa"/>
            <w:gridSpan w:val="4"/>
            <w:tcBorders>
              <w:left w:val="nil"/>
              <w:right w:val="nil"/>
            </w:tcBorders>
          </w:tcPr>
          <w:p w14:paraId="6391D820" w14:textId="77777777" w:rsidR="006879F9" w:rsidRPr="00966EC0" w:rsidRDefault="006879F9" w:rsidP="00966EC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57C7664B" w14:textId="413D187E" w:rsidR="006879F9" w:rsidRPr="00966EC0" w:rsidRDefault="006879F9" w:rsidP="00966EC0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PROCESO OPERATIVO DEL MODELO DE RECUPERACIÓN (Generación de informes para gestionar la recuperación de cartera)</w:t>
            </w:r>
          </w:p>
          <w:p w14:paraId="1EA4F808" w14:textId="40249DD2" w:rsidR="006879F9" w:rsidRPr="00966EC0" w:rsidRDefault="006879F9" w:rsidP="00966EC0">
            <w:pPr>
              <w:pStyle w:val="Prrafodelista"/>
              <w:ind w:left="454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4D28F3" w:rsidRPr="00966EC0" w14:paraId="6ACE5F02" w14:textId="77777777" w:rsidTr="004D28F3">
        <w:tc>
          <w:tcPr>
            <w:tcW w:w="790" w:type="dxa"/>
            <w:vAlign w:val="center"/>
          </w:tcPr>
          <w:p w14:paraId="79C0E2FE" w14:textId="4EA4DE96" w:rsidR="004D28F3" w:rsidRPr="00966EC0" w:rsidRDefault="004D28F3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Cs/>
                <w:sz w:val="24"/>
                <w:szCs w:val="24"/>
              </w:rPr>
              <w:t>No.</w:t>
            </w:r>
          </w:p>
        </w:tc>
        <w:tc>
          <w:tcPr>
            <w:tcW w:w="4586" w:type="dxa"/>
            <w:vAlign w:val="center"/>
          </w:tcPr>
          <w:p w14:paraId="77D13497" w14:textId="25FC025A" w:rsidR="004D28F3" w:rsidRPr="00966EC0" w:rsidRDefault="004D28F3" w:rsidP="00966EC0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pacing w:val="-3"/>
                <w:sz w:val="24"/>
                <w:szCs w:val="24"/>
              </w:rPr>
              <w:t>Actividad</w:t>
            </w:r>
          </w:p>
        </w:tc>
        <w:tc>
          <w:tcPr>
            <w:tcW w:w="2043" w:type="dxa"/>
            <w:vAlign w:val="center"/>
          </w:tcPr>
          <w:p w14:paraId="2FDB6AAF" w14:textId="4FF2F2B6" w:rsidR="004D28F3" w:rsidRPr="00966EC0" w:rsidRDefault="004D28F3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spacing w:val="-3"/>
                <w:sz w:val="24"/>
                <w:szCs w:val="24"/>
              </w:rPr>
              <w:t>Responsable</w:t>
            </w:r>
          </w:p>
        </w:tc>
        <w:tc>
          <w:tcPr>
            <w:tcW w:w="2134" w:type="dxa"/>
            <w:vAlign w:val="center"/>
          </w:tcPr>
          <w:p w14:paraId="0F988FB9" w14:textId="36561CEA" w:rsidR="004D28F3" w:rsidRPr="00966EC0" w:rsidRDefault="004D28F3" w:rsidP="00966EC0">
            <w:pPr>
              <w:pStyle w:val="Ttulo3"/>
              <w:ind w:left="284" w:hanging="284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spacing w:val="-3"/>
                <w:sz w:val="24"/>
                <w:szCs w:val="24"/>
              </w:rPr>
              <w:t>Registro</w:t>
            </w:r>
          </w:p>
        </w:tc>
      </w:tr>
      <w:tr w:rsidR="00713E93" w:rsidRPr="00966EC0" w14:paraId="43D6A586" w14:textId="77777777" w:rsidTr="00014909">
        <w:tc>
          <w:tcPr>
            <w:tcW w:w="790" w:type="dxa"/>
            <w:vAlign w:val="center"/>
          </w:tcPr>
          <w:p w14:paraId="43D6A582" w14:textId="2F6B31C4" w:rsidR="00713E93" w:rsidRPr="00966EC0" w:rsidRDefault="00713E93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4586" w:type="dxa"/>
          </w:tcPr>
          <w:p w14:paraId="43D6A583" w14:textId="4FB01495" w:rsidR="00713E93" w:rsidRPr="00966EC0" w:rsidRDefault="00713E93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General el archivo del portafolio de crédito a la fecha de corte, en lo posible los cinco (05) primeros días de cada mes </w:t>
            </w:r>
          </w:p>
        </w:tc>
        <w:tc>
          <w:tcPr>
            <w:tcW w:w="2043" w:type="dxa"/>
            <w:vAlign w:val="center"/>
          </w:tcPr>
          <w:p w14:paraId="43D6A584" w14:textId="4EF976FF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43D6A585" w14:textId="5356E423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Cartera</w:t>
            </w:r>
          </w:p>
        </w:tc>
      </w:tr>
      <w:tr w:rsidR="00713E93" w:rsidRPr="00966EC0" w14:paraId="43D6A58B" w14:textId="77777777" w:rsidTr="00990DCB">
        <w:trPr>
          <w:trHeight w:val="45"/>
        </w:trPr>
        <w:tc>
          <w:tcPr>
            <w:tcW w:w="790" w:type="dxa"/>
            <w:vAlign w:val="center"/>
          </w:tcPr>
          <w:p w14:paraId="43D6A587" w14:textId="3E61090A" w:rsidR="00713E93" w:rsidRPr="00966EC0" w:rsidRDefault="00713E93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4586" w:type="dxa"/>
          </w:tcPr>
          <w:p w14:paraId="43D6A588" w14:textId="5373CC65" w:rsidR="00713E93" w:rsidRPr="00966EC0" w:rsidRDefault="00493D05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Crea el documento en Excel para la gestión del cobro</w:t>
            </w:r>
            <w:r w:rsidR="00713E93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a la fecha de corte </w:t>
            </w:r>
          </w:p>
        </w:tc>
        <w:tc>
          <w:tcPr>
            <w:tcW w:w="2043" w:type="dxa"/>
            <w:vAlign w:val="center"/>
          </w:tcPr>
          <w:p w14:paraId="43D6A589" w14:textId="65C442DC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43D6A58A" w14:textId="3545DCD8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Cartera</w:t>
            </w:r>
          </w:p>
        </w:tc>
      </w:tr>
      <w:tr w:rsidR="00713E93" w:rsidRPr="00966EC0" w14:paraId="43D6A595" w14:textId="77777777" w:rsidTr="00C17E75">
        <w:trPr>
          <w:trHeight w:val="45"/>
        </w:trPr>
        <w:tc>
          <w:tcPr>
            <w:tcW w:w="790" w:type="dxa"/>
            <w:vAlign w:val="center"/>
          </w:tcPr>
          <w:p w14:paraId="43D6A591" w14:textId="78482E36" w:rsidR="00713E93" w:rsidRPr="00966EC0" w:rsidRDefault="00493D05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>
              <w:rPr>
                <w:rFonts w:cs="Arial"/>
                <w:b w:val="0"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4586" w:type="dxa"/>
          </w:tcPr>
          <w:p w14:paraId="43D6A592" w14:textId="72FAAD49" w:rsidR="00713E93" w:rsidRPr="00966EC0" w:rsidRDefault="00713E93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Asignar el </w:t>
            </w:r>
            <w:r w:rsidR="00493D05">
              <w:rPr>
                <w:rFonts w:ascii="Arial" w:hAnsi="Arial" w:cs="Arial"/>
                <w:bCs/>
                <w:sz w:val="24"/>
                <w:szCs w:val="24"/>
                <w:lang w:val="es-ES"/>
              </w:rPr>
              <w:t>funcionario de apoyo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a cada operación de crédito</w:t>
            </w:r>
            <w:r w:rsidR="00493D05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, según sea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a las operaciones con probabilidad de mora y severidad alta.</w:t>
            </w:r>
          </w:p>
        </w:tc>
        <w:tc>
          <w:tcPr>
            <w:tcW w:w="2043" w:type="dxa"/>
            <w:vAlign w:val="center"/>
          </w:tcPr>
          <w:p w14:paraId="43D6A593" w14:textId="24887AC9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43D6A594" w14:textId="22DB3548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Cartera</w:t>
            </w:r>
          </w:p>
        </w:tc>
      </w:tr>
      <w:tr w:rsidR="00713E93" w:rsidRPr="00966EC0" w14:paraId="43D6A5A5" w14:textId="77777777" w:rsidTr="00E00C32">
        <w:tc>
          <w:tcPr>
            <w:tcW w:w="790" w:type="dxa"/>
            <w:vAlign w:val="center"/>
          </w:tcPr>
          <w:p w14:paraId="43D6A5A0" w14:textId="27DE2BE0" w:rsidR="00713E93" w:rsidRPr="00966EC0" w:rsidRDefault="00493D05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>
              <w:rPr>
                <w:rFonts w:cs="Arial"/>
                <w:b w:val="0"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4586" w:type="dxa"/>
          </w:tcPr>
          <w:p w14:paraId="43D6A5A2" w14:textId="0E3C92B3" w:rsidR="00713E93" w:rsidRPr="00966EC0" w:rsidRDefault="00713E93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En el proceso de recuperación mensual, </w:t>
            </w:r>
            <w:r w:rsidR="00493D05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cada </w:t>
            </w:r>
            <w:r w:rsidR="00493D05">
              <w:rPr>
                <w:rFonts w:ascii="Arial" w:hAnsi="Arial" w:cs="Arial"/>
                <w:bCs/>
                <w:sz w:val="24"/>
                <w:szCs w:val="24"/>
                <w:lang w:val="es-ES"/>
              </w:rPr>
              <w:t>funcionario de apoyo</w:t>
            </w:r>
            <w:r w:rsidR="00493D05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tendrá la responsabilidad de </w:t>
            </w:r>
            <w:r w:rsidR="00493D05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realizar el cobro de los portafolios asignados y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suministrar el informe al Coordinador de Cartera.</w:t>
            </w:r>
          </w:p>
        </w:tc>
        <w:tc>
          <w:tcPr>
            <w:tcW w:w="2043" w:type="dxa"/>
            <w:vAlign w:val="center"/>
          </w:tcPr>
          <w:p w14:paraId="0B1C049E" w14:textId="77777777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  <w:p w14:paraId="447845F1" w14:textId="77777777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  <w:p w14:paraId="43D6A5A3" w14:textId="350A3C07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Funcionarios que apoyan la cobranza</w:t>
            </w:r>
          </w:p>
        </w:tc>
        <w:tc>
          <w:tcPr>
            <w:tcW w:w="2134" w:type="dxa"/>
            <w:vAlign w:val="center"/>
          </w:tcPr>
          <w:p w14:paraId="43D6A5A4" w14:textId="03534644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Cobro</w:t>
            </w:r>
          </w:p>
        </w:tc>
      </w:tr>
      <w:tr w:rsidR="00713E93" w:rsidRPr="00966EC0" w14:paraId="43D6A5AA" w14:textId="77777777" w:rsidTr="00476568">
        <w:trPr>
          <w:trHeight w:val="45"/>
        </w:trPr>
        <w:tc>
          <w:tcPr>
            <w:tcW w:w="790" w:type="dxa"/>
            <w:vAlign w:val="center"/>
          </w:tcPr>
          <w:p w14:paraId="43D6A5A6" w14:textId="455C24AA" w:rsidR="00713E93" w:rsidRPr="00966EC0" w:rsidRDefault="00493D05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sz w:val="24"/>
                <w:szCs w:val="24"/>
                <w:lang w:val="es-ES"/>
              </w:rPr>
            </w:pPr>
            <w:r>
              <w:rPr>
                <w:rFonts w:cs="Arial"/>
                <w:b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4586" w:type="dxa"/>
          </w:tcPr>
          <w:p w14:paraId="43D6A5A7" w14:textId="2FEA551E" w:rsidR="00713E93" w:rsidRPr="00966EC0" w:rsidRDefault="00713E93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Generar los diferentes informes de la gestión de recuperación del mes inmediatamente anterior para divulgar el estado de los portafolios con novedades en morosidad en el área de cartera.</w:t>
            </w:r>
          </w:p>
        </w:tc>
        <w:tc>
          <w:tcPr>
            <w:tcW w:w="2043" w:type="dxa"/>
            <w:vAlign w:val="center"/>
          </w:tcPr>
          <w:p w14:paraId="43D6A5A8" w14:textId="132CF167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43D6A5A9" w14:textId="6DC0B722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Cobro</w:t>
            </w:r>
          </w:p>
        </w:tc>
      </w:tr>
      <w:tr w:rsidR="00713E93" w:rsidRPr="00966EC0" w14:paraId="43D6A5AF" w14:textId="77777777" w:rsidTr="004D28F3">
        <w:trPr>
          <w:trHeight w:val="45"/>
        </w:trPr>
        <w:tc>
          <w:tcPr>
            <w:tcW w:w="9553" w:type="dxa"/>
            <w:gridSpan w:val="4"/>
            <w:tcBorders>
              <w:left w:val="nil"/>
              <w:right w:val="nil"/>
            </w:tcBorders>
          </w:tcPr>
          <w:p w14:paraId="29CC4FAA" w14:textId="7AF75F20" w:rsidR="00713E93" w:rsidRDefault="00713E93" w:rsidP="00966EC0">
            <w:pPr>
              <w:pStyle w:val="Ttulo3"/>
              <w:jc w:val="both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  <w:p w14:paraId="7F0958DD" w14:textId="24A31B6F" w:rsidR="00493D05" w:rsidRDefault="00493D05" w:rsidP="00493D05">
            <w:pPr>
              <w:rPr>
                <w:lang w:val="es-ES" w:eastAsia="es-ES"/>
              </w:rPr>
            </w:pPr>
          </w:p>
          <w:p w14:paraId="2A37BE7E" w14:textId="77777777" w:rsidR="00713E93" w:rsidRPr="00966EC0" w:rsidRDefault="00713E93" w:rsidP="00966EC0">
            <w:pPr>
              <w:pStyle w:val="Prrafodelista"/>
              <w:numPr>
                <w:ilvl w:val="1"/>
                <w:numId w:val="6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PROCESO OPERATIVO</w:t>
            </w:r>
          </w:p>
          <w:p w14:paraId="43D6A5AE" w14:textId="4D5E0021" w:rsidR="00713E93" w:rsidRPr="00966EC0" w:rsidRDefault="00713E93" w:rsidP="00966EC0">
            <w:pPr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713E93" w:rsidRPr="00966EC0" w14:paraId="7BA2E67B" w14:textId="77777777" w:rsidTr="004D28F3">
        <w:trPr>
          <w:trHeight w:val="45"/>
        </w:trPr>
        <w:tc>
          <w:tcPr>
            <w:tcW w:w="790" w:type="dxa"/>
            <w:vAlign w:val="center"/>
          </w:tcPr>
          <w:p w14:paraId="037FE580" w14:textId="15788270" w:rsidR="00713E93" w:rsidRPr="00966EC0" w:rsidRDefault="00713E93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Cs/>
                <w:sz w:val="24"/>
                <w:szCs w:val="24"/>
              </w:rPr>
              <w:t>No.</w:t>
            </w:r>
          </w:p>
        </w:tc>
        <w:tc>
          <w:tcPr>
            <w:tcW w:w="4586" w:type="dxa"/>
            <w:vAlign w:val="center"/>
          </w:tcPr>
          <w:p w14:paraId="5C94233C" w14:textId="4B30BC4F" w:rsidR="00713E93" w:rsidRPr="00966EC0" w:rsidRDefault="00713E93" w:rsidP="00966EC0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pacing w:val="-3"/>
                <w:sz w:val="24"/>
                <w:szCs w:val="24"/>
              </w:rPr>
              <w:t>Actividad</w:t>
            </w:r>
          </w:p>
        </w:tc>
        <w:tc>
          <w:tcPr>
            <w:tcW w:w="2043" w:type="dxa"/>
            <w:vAlign w:val="center"/>
          </w:tcPr>
          <w:p w14:paraId="3A18966E" w14:textId="27B4F054" w:rsidR="00713E93" w:rsidRPr="00966EC0" w:rsidRDefault="00713E93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spacing w:val="-3"/>
                <w:sz w:val="24"/>
                <w:szCs w:val="24"/>
              </w:rPr>
              <w:t>Responsable</w:t>
            </w:r>
          </w:p>
        </w:tc>
        <w:tc>
          <w:tcPr>
            <w:tcW w:w="2134" w:type="dxa"/>
            <w:vAlign w:val="center"/>
          </w:tcPr>
          <w:p w14:paraId="5C4FC76F" w14:textId="637480E2" w:rsidR="00713E93" w:rsidRPr="00966EC0" w:rsidRDefault="00713E93" w:rsidP="00966EC0">
            <w:pPr>
              <w:pStyle w:val="Ttulo3"/>
              <w:ind w:left="284" w:hanging="284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spacing w:val="-3"/>
                <w:sz w:val="24"/>
                <w:szCs w:val="24"/>
              </w:rPr>
              <w:t>Registro</w:t>
            </w:r>
          </w:p>
        </w:tc>
      </w:tr>
      <w:tr w:rsidR="00713E93" w:rsidRPr="00966EC0" w14:paraId="43D6A5B4" w14:textId="77777777" w:rsidTr="0050266D">
        <w:trPr>
          <w:trHeight w:val="45"/>
        </w:trPr>
        <w:tc>
          <w:tcPr>
            <w:tcW w:w="790" w:type="dxa"/>
            <w:vAlign w:val="center"/>
          </w:tcPr>
          <w:p w14:paraId="43D6A5B0" w14:textId="451C7643" w:rsidR="00713E93" w:rsidRPr="00966EC0" w:rsidRDefault="00713E93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4586" w:type="dxa"/>
          </w:tcPr>
          <w:p w14:paraId="2DEA6291" w14:textId="77777777" w:rsidR="00713E93" w:rsidRPr="00966EC0" w:rsidRDefault="00713E93" w:rsidP="00966EC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z w:val="24"/>
                <w:szCs w:val="24"/>
                <w:lang w:val="es-ES"/>
              </w:rPr>
              <w:t>ANÁLISIS</w:t>
            </w:r>
          </w:p>
          <w:p w14:paraId="4E796A95" w14:textId="77777777" w:rsidR="00713E93" w:rsidRPr="00966EC0" w:rsidRDefault="00713E93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B1" w14:textId="7DF1189E" w:rsidR="00713E93" w:rsidRPr="00966EC0" w:rsidRDefault="00713E93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Se debe examinar las operaciones con vencimientos</w:t>
            </w:r>
            <w:r w:rsidR="00270BAD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y de ser el caso, con el área de originación, a fin de identificar la situación del asociados o ex asociado, las condiciones de originación del crédito y la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lastRenderedPageBreak/>
              <w:t>situación actual de los portafolios para determinar las causas de la morosidad.</w:t>
            </w:r>
          </w:p>
        </w:tc>
        <w:tc>
          <w:tcPr>
            <w:tcW w:w="2043" w:type="dxa"/>
            <w:vAlign w:val="center"/>
          </w:tcPr>
          <w:p w14:paraId="43D6A5B2" w14:textId="6E6D169E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lastRenderedPageBreak/>
              <w:t>Coordinador de Cartera</w:t>
            </w:r>
          </w:p>
        </w:tc>
        <w:tc>
          <w:tcPr>
            <w:tcW w:w="2134" w:type="dxa"/>
            <w:vAlign w:val="center"/>
          </w:tcPr>
          <w:p w14:paraId="43D6A5B3" w14:textId="6A098FCD" w:rsidR="00713E93" w:rsidRPr="00966EC0" w:rsidRDefault="00713E93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Cartera</w:t>
            </w:r>
          </w:p>
        </w:tc>
      </w:tr>
      <w:tr w:rsidR="000D1BCF" w:rsidRPr="00966EC0" w14:paraId="5353B99C" w14:textId="77777777" w:rsidTr="00AB5004">
        <w:trPr>
          <w:trHeight w:val="45"/>
        </w:trPr>
        <w:tc>
          <w:tcPr>
            <w:tcW w:w="790" w:type="dxa"/>
            <w:vAlign w:val="center"/>
          </w:tcPr>
          <w:p w14:paraId="096B3C00" w14:textId="6FF1B2D1" w:rsidR="000D1BCF" w:rsidRPr="00966EC0" w:rsidRDefault="000D1BCF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1.1</w:t>
            </w:r>
          </w:p>
        </w:tc>
        <w:tc>
          <w:tcPr>
            <w:tcW w:w="4586" w:type="dxa"/>
          </w:tcPr>
          <w:p w14:paraId="71E9859E" w14:textId="7F3A40D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Generar y envía los portafolios de cartera para 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cada </w:t>
            </w:r>
            <w:r w:rsidR="00270BAD">
              <w:rPr>
                <w:rFonts w:ascii="Arial" w:hAnsi="Arial" w:cs="Arial"/>
                <w:bCs/>
                <w:sz w:val="24"/>
                <w:szCs w:val="24"/>
                <w:lang w:val="es-ES"/>
              </w:rPr>
              <w:t>funcionario</w:t>
            </w:r>
            <w:r w:rsidR="00270BAD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 apoyo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.</w:t>
            </w:r>
          </w:p>
        </w:tc>
        <w:tc>
          <w:tcPr>
            <w:tcW w:w="2043" w:type="dxa"/>
            <w:vAlign w:val="center"/>
          </w:tcPr>
          <w:p w14:paraId="26B7F264" w14:textId="6295F83D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79DAA0B2" w14:textId="2E61267C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Cartera</w:t>
            </w:r>
          </w:p>
        </w:tc>
      </w:tr>
      <w:tr w:rsidR="000D1BCF" w:rsidRPr="00966EC0" w14:paraId="0CCAD777" w14:textId="77777777" w:rsidTr="00203D9A">
        <w:trPr>
          <w:trHeight w:val="45"/>
        </w:trPr>
        <w:tc>
          <w:tcPr>
            <w:tcW w:w="790" w:type="dxa"/>
            <w:vAlign w:val="center"/>
          </w:tcPr>
          <w:p w14:paraId="0140459A" w14:textId="2665EAE5" w:rsidR="000D1BCF" w:rsidRPr="00966EC0" w:rsidRDefault="000D1BCF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1.2</w:t>
            </w:r>
          </w:p>
        </w:tc>
        <w:tc>
          <w:tcPr>
            <w:tcW w:w="4586" w:type="dxa"/>
          </w:tcPr>
          <w:p w14:paraId="19BAC2D8" w14:textId="2DD508F5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Analizar y segmentar las operaciones sin morosidad que tengan probabilidad de mora (preventivo) y con morosidad mensualmente.</w:t>
            </w:r>
          </w:p>
        </w:tc>
        <w:tc>
          <w:tcPr>
            <w:tcW w:w="2043" w:type="dxa"/>
            <w:vAlign w:val="center"/>
          </w:tcPr>
          <w:p w14:paraId="2CD19E28" w14:textId="0ECD8C55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00AD20AA" w14:textId="7E8D53D8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Cartera</w:t>
            </w:r>
          </w:p>
        </w:tc>
      </w:tr>
      <w:tr w:rsidR="000D1BCF" w:rsidRPr="00966EC0" w14:paraId="3EEF8052" w14:textId="77777777" w:rsidTr="006C7FA8">
        <w:trPr>
          <w:trHeight w:val="45"/>
        </w:trPr>
        <w:tc>
          <w:tcPr>
            <w:tcW w:w="790" w:type="dxa"/>
            <w:vAlign w:val="center"/>
          </w:tcPr>
          <w:p w14:paraId="46C269C3" w14:textId="2EF12D7B" w:rsidR="000D1BCF" w:rsidRPr="00966EC0" w:rsidRDefault="000D1BCF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1.3</w:t>
            </w:r>
          </w:p>
        </w:tc>
        <w:tc>
          <w:tcPr>
            <w:tcW w:w="4586" w:type="dxa"/>
          </w:tcPr>
          <w:p w14:paraId="2B602553" w14:textId="78D66BA4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Analizar con el área de originación las operaciones con perfiles de riesgo alto, de ser el caso.</w:t>
            </w:r>
          </w:p>
        </w:tc>
        <w:tc>
          <w:tcPr>
            <w:tcW w:w="2043" w:type="dxa"/>
            <w:vAlign w:val="center"/>
          </w:tcPr>
          <w:p w14:paraId="22849F92" w14:textId="19A33C4E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54EA6347" w14:textId="264D2B51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Cartera</w:t>
            </w:r>
          </w:p>
        </w:tc>
      </w:tr>
      <w:tr w:rsidR="000D1BCF" w:rsidRPr="00966EC0" w14:paraId="43D6A5B9" w14:textId="77777777" w:rsidTr="00046CB1">
        <w:trPr>
          <w:trHeight w:val="45"/>
        </w:trPr>
        <w:tc>
          <w:tcPr>
            <w:tcW w:w="790" w:type="dxa"/>
            <w:vAlign w:val="center"/>
          </w:tcPr>
          <w:p w14:paraId="43D6A5B5" w14:textId="756A9CCD" w:rsidR="000D1BCF" w:rsidRPr="00966EC0" w:rsidRDefault="000D1BCF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4586" w:type="dxa"/>
          </w:tcPr>
          <w:p w14:paraId="3440268F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z w:val="24"/>
                <w:szCs w:val="24"/>
                <w:lang w:val="es-ES"/>
              </w:rPr>
              <w:t>CONTACTO</w:t>
            </w:r>
          </w:p>
          <w:p w14:paraId="4A16123C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0E862E33" w14:textId="1F4F4396" w:rsidR="00270BAD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Al establecer contacto con 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el asociados o ex asociado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, se debe verificar previamente la existencia de acciones o tipo de gestiones ejecutadas presenta actualmente.</w:t>
            </w:r>
          </w:p>
          <w:p w14:paraId="56012DE5" w14:textId="77777777" w:rsidR="00270BAD" w:rsidRDefault="00270BAD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B6" w14:textId="3FE52D21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Adicionalmente, se requiere comprobar si la información (características propias de contacto) se encuentra actualizada para realizar la gestión de recuperación.</w:t>
            </w:r>
          </w:p>
        </w:tc>
        <w:tc>
          <w:tcPr>
            <w:tcW w:w="2043" w:type="dxa"/>
            <w:vAlign w:val="center"/>
          </w:tcPr>
          <w:p w14:paraId="032ECE94" w14:textId="77777777" w:rsidR="000D1BCF" w:rsidRPr="00966EC0" w:rsidRDefault="000D1BCF" w:rsidP="00966EC0">
            <w:pPr>
              <w:ind w:left="284" w:hanging="284"/>
              <w:jc w:val="both"/>
              <w:rPr>
                <w:rFonts w:ascii="Arial" w:hAnsi="Arial" w:cs="Arial"/>
                <w:bCs/>
                <w:sz w:val="24"/>
                <w:szCs w:val="24"/>
                <w:lang w:val="es-ES" w:eastAsia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 w:eastAsia="es-ES"/>
              </w:rPr>
              <w:t>Coordinador de Cartera</w:t>
            </w:r>
          </w:p>
          <w:p w14:paraId="35B7AE8D" w14:textId="77777777" w:rsidR="000D1BCF" w:rsidRPr="00966EC0" w:rsidRDefault="000D1BCF" w:rsidP="00966EC0">
            <w:pPr>
              <w:ind w:left="284" w:hanging="284"/>
              <w:jc w:val="both"/>
              <w:rPr>
                <w:rFonts w:ascii="Arial" w:hAnsi="Arial" w:cs="Arial"/>
                <w:bCs/>
                <w:sz w:val="24"/>
                <w:szCs w:val="24"/>
                <w:lang w:val="es-ES" w:eastAsia="es-ES"/>
              </w:rPr>
            </w:pPr>
          </w:p>
          <w:p w14:paraId="43D6A5B7" w14:textId="62B02633" w:rsidR="000D1BCF" w:rsidRPr="00966EC0" w:rsidRDefault="000D1BCF" w:rsidP="00966EC0">
            <w:pPr>
              <w:ind w:left="284" w:hanging="284"/>
              <w:jc w:val="both"/>
              <w:rPr>
                <w:rFonts w:ascii="Arial" w:hAnsi="Arial" w:cs="Arial"/>
                <w:bCs/>
                <w:sz w:val="24"/>
                <w:szCs w:val="24"/>
                <w:lang w:val="es-ES" w:eastAsia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 w:eastAsia="es-ES"/>
              </w:rPr>
              <w:t>Funcionarios que apoyan la cobranza</w:t>
            </w:r>
          </w:p>
        </w:tc>
        <w:tc>
          <w:tcPr>
            <w:tcW w:w="2134" w:type="dxa"/>
            <w:vAlign w:val="center"/>
          </w:tcPr>
          <w:p w14:paraId="43D6A5B8" w14:textId="1AB64E3E" w:rsidR="000D1BCF" w:rsidRPr="00966EC0" w:rsidRDefault="000D1BCF" w:rsidP="00966EC0">
            <w:pPr>
              <w:ind w:left="284" w:hanging="284"/>
              <w:jc w:val="both"/>
              <w:rPr>
                <w:rFonts w:ascii="Arial" w:hAnsi="Arial" w:cs="Arial"/>
                <w:bCs/>
                <w:sz w:val="24"/>
                <w:szCs w:val="24"/>
                <w:lang w:val="es-ES" w:eastAsia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 w:eastAsia="es-ES"/>
              </w:rPr>
              <w:t>Reporte de Cobro</w:t>
            </w:r>
          </w:p>
        </w:tc>
      </w:tr>
      <w:tr w:rsidR="000D1BCF" w:rsidRPr="00966EC0" w14:paraId="58FB3820" w14:textId="77777777" w:rsidTr="00796EF8">
        <w:trPr>
          <w:trHeight w:val="45"/>
        </w:trPr>
        <w:tc>
          <w:tcPr>
            <w:tcW w:w="790" w:type="dxa"/>
            <w:vAlign w:val="center"/>
          </w:tcPr>
          <w:p w14:paraId="1B32664D" w14:textId="160E4B80" w:rsidR="000D1BCF" w:rsidRPr="00966EC0" w:rsidRDefault="000D1BCF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2.1</w:t>
            </w:r>
          </w:p>
        </w:tc>
        <w:tc>
          <w:tcPr>
            <w:tcW w:w="4586" w:type="dxa"/>
          </w:tcPr>
          <w:p w14:paraId="778B6166" w14:textId="1E4EB906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Notifica estado de obligaciones en mora a asociados activos, ex asociados y deudores solidarios, dependiendo del perfil de riesgo y la prioridad en la gestión de recuperación.</w:t>
            </w:r>
          </w:p>
        </w:tc>
        <w:tc>
          <w:tcPr>
            <w:tcW w:w="2043" w:type="dxa"/>
            <w:vAlign w:val="center"/>
          </w:tcPr>
          <w:p w14:paraId="62CAA174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  <w:p w14:paraId="12A0C5DF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  <w:p w14:paraId="3924868F" w14:textId="3CD3B09D" w:rsidR="000D1BCF" w:rsidRPr="00966EC0" w:rsidRDefault="000D1BCF" w:rsidP="00966EC0">
            <w:pPr>
              <w:pStyle w:val="Ttulo2"/>
              <w:ind w:left="284" w:hanging="284"/>
              <w:jc w:val="both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Funcionarios que apoyan la cobranza</w:t>
            </w:r>
          </w:p>
        </w:tc>
        <w:tc>
          <w:tcPr>
            <w:tcW w:w="2134" w:type="dxa"/>
            <w:vAlign w:val="center"/>
          </w:tcPr>
          <w:p w14:paraId="494AE335" w14:textId="202B3E25" w:rsidR="000D1BCF" w:rsidRPr="00966EC0" w:rsidRDefault="000D1BCF" w:rsidP="00966EC0">
            <w:pPr>
              <w:pStyle w:val="Ttulo3"/>
              <w:ind w:left="284" w:hanging="284"/>
              <w:jc w:val="both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Cobro</w:t>
            </w:r>
          </w:p>
        </w:tc>
      </w:tr>
      <w:tr w:rsidR="000D1BCF" w:rsidRPr="00966EC0" w14:paraId="43D6A5BE" w14:textId="77777777" w:rsidTr="00102AFF">
        <w:trPr>
          <w:trHeight w:val="45"/>
        </w:trPr>
        <w:tc>
          <w:tcPr>
            <w:tcW w:w="790" w:type="dxa"/>
            <w:vAlign w:val="center"/>
          </w:tcPr>
          <w:p w14:paraId="43D6A5BA" w14:textId="3D733E0C" w:rsidR="000D1BCF" w:rsidRPr="00966EC0" w:rsidRDefault="000D1BCF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4586" w:type="dxa"/>
          </w:tcPr>
          <w:p w14:paraId="6F3A3BCD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z w:val="24"/>
                <w:szCs w:val="24"/>
                <w:lang w:val="es-ES"/>
              </w:rPr>
              <w:t>DIAGNÓSTICO</w:t>
            </w:r>
          </w:p>
          <w:p w14:paraId="4B10B2AA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24B6EB07" w14:textId="225C1F01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Se debe establecer los motivos o causas de la morosidad actual 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del asociados o ex asociado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con criterio cualitativo y cuantitativo de acuerdo con la metodología técnica establecida en el proceso de recuperación.</w:t>
            </w:r>
          </w:p>
          <w:p w14:paraId="77FFB659" w14:textId="77777777" w:rsidR="000D1BCF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26F0E513" w14:textId="77777777" w:rsidR="00270BAD" w:rsidRDefault="00270BAD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BB" w14:textId="0290C9E5" w:rsidR="00270BAD" w:rsidRPr="00966EC0" w:rsidRDefault="00270BAD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043" w:type="dxa"/>
            <w:vAlign w:val="center"/>
          </w:tcPr>
          <w:p w14:paraId="344C89F2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  <w:p w14:paraId="7754D2F1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  <w:p w14:paraId="43D6A5BC" w14:textId="0C2D5314" w:rsidR="000D1BCF" w:rsidRPr="00966EC0" w:rsidRDefault="000D1BCF" w:rsidP="00966EC0">
            <w:pPr>
              <w:pStyle w:val="Ttulo2"/>
              <w:ind w:left="284" w:hanging="284"/>
              <w:jc w:val="both"/>
              <w:outlineLvl w:val="1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Funcionarios que apoyan la cobranza</w:t>
            </w:r>
          </w:p>
        </w:tc>
        <w:tc>
          <w:tcPr>
            <w:tcW w:w="2134" w:type="dxa"/>
            <w:vAlign w:val="center"/>
          </w:tcPr>
          <w:p w14:paraId="43D6A5BD" w14:textId="41D8CC8E" w:rsidR="000D1BCF" w:rsidRPr="00966EC0" w:rsidRDefault="000D1BCF" w:rsidP="00966EC0">
            <w:pPr>
              <w:pStyle w:val="Ttulo3"/>
              <w:ind w:left="284" w:hanging="284"/>
              <w:jc w:val="both"/>
              <w:outlineLvl w:val="2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Cobro</w:t>
            </w:r>
          </w:p>
        </w:tc>
      </w:tr>
      <w:tr w:rsidR="000D1BCF" w:rsidRPr="00966EC0" w14:paraId="43D6A5C3" w14:textId="77777777" w:rsidTr="00F63CF3">
        <w:trPr>
          <w:trHeight w:val="45"/>
        </w:trPr>
        <w:tc>
          <w:tcPr>
            <w:tcW w:w="790" w:type="dxa"/>
            <w:vAlign w:val="center"/>
          </w:tcPr>
          <w:p w14:paraId="43D6A5BF" w14:textId="09203651" w:rsidR="000D1BCF" w:rsidRPr="00966EC0" w:rsidRDefault="000D1BCF" w:rsidP="00966EC0">
            <w:pPr>
              <w:pStyle w:val="Ttulo2"/>
              <w:ind w:left="284" w:hanging="284"/>
              <w:outlineLvl w:val="1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4586" w:type="dxa"/>
          </w:tcPr>
          <w:p w14:paraId="4D4B9190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z w:val="24"/>
                <w:szCs w:val="24"/>
                <w:lang w:val="es-ES"/>
              </w:rPr>
              <w:t>GENERACIÓN DE ALTERNATIVA</w:t>
            </w:r>
          </w:p>
          <w:p w14:paraId="3A2B3148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C0" w14:textId="1F6B7483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Se hace necesario fomentar la cultura de pago 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del asociados o ex asociado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270BAD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en los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escenarios de morosidad, explicando los beneficios de estar al día o consecuencias de permanecer en mora (pérdida de beneficios, pérdida de seguros, pérdida de calidad de asociado, toma de decisiones en asamblea, etc.), a fin de establecer las posibles soluciones para la normalización del portafolio.</w:t>
            </w:r>
          </w:p>
        </w:tc>
        <w:tc>
          <w:tcPr>
            <w:tcW w:w="2043" w:type="dxa"/>
            <w:vAlign w:val="center"/>
          </w:tcPr>
          <w:p w14:paraId="0861BC86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  <w:p w14:paraId="288A23D1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  <w:p w14:paraId="43D6A5C1" w14:textId="568CD92C" w:rsidR="000D1BCF" w:rsidRPr="00966EC0" w:rsidRDefault="000D1BCF" w:rsidP="00966EC0">
            <w:pPr>
              <w:pStyle w:val="Ttulo2"/>
              <w:ind w:left="284" w:hanging="284"/>
              <w:jc w:val="both"/>
              <w:outlineLvl w:val="1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Funcionarios que apoyan la cobranza</w:t>
            </w:r>
          </w:p>
        </w:tc>
        <w:tc>
          <w:tcPr>
            <w:tcW w:w="2134" w:type="dxa"/>
            <w:vAlign w:val="center"/>
          </w:tcPr>
          <w:p w14:paraId="43D6A5C2" w14:textId="74745B6D" w:rsidR="000D1BCF" w:rsidRPr="00966EC0" w:rsidRDefault="000D1BCF" w:rsidP="00966EC0">
            <w:pPr>
              <w:pStyle w:val="Ttulo3"/>
              <w:ind w:left="284" w:hanging="284"/>
              <w:jc w:val="both"/>
              <w:outlineLvl w:val="2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Cobro</w:t>
            </w:r>
          </w:p>
        </w:tc>
      </w:tr>
      <w:tr w:rsidR="000D1BCF" w:rsidRPr="00966EC0" w14:paraId="43D6A5C8" w14:textId="77777777" w:rsidTr="00714DF8">
        <w:trPr>
          <w:trHeight w:val="45"/>
        </w:trPr>
        <w:tc>
          <w:tcPr>
            <w:tcW w:w="790" w:type="dxa"/>
            <w:vAlign w:val="center"/>
          </w:tcPr>
          <w:p w14:paraId="43D6A5C4" w14:textId="33D080BE" w:rsidR="000D1BCF" w:rsidRPr="00966EC0" w:rsidRDefault="000D1BCF" w:rsidP="00966EC0">
            <w:pPr>
              <w:ind w:left="284" w:hanging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EC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86" w:type="dxa"/>
          </w:tcPr>
          <w:p w14:paraId="57F1D56E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z w:val="24"/>
                <w:szCs w:val="24"/>
                <w:lang w:val="es-ES"/>
              </w:rPr>
              <w:t>OBTENCIÓN DE COMPROMISO (Relevante):</w:t>
            </w:r>
          </w:p>
          <w:p w14:paraId="55417DBA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74ECBEE1" w14:textId="20DA1D18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Se debe establecer las tres “C”, ¿Cuándo pagará?, ¿Cuánto pagará? y ¿Cuál canal?, registrando o validando la información en el módulo de cobranza establecido por la entidad.</w:t>
            </w:r>
          </w:p>
          <w:p w14:paraId="6A9AD2B8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C5" w14:textId="3CDED103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Se debe identificar la existencia de un posible sobreendeudamiento o la disminución de los ingresos por factores exógenos al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asociados o ex asociado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, a fin de establecer la jerarquía de 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pago del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asociados o ex asociado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con las obligaciones internas y externas.</w:t>
            </w:r>
          </w:p>
        </w:tc>
        <w:tc>
          <w:tcPr>
            <w:tcW w:w="2043" w:type="dxa"/>
            <w:vAlign w:val="center"/>
          </w:tcPr>
          <w:p w14:paraId="6E383118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  <w:p w14:paraId="7CC05522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  <w:p w14:paraId="43D6A5C6" w14:textId="798EFD72" w:rsidR="000D1BCF" w:rsidRPr="00966EC0" w:rsidRDefault="000D1BCF" w:rsidP="00966EC0">
            <w:pPr>
              <w:pStyle w:val="Ttulo2"/>
              <w:ind w:left="284" w:hanging="284"/>
              <w:jc w:val="both"/>
              <w:outlineLvl w:val="1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Funcionarios que apoyan la cobranza</w:t>
            </w:r>
          </w:p>
        </w:tc>
        <w:tc>
          <w:tcPr>
            <w:tcW w:w="2134" w:type="dxa"/>
            <w:vAlign w:val="center"/>
          </w:tcPr>
          <w:p w14:paraId="43D6A5C7" w14:textId="7D9E079B" w:rsidR="000D1BCF" w:rsidRPr="00966EC0" w:rsidRDefault="000D1BCF" w:rsidP="00966EC0">
            <w:pPr>
              <w:pStyle w:val="Ttulo3"/>
              <w:ind w:left="284" w:hanging="284"/>
              <w:jc w:val="both"/>
              <w:outlineLvl w:val="2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Cobro</w:t>
            </w:r>
          </w:p>
        </w:tc>
      </w:tr>
      <w:tr w:rsidR="000D1BCF" w:rsidRPr="00966EC0" w14:paraId="43D6A5CD" w14:textId="77777777" w:rsidTr="00572C4B">
        <w:trPr>
          <w:trHeight w:val="45"/>
        </w:trPr>
        <w:tc>
          <w:tcPr>
            <w:tcW w:w="790" w:type="dxa"/>
            <w:vAlign w:val="center"/>
          </w:tcPr>
          <w:p w14:paraId="43D6A5C9" w14:textId="60E7BF28" w:rsidR="000D1BCF" w:rsidRPr="00966EC0" w:rsidRDefault="000D1BCF" w:rsidP="00966EC0">
            <w:pPr>
              <w:ind w:left="284" w:hanging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EC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586" w:type="dxa"/>
          </w:tcPr>
          <w:p w14:paraId="0CDBCBE0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REVISIÓN DEL CUMPLIMIENTO (Relevante): </w:t>
            </w:r>
          </w:p>
          <w:p w14:paraId="2E5153AB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605AE53D" w14:textId="77777777" w:rsidR="00270BAD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Se debe constatar el cumplimiento del compromiso de 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pago del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asociados o ex asociado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en la fecha indicada, el monto y el canal.</w:t>
            </w:r>
          </w:p>
          <w:p w14:paraId="5557ABB6" w14:textId="77777777" w:rsidR="00270BAD" w:rsidRDefault="00270BAD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04639B3" w14:textId="1A193D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Es primordial realizar el seguimiento o monitoreo en este proceso con consistencia a lo largo de la gestión de recuperación. </w:t>
            </w:r>
          </w:p>
          <w:p w14:paraId="0C332333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CA" w14:textId="010383D1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lastRenderedPageBreak/>
              <w:t>Es importante para lograr cultura de pago y mitigar el riesgo por pérdida de credibilidad en la gestión de recuperación de cartera.</w:t>
            </w:r>
          </w:p>
        </w:tc>
        <w:tc>
          <w:tcPr>
            <w:tcW w:w="2043" w:type="dxa"/>
            <w:vAlign w:val="center"/>
          </w:tcPr>
          <w:p w14:paraId="7FBCAA72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lastRenderedPageBreak/>
              <w:t>Coordinador de Cartera</w:t>
            </w:r>
          </w:p>
          <w:p w14:paraId="03E3E555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  <w:p w14:paraId="43D6A5CB" w14:textId="58E1A28D" w:rsidR="000D1BCF" w:rsidRPr="00966EC0" w:rsidRDefault="000D1BCF" w:rsidP="00966EC0">
            <w:pPr>
              <w:pStyle w:val="Ttulo2"/>
              <w:ind w:left="284" w:hanging="284"/>
              <w:jc w:val="both"/>
              <w:outlineLvl w:val="1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Funcionarios que apoyan la cobranza</w:t>
            </w:r>
          </w:p>
        </w:tc>
        <w:tc>
          <w:tcPr>
            <w:tcW w:w="2134" w:type="dxa"/>
            <w:vAlign w:val="center"/>
          </w:tcPr>
          <w:p w14:paraId="43D6A5CC" w14:textId="6325EFA9" w:rsidR="000D1BCF" w:rsidRPr="00966EC0" w:rsidRDefault="000D1BCF" w:rsidP="00966EC0">
            <w:pPr>
              <w:pStyle w:val="Ttulo3"/>
              <w:ind w:left="284" w:hanging="284"/>
              <w:jc w:val="both"/>
              <w:outlineLvl w:val="2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Cobro</w:t>
            </w:r>
          </w:p>
        </w:tc>
      </w:tr>
      <w:tr w:rsidR="000D1BCF" w:rsidRPr="00966EC0" w14:paraId="43D6A5D2" w14:textId="77777777" w:rsidTr="00B13AA3">
        <w:trPr>
          <w:trHeight w:val="45"/>
        </w:trPr>
        <w:tc>
          <w:tcPr>
            <w:tcW w:w="790" w:type="dxa"/>
            <w:vAlign w:val="center"/>
          </w:tcPr>
          <w:p w14:paraId="43D6A5CE" w14:textId="359D3BF8" w:rsidR="000D1BCF" w:rsidRPr="00966EC0" w:rsidRDefault="000D1BCF" w:rsidP="00966EC0">
            <w:pPr>
              <w:ind w:left="284" w:hanging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EC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586" w:type="dxa"/>
          </w:tcPr>
          <w:p w14:paraId="240EA48F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z w:val="24"/>
                <w:szCs w:val="24"/>
                <w:lang w:val="es-ES"/>
              </w:rPr>
              <w:t>REGISTRO DE ACCIONES (Relevante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): </w:t>
            </w:r>
          </w:p>
          <w:p w14:paraId="03211B15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0960D28C" w14:textId="335D3A44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Se requiere que los </w:t>
            </w:r>
            <w:r w:rsidR="00270BAD">
              <w:rPr>
                <w:rFonts w:ascii="Arial" w:hAnsi="Arial" w:cs="Arial"/>
                <w:bCs/>
                <w:sz w:val="24"/>
                <w:szCs w:val="24"/>
                <w:lang w:val="es-ES"/>
              </w:rPr>
              <w:t>funcionarios de apoyo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en el proceso de recuperación de cartera registren la totalidad de las acciones realizadas para cada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asociados o ex </w:t>
            </w:r>
            <w:r w:rsidR="00270BAD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asociado,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en coordinación con el </w:t>
            </w:r>
            <w:r w:rsidR="00270BAD">
              <w:rPr>
                <w:rFonts w:ascii="Arial" w:hAnsi="Arial" w:cs="Arial"/>
                <w:bCs/>
                <w:sz w:val="24"/>
                <w:szCs w:val="24"/>
                <w:lang w:val="es-ES"/>
              </w:rPr>
              <w:t>coordinador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 cartera, para determinar el efectivo recaudo de las obligaciones con vencimiento. </w:t>
            </w:r>
          </w:p>
          <w:p w14:paraId="14FF2E2E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CF" w14:textId="0C0A8FF0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Se recomienda tener un repositorio histórico de la gestión durante la vida crediticia de la operación para contrastar en el análisis para cada caso. </w:t>
            </w:r>
          </w:p>
        </w:tc>
        <w:tc>
          <w:tcPr>
            <w:tcW w:w="2043" w:type="dxa"/>
            <w:vAlign w:val="center"/>
          </w:tcPr>
          <w:p w14:paraId="2F3EEC2A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  <w:p w14:paraId="1BF6CD05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  <w:p w14:paraId="43D6A5D0" w14:textId="6623F069" w:rsidR="000D1BCF" w:rsidRPr="00966EC0" w:rsidRDefault="000D1BCF" w:rsidP="00966EC0">
            <w:pPr>
              <w:pStyle w:val="Ttulo2"/>
              <w:ind w:left="284" w:hanging="284"/>
              <w:jc w:val="both"/>
              <w:outlineLvl w:val="1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Funcionarios que apoyan la cobranza</w:t>
            </w:r>
          </w:p>
        </w:tc>
        <w:tc>
          <w:tcPr>
            <w:tcW w:w="2134" w:type="dxa"/>
            <w:vAlign w:val="center"/>
          </w:tcPr>
          <w:p w14:paraId="43D6A5D1" w14:textId="0BCAE3CF" w:rsidR="000D1BCF" w:rsidRPr="00966EC0" w:rsidRDefault="000D1BCF" w:rsidP="00966EC0">
            <w:pPr>
              <w:pStyle w:val="Ttulo3"/>
              <w:ind w:left="284" w:hanging="284"/>
              <w:jc w:val="both"/>
              <w:outlineLvl w:val="2"/>
              <w:rPr>
                <w:rFonts w:cs="Arial"/>
                <w:b w:val="0"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Cobro</w:t>
            </w:r>
          </w:p>
        </w:tc>
      </w:tr>
      <w:tr w:rsidR="000D1BCF" w:rsidRPr="00966EC0" w14:paraId="43D6A5D7" w14:textId="77777777" w:rsidTr="00220907">
        <w:trPr>
          <w:trHeight w:val="45"/>
        </w:trPr>
        <w:tc>
          <w:tcPr>
            <w:tcW w:w="790" w:type="dxa"/>
            <w:vAlign w:val="center"/>
          </w:tcPr>
          <w:p w14:paraId="43D6A5D3" w14:textId="6C127C26" w:rsidR="000D1BCF" w:rsidRPr="00966EC0" w:rsidRDefault="000D1BCF" w:rsidP="00966EC0">
            <w:pPr>
              <w:ind w:left="284" w:hanging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EC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586" w:type="dxa"/>
          </w:tcPr>
          <w:p w14:paraId="5CD82E53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z w:val="24"/>
                <w:szCs w:val="24"/>
                <w:lang w:val="es-ES"/>
              </w:rPr>
              <w:t>SEGUIMIENTO</w:t>
            </w:r>
          </w:p>
          <w:p w14:paraId="00802B74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26A43FF8" w14:textId="77777777" w:rsidR="00270BAD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Se requiere</w:t>
            </w:r>
            <w:r w:rsidR="00270BAD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la efectividad de la recuperación. </w:t>
            </w:r>
          </w:p>
          <w:p w14:paraId="7EE522EE" w14:textId="77777777" w:rsidR="00270BAD" w:rsidRDefault="00270BAD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D4" w14:textId="0636C9B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De ser negativa (incumplimiento de compromisos), se deben establecer las acciones o cambio de estrategia (tipos de gestión) para la recuperación de portafolios con vencimiento.</w:t>
            </w:r>
          </w:p>
        </w:tc>
        <w:tc>
          <w:tcPr>
            <w:tcW w:w="2043" w:type="dxa"/>
            <w:vAlign w:val="center"/>
          </w:tcPr>
          <w:p w14:paraId="08116C63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Coordinador de Cartera</w:t>
            </w:r>
          </w:p>
          <w:p w14:paraId="1F77B509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  <w:p w14:paraId="43D6A5D5" w14:textId="4E68CE0B" w:rsidR="000D1BCF" w:rsidRPr="00966EC0" w:rsidRDefault="000D1BCF" w:rsidP="00966EC0">
            <w:pPr>
              <w:pStyle w:val="Ttulo2"/>
              <w:ind w:left="284" w:hanging="284"/>
              <w:jc w:val="both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Funcionarios que apoyan la cobranza</w:t>
            </w:r>
          </w:p>
        </w:tc>
        <w:tc>
          <w:tcPr>
            <w:tcW w:w="2134" w:type="dxa"/>
            <w:vAlign w:val="center"/>
          </w:tcPr>
          <w:p w14:paraId="43D6A5D6" w14:textId="25B5698B" w:rsidR="000D1BCF" w:rsidRPr="00966EC0" w:rsidRDefault="000D1BCF" w:rsidP="00966EC0">
            <w:pPr>
              <w:pStyle w:val="Ttulo3"/>
              <w:ind w:left="284" w:hanging="284"/>
              <w:jc w:val="both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Cobro</w:t>
            </w:r>
          </w:p>
        </w:tc>
      </w:tr>
      <w:tr w:rsidR="000D1BCF" w:rsidRPr="00966EC0" w14:paraId="43D6A5DC" w14:textId="77777777" w:rsidTr="00041101">
        <w:trPr>
          <w:trHeight w:val="45"/>
        </w:trPr>
        <w:tc>
          <w:tcPr>
            <w:tcW w:w="790" w:type="dxa"/>
            <w:vAlign w:val="center"/>
          </w:tcPr>
          <w:p w14:paraId="43D6A5D8" w14:textId="1C319C97" w:rsidR="000D1BCF" w:rsidRPr="00966EC0" w:rsidRDefault="000D1BCF" w:rsidP="00966EC0">
            <w:pPr>
              <w:ind w:left="284" w:hanging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EC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586" w:type="dxa"/>
          </w:tcPr>
          <w:p w14:paraId="207C8C1A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z w:val="24"/>
                <w:szCs w:val="24"/>
                <w:lang w:val="es-ES"/>
              </w:rPr>
              <w:t>INTENSIFICACIÓN</w:t>
            </w:r>
          </w:p>
          <w:p w14:paraId="51D03DAE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  <w:p w14:paraId="43D6A5D9" w14:textId="28AC0B5E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Al presentar incumplimientos a los compromisos de pago por </w:t>
            </w:r>
            <w:r w:rsidR="005E7766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parte del</w:t>
            </w:r>
            <w:r w:rsidR="005E7766"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asociados o ex asociado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, se debe establecer que la prioridad es la recuperación del portafolio, determinando la posibilidad de excluir al </w:t>
            </w:r>
            <w:r w:rsidR="005E7766">
              <w:rPr>
                <w:rFonts w:ascii="Arial" w:hAnsi="Arial" w:cs="Arial"/>
                <w:bCs/>
                <w:sz w:val="24"/>
                <w:szCs w:val="24"/>
                <w:lang w:val="es-ES"/>
              </w:rPr>
              <w:t>asociado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, de acuerdo con la probabilidad de mora, la severidad, la garantía y la calidad de solvencia del sujeto para </w:t>
            </w: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lastRenderedPageBreak/>
              <w:t>establecer la recuperación con acción legal.</w:t>
            </w:r>
          </w:p>
        </w:tc>
        <w:tc>
          <w:tcPr>
            <w:tcW w:w="2043" w:type="dxa"/>
            <w:vAlign w:val="center"/>
          </w:tcPr>
          <w:p w14:paraId="0139CC1C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lastRenderedPageBreak/>
              <w:t>Coordinador de Cartera</w:t>
            </w:r>
          </w:p>
          <w:p w14:paraId="215811C2" w14:textId="77777777" w:rsidR="000D1BCF" w:rsidRPr="00966EC0" w:rsidRDefault="000D1BCF" w:rsidP="00966EC0">
            <w:pPr>
              <w:pStyle w:val="Ttulo3"/>
              <w:ind w:left="-25"/>
              <w:jc w:val="center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</w:p>
          <w:p w14:paraId="43D6A5DA" w14:textId="4AAE132C" w:rsidR="000D1BCF" w:rsidRPr="00966EC0" w:rsidRDefault="000D1BCF" w:rsidP="00966EC0">
            <w:pPr>
              <w:pStyle w:val="Ttulo2"/>
              <w:ind w:left="284" w:hanging="284"/>
              <w:jc w:val="both"/>
              <w:outlineLvl w:val="1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Funcionarios que apoyan la cobranza</w:t>
            </w:r>
          </w:p>
        </w:tc>
        <w:tc>
          <w:tcPr>
            <w:tcW w:w="2134" w:type="dxa"/>
            <w:vAlign w:val="center"/>
          </w:tcPr>
          <w:p w14:paraId="43D6A5DB" w14:textId="13226035" w:rsidR="000D1BCF" w:rsidRPr="00966EC0" w:rsidRDefault="000D1BCF" w:rsidP="00966EC0">
            <w:pPr>
              <w:pStyle w:val="Ttulo3"/>
              <w:ind w:left="284" w:hanging="284"/>
              <w:jc w:val="both"/>
              <w:outlineLvl w:val="2"/>
              <w:rPr>
                <w:rFonts w:cs="Arial"/>
                <w:b w:val="0"/>
                <w:bCs/>
                <w:sz w:val="24"/>
                <w:szCs w:val="24"/>
                <w:lang w:val="es-ES"/>
              </w:rPr>
            </w:pPr>
            <w:r w:rsidRPr="00966EC0">
              <w:rPr>
                <w:rFonts w:cs="Arial"/>
                <w:b w:val="0"/>
                <w:bCs/>
                <w:sz w:val="24"/>
                <w:szCs w:val="24"/>
                <w:lang w:val="es-ES"/>
              </w:rPr>
              <w:t>Reporte de Cobro</w:t>
            </w:r>
          </w:p>
        </w:tc>
      </w:tr>
      <w:tr w:rsidR="000D1BCF" w:rsidRPr="00966EC0" w14:paraId="43D6A5E3" w14:textId="77777777" w:rsidTr="003959EB">
        <w:trPr>
          <w:trHeight w:val="45"/>
        </w:trPr>
        <w:tc>
          <w:tcPr>
            <w:tcW w:w="790" w:type="dxa"/>
            <w:vAlign w:val="center"/>
          </w:tcPr>
          <w:p w14:paraId="43D6A5DD" w14:textId="36511E27" w:rsidR="000D1BCF" w:rsidRPr="00966EC0" w:rsidRDefault="000D1BCF" w:rsidP="00966EC0">
            <w:pPr>
              <w:ind w:left="284" w:hanging="284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>10</w:t>
            </w:r>
          </w:p>
        </w:tc>
        <w:tc>
          <w:tcPr>
            <w:tcW w:w="4586" w:type="dxa"/>
          </w:tcPr>
          <w:p w14:paraId="15746BC6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/>
                <w:sz w:val="24"/>
                <w:szCs w:val="24"/>
                <w:lang w:val="es-ES"/>
              </w:rPr>
              <w:t>DETERMINACIÓN DE PÉRDIDA</w:t>
            </w:r>
          </w:p>
          <w:p w14:paraId="663B13D8" w14:textId="77777777" w:rsidR="000D1BCF" w:rsidRPr="00966EC0" w:rsidRDefault="000D1BCF" w:rsidP="00966EC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43D6A5DF" w14:textId="2E574D3E" w:rsidR="000D1BCF" w:rsidRPr="00966EC0" w:rsidRDefault="000D1BCF" w:rsidP="00966EC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966EC0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Se deben establecer las condiciones para reconocer la pérdida del crédito, es decir, cuando se obtienen vencimientos con probabilidad de pérdida del 100% y en función de la relación del costo y el beneficio de una acción legal. </w:t>
            </w:r>
          </w:p>
        </w:tc>
        <w:tc>
          <w:tcPr>
            <w:tcW w:w="2043" w:type="dxa"/>
            <w:vAlign w:val="center"/>
          </w:tcPr>
          <w:p w14:paraId="43D6A5E0" w14:textId="5898D150" w:rsidR="000D1BCF" w:rsidRPr="00966EC0" w:rsidRDefault="000D1BCF" w:rsidP="00966EC0">
            <w:pPr>
              <w:ind w:left="284" w:hanging="284"/>
              <w:jc w:val="both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966EC0">
              <w:rPr>
                <w:rFonts w:ascii="Arial" w:hAnsi="Arial" w:cs="Arial"/>
                <w:sz w:val="24"/>
                <w:szCs w:val="24"/>
                <w:lang w:val="es-ES" w:eastAsia="es-ES"/>
              </w:rPr>
              <w:t>Coordinador de Cartera</w:t>
            </w:r>
          </w:p>
        </w:tc>
        <w:tc>
          <w:tcPr>
            <w:tcW w:w="2134" w:type="dxa"/>
            <w:vAlign w:val="center"/>
          </w:tcPr>
          <w:p w14:paraId="43D6A5E2" w14:textId="79A2DF66" w:rsidR="000D1BCF" w:rsidRPr="00966EC0" w:rsidRDefault="000D1BCF" w:rsidP="00966EC0">
            <w:pPr>
              <w:ind w:left="284" w:hanging="284"/>
              <w:jc w:val="both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966EC0">
              <w:rPr>
                <w:rFonts w:ascii="Arial" w:hAnsi="Arial" w:cs="Arial"/>
                <w:sz w:val="24"/>
                <w:szCs w:val="24"/>
                <w:lang w:val="es-ES" w:eastAsia="es-ES"/>
              </w:rPr>
              <w:t>Reporte de Cartera</w:t>
            </w:r>
          </w:p>
        </w:tc>
      </w:tr>
    </w:tbl>
    <w:p w14:paraId="43D6A68F" w14:textId="77777777" w:rsidR="009D3C4C" w:rsidRPr="00966EC0" w:rsidRDefault="009D3C4C" w:rsidP="00966EC0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14:paraId="2EB8648A" w14:textId="77777777" w:rsidR="00141858" w:rsidRPr="00966EC0" w:rsidRDefault="00141858" w:rsidP="00966EC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3" w:name="_Hlk9595906"/>
      <w:r w:rsidRPr="00966EC0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72F5C7AA" w14:textId="77777777" w:rsidR="00141858" w:rsidRPr="00966EC0" w:rsidRDefault="00141858" w:rsidP="00966EC0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66EC0">
        <w:rPr>
          <w:rFonts w:ascii="Arial" w:hAnsi="Arial" w:cs="Arial"/>
          <w:b/>
          <w:spacing w:val="-3"/>
          <w:sz w:val="24"/>
          <w:szCs w:val="24"/>
        </w:rPr>
        <w:t>N/A</w:t>
      </w:r>
      <w:r w:rsidRPr="00966EC0">
        <w:rPr>
          <w:rFonts w:ascii="Arial" w:hAnsi="Arial" w:cs="Arial"/>
          <w:spacing w:val="-3"/>
          <w:sz w:val="24"/>
          <w:szCs w:val="24"/>
        </w:rPr>
        <w:t>.</w:t>
      </w:r>
    </w:p>
    <w:p w14:paraId="59F9B42D" w14:textId="77777777" w:rsidR="00141858" w:rsidRPr="00966EC0" w:rsidRDefault="00141858" w:rsidP="00966EC0">
      <w:p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</w:p>
    <w:p w14:paraId="5B820015" w14:textId="77777777" w:rsidR="00141858" w:rsidRPr="00966EC0" w:rsidRDefault="00141858" w:rsidP="00966EC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r w:rsidRPr="00966EC0">
        <w:rPr>
          <w:rFonts w:ascii="Arial" w:hAnsi="Arial" w:cs="Arial"/>
          <w:b/>
          <w:spacing w:val="-3"/>
          <w:sz w:val="24"/>
          <w:szCs w:val="24"/>
        </w:rPr>
        <w:t>CONTROL DE ACTUALIZACIONES.</w:t>
      </w:r>
    </w:p>
    <w:bookmarkEnd w:id="3"/>
    <w:p w14:paraId="254A0863" w14:textId="77777777" w:rsidR="00141858" w:rsidRPr="00966EC0" w:rsidRDefault="00141858" w:rsidP="00966EC0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4962" w:type="pct"/>
        <w:tblLook w:val="04A0" w:firstRow="1" w:lastRow="0" w:firstColumn="1" w:lastColumn="0" w:noHBand="0" w:noVBand="1"/>
      </w:tblPr>
      <w:tblGrid>
        <w:gridCol w:w="1087"/>
        <w:gridCol w:w="7186"/>
        <w:gridCol w:w="1006"/>
      </w:tblGrid>
      <w:tr w:rsidR="00141858" w:rsidRPr="008B69BD" w14:paraId="574B44A7" w14:textId="77777777" w:rsidTr="00026C0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80E1" w14:textId="77777777" w:rsidR="00141858" w:rsidRPr="008B69BD" w:rsidRDefault="00141858" w:rsidP="00966EC0">
            <w:pPr>
              <w:jc w:val="both"/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</w:pPr>
            <w:r w:rsidRPr="008B69BD"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  <w:t>FECHA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F314" w14:textId="77777777" w:rsidR="00141858" w:rsidRPr="008B69BD" w:rsidRDefault="00141858" w:rsidP="00966EC0">
            <w:pPr>
              <w:jc w:val="both"/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</w:pPr>
            <w:r w:rsidRPr="008B69BD"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  <w:t>DESCRIPCIÓN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4113" w14:textId="77777777" w:rsidR="00141858" w:rsidRPr="008B69BD" w:rsidRDefault="00141858" w:rsidP="00966EC0">
            <w:pPr>
              <w:jc w:val="both"/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</w:pPr>
            <w:r w:rsidRPr="008B69BD"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  <w:t>VERSIÓN</w:t>
            </w:r>
          </w:p>
        </w:tc>
      </w:tr>
      <w:tr w:rsidR="00141858" w:rsidRPr="008B69BD" w14:paraId="03AC3827" w14:textId="77777777" w:rsidTr="00026C0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590D5" w14:textId="412ACE67" w:rsidR="00141858" w:rsidRPr="008B69BD" w:rsidRDefault="00141858" w:rsidP="00966EC0">
            <w:pPr>
              <w:jc w:val="both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8B69BD">
              <w:rPr>
                <w:rFonts w:ascii="Arial" w:hAnsi="Arial" w:cs="Arial"/>
                <w:spacing w:val="-3"/>
                <w:sz w:val="16"/>
                <w:szCs w:val="16"/>
              </w:rPr>
              <w:t>29/09/2021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373C" w14:textId="77777777" w:rsidR="00141858" w:rsidRPr="008B69BD" w:rsidRDefault="00141858" w:rsidP="00966EC0">
            <w:pPr>
              <w:jc w:val="both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8B69BD">
              <w:rPr>
                <w:rFonts w:ascii="Arial" w:hAnsi="Arial" w:cs="Arial"/>
                <w:spacing w:val="-3"/>
                <w:sz w:val="16"/>
                <w:szCs w:val="16"/>
              </w:rPr>
              <w:t>Creación de documento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DC61" w14:textId="77777777" w:rsidR="00141858" w:rsidRPr="008B69BD" w:rsidRDefault="00141858" w:rsidP="00966EC0">
            <w:pPr>
              <w:jc w:val="both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8B69BD">
              <w:rPr>
                <w:rFonts w:ascii="Arial" w:hAnsi="Arial" w:cs="Arial"/>
                <w:spacing w:val="-3"/>
                <w:sz w:val="16"/>
                <w:szCs w:val="16"/>
              </w:rPr>
              <w:t>01</w:t>
            </w:r>
          </w:p>
        </w:tc>
      </w:tr>
    </w:tbl>
    <w:p w14:paraId="43D6A699" w14:textId="77777777" w:rsidR="00435A3B" w:rsidRPr="00966EC0" w:rsidRDefault="00435A3B" w:rsidP="00966EC0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sectPr w:rsidR="00435A3B" w:rsidRPr="00966EC0" w:rsidSect="00D071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1B65" w14:textId="77777777" w:rsidR="008C03E5" w:rsidRDefault="008C03E5" w:rsidP="00573F2A">
      <w:pPr>
        <w:spacing w:after="0" w:line="240" w:lineRule="auto"/>
      </w:pPr>
      <w:r>
        <w:separator/>
      </w:r>
    </w:p>
  </w:endnote>
  <w:endnote w:type="continuationSeparator" w:id="0">
    <w:p w14:paraId="2076D0DC" w14:textId="77777777" w:rsidR="008C03E5" w:rsidRDefault="008C03E5" w:rsidP="0057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FF64" w14:textId="77777777" w:rsidR="00F87659" w:rsidRDefault="00F876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58FA" w14:textId="36FC4CB5" w:rsidR="00D07136" w:rsidRPr="00D07136" w:rsidRDefault="00D07136" w:rsidP="00D07136">
    <w:pPr>
      <w:pStyle w:val="Piedepgina1"/>
      <w:jc w:val="center"/>
      <w:rPr>
        <w:color w:val="808080"/>
      </w:rPr>
    </w:pPr>
    <w:bookmarkStart w:id="5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E393" w14:textId="77777777" w:rsidR="00F87659" w:rsidRDefault="00F876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25BF" w14:textId="77777777" w:rsidR="008C03E5" w:rsidRDefault="008C03E5" w:rsidP="00573F2A">
      <w:pPr>
        <w:spacing w:after="0" w:line="240" w:lineRule="auto"/>
      </w:pPr>
      <w:r>
        <w:separator/>
      </w:r>
    </w:p>
  </w:footnote>
  <w:footnote w:type="continuationSeparator" w:id="0">
    <w:p w14:paraId="67AF1B87" w14:textId="77777777" w:rsidR="008C03E5" w:rsidRDefault="008C03E5" w:rsidP="0057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45A0" w14:textId="77777777" w:rsidR="00F87659" w:rsidRDefault="00F876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95"/>
      <w:gridCol w:w="855"/>
      <w:gridCol w:w="1090"/>
      <w:gridCol w:w="896"/>
      <w:gridCol w:w="346"/>
      <w:gridCol w:w="933"/>
      <w:gridCol w:w="1154"/>
      <w:gridCol w:w="815"/>
      <w:gridCol w:w="866"/>
    </w:tblGrid>
    <w:tr w:rsidR="00D07136" w:rsidRPr="004832CA" w14:paraId="41F30D20" w14:textId="77777777" w:rsidTr="000D1BCF">
      <w:trPr>
        <w:trHeight w:val="20"/>
      </w:trPr>
      <w:tc>
        <w:tcPr>
          <w:tcW w:w="1281" w:type="pct"/>
          <w:vMerge w:val="restart"/>
          <w:noWrap/>
          <w:vAlign w:val="center"/>
          <w:hideMark/>
        </w:tcPr>
        <w:p w14:paraId="5CCE3A7A" w14:textId="77777777" w:rsidR="00D07136" w:rsidRPr="004832CA" w:rsidRDefault="00D07136" w:rsidP="00D07136">
          <w:pPr>
            <w:rPr>
              <w:rFonts w:ascii="Arial Narrow" w:hAnsi="Arial Narrow"/>
              <w:sz w:val="18"/>
              <w:szCs w:val="18"/>
            </w:rPr>
          </w:pPr>
          <w:bookmarkStart w:id="4" w:name="_Hlk9596007"/>
          <w:r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06BFD655" wp14:editId="27FF9A76">
                <wp:extent cx="1228953" cy="361315"/>
                <wp:effectExtent l="0" t="0" r="9525" b="635"/>
                <wp:docPr id="2" name="Imagen 2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926" cy="372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0" w:type="pct"/>
          <w:gridSpan w:val="2"/>
          <w:noWrap/>
          <w:vAlign w:val="center"/>
          <w:hideMark/>
        </w:tcPr>
        <w:p w14:paraId="6EA6337C" w14:textId="77777777" w:rsidR="00D07136" w:rsidRPr="004832CA" w:rsidRDefault="00D07136" w:rsidP="00D07136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9" w:type="pct"/>
          <w:gridSpan w:val="6"/>
          <w:vAlign w:val="center"/>
        </w:tcPr>
        <w:p w14:paraId="7911FBBA" w14:textId="77777777" w:rsidR="00D07136" w:rsidRPr="004832CA" w:rsidRDefault="00D07136" w:rsidP="00D07136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bCs/>
              <w:sz w:val="18"/>
              <w:szCs w:val="18"/>
            </w:rPr>
            <w:t>GESTIÓN DE CRÉDITO</w:t>
          </w:r>
        </w:p>
      </w:tc>
    </w:tr>
    <w:tr w:rsidR="00D07136" w:rsidRPr="004832CA" w14:paraId="7FEED681" w14:textId="77777777" w:rsidTr="000D1BCF">
      <w:tblPrEx>
        <w:tblCellMar>
          <w:left w:w="108" w:type="dxa"/>
          <w:right w:w="108" w:type="dxa"/>
        </w:tblCellMar>
      </w:tblPrEx>
      <w:trPr>
        <w:trHeight w:val="20"/>
      </w:trPr>
      <w:tc>
        <w:tcPr>
          <w:tcW w:w="1281" w:type="pct"/>
          <w:vMerge/>
          <w:noWrap/>
          <w:vAlign w:val="center"/>
        </w:tcPr>
        <w:p w14:paraId="244B5686" w14:textId="77777777" w:rsidR="00D07136" w:rsidRPr="004832CA" w:rsidRDefault="00D07136" w:rsidP="00D07136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1040" w:type="pct"/>
          <w:gridSpan w:val="2"/>
          <w:noWrap/>
          <w:vAlign w:val="center"/>
        </w:tcPr>
        <w:p w14:paraId="79431A9C" w14:textId="77777777" w:rsidR="00D07136" w:rsidRPr="004832CA" w:rsidRDefault="00D07136" w:rsidP="00D07136">
          <w:pPr>
            <w:rPr>
              <w:rFonts w:ascii="Arial Narrow" w:hAnsi="Arial Narrow"/>
              <w:b/>
              <w:sz w:val="18"/>
              <w:szCs w:val="18"/>
            </w:rPr>
          </w:pPr>
          <w:r w:rsidRPr="004832CA">
            <w:rPr>
              <w:rFonts w:ascii="Arial Narrow" w:hAnsi="Arial Narrow"/>
              <w:b/>
              <w:sz w:val="18"/>
              <w:szCs w:val="18"/>
            </w:rPr>
            <w:t>PROCEDIMIENTO</w:t>
          </w:r>
        </w:p>
      </w:tc>
      <w:tc>
        <w:tcPr>
          <w:tcW w:w="2679" w:type="pct"/>
          <w:gridSpan w:val="6"/>
          <w:vAlign w:val="center"/>
        </w:tcPr>
        <w:p w14:paraId="1E60BAE6" w14:textId="5D5C0784" w:rsidR="00D07136" w:rsidRPr="004832CA" w:rsidRDefault="00141858" w:rsidP="00D07136">
          <w:pPr>
            <w:rPr>
              <w:rFonts w:ascii="Arial Narrow" w:hAnsi="Arial Narrow"/>
              <w:b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RECUPERACIÓN</w:t>
          </w:r>
          <w:r w:rsidR="00EB1272">
            <w:rPr>
              <w:rFonts w:ascii="Arial Narrow" w:hAnsi="Arial Narrow"/>
              <w:b/>
              <w:sz w:val="18"/>
              <w:szCs w:val="18"/>
            </w:rPr>
            <w:t xml:space="preserve"> DE CARTERA</w:t>
          </w:r>
        </w:p>
      </w:tc>
    </w:tr>
    <w:tr w:rsidR="00D07136" w:rsidRPr="004832CA" w14:paraId="28A96CCE" w14:textId="77777777" w:rsidTr="000D1BCF">
      <w:tblPrEx>
        <w:tblCellMar>
          <w:left w:w="108" w:type="dxa"/>
          <w:right w:w="108" w:type="dxa"/>
        </w:tblCellMar>
      </w:tblPrEx>
      <w:trPr>
        <w:trHeight w:val="20"/>
      </w:trPr>
      <w:tc>
        <w:tcPr>
          <w:tcW w:w="1281" w:type="pct"/>
          <w:vMerge/>
          <w:vAlign w:val="center"/>
          <w:hideMark/>
        </w:tcPr>
        <w:p w14:paraId="08A8019C" w14:textId="77777777" w:rsidR="00D07136" w:rsidRPr="004832CA" w:rsidRDefault="00D07136" w:rsidP="00D07136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57" w:type="pct"/>
          <w:noWrap/>
          <w:vAlign w:val="center"/>
          <w:hideMark/>
        </w:tcPr>
        <w:p w14:paraId="30528322" w14:textId="77777777" w:rsidR="00D07136" w:rsidRPr="004832CA" w:rsidRDefault="00D07136" w:rsidP="00D07136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83" w:type="pct"/>
          <w:noWrap/>
          <w:vAlign w:val="center"/>
          <w:hideMark/>
        </w:tcPr>
        <w:p w14:paraId="687D7170" w14:textId="4D982F6D" w:rsidR="00D07136" w:rsidRPr="004832CA" w:rsidRDefault="00D07136" w:rsidP="00D07136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832CA">
            <w:rPr>
              <w:rFonts w:ascii="Arial Narrow" w:hAnsi="Arial Narrow"/>
              <w:b/>
              <w:sz w:val="18"/>
              <w:szCs w:val="18"/>
            </w:rPr>
            <w:t>C</w:t>
          </w:r>
          <w:r w:rsidR="00966EC0">
            <w:rPr>
              <w:rFonts w:ascii="Arial Narrow" w:hAnsi="Arial Narrow"/>
              <w:b/>
              <w:sz w:val="18"/>
              <w:szCs w:val="18"/>
            </w:rPr>
            <w:t>A</w:t>
          </w:r>
          <w:r w:rsidRPr="004832CA">
            <w:rPr>
              <w:rFonts w:ascii="Arial Narrow" w:hAnsi="Arial Narrow"/>
              <w:b/>
              <w:sz w:val="18"/>
              <w:szCs w:val="18"/>
            </w:rPr>
            <w:t>-P</w:t>
          </w:r>
          <w:r>
            <w:rPr>
              <w:rFonts w:ascii="Arial Narrow" w:hAnsi="Arial Narrow"/>
              <w:b/>
              <w:sz w:val="18"/>
              <w:szCs w:val="18"/>
            </w:rPr>
            <w:t>R</w:t>
          </w:r>
          <w:r w:rsidRPr="004832CA">
            <w:rPr>
              <w:rFonts w:ascii="Arial Narrow" w:hAnsi="Arial Narrow"/>
              <w:b/>
              <w:sz w:val="18"/>
              <w:szCs w:val="18"/>
            </w:rPr>
            <w:t>-1</w:t>
          </w:r>
        </w:p>
      </w:tc>
      <w:tc>
        <w:tcPr>
          <w:tcW w:w="479" w:type="pct"/>
          <w:noWrap/>
          <w:vAlign w:val="center"/>
          <w:hideMark/>
        </w:tcPr>
        <w:p w14:paraId="2F75B778" w14:textId="77777777" w:rsidR="00D07136" w:rsidRPr="004832CA" w:rsidRDefault="00D07136" w:rsidP="00D07136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85" w:type="pct"/>
          <w:noWrap/>
          <w:vAlign w:val="center"/>
          <w:hideMark/>
        </w:tcPr>
        <w:p w14:paraId="520C5201" w14:textId="425FB4FD" w:rsidR="00D07136" w:rsidRPr="004832CA" w:rsidRDefault="00EB1272" w:rsidP="00D07136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99" w:type="pct"/>
          <w:noWrap/>
          <w:vAlign w:val="center"/>
          <w:hideMark/>
        </w:tcPr>
        <w:p w14:paraId="3DB2E148" w14:textId="77777777" w:rsidR="00D07136" w:rsidRPr="004832CA" w:rsidRDefault="00D07136" w:rsidP="00D07136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617" w:type="pct"/>
          <w:noWrap/>
          <w:vAlign w:val="center"/>
          <w:hideMark/>
        </w:tcPr>
        <w:p w14:paraId="127956BC" w14:textId="77777777" w:rsidR="00D07136" w:rsidRPr="004832CA" w:rsidRDefault="00D07136" w:rsidP="00D07136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29/09/20021</w:t>
          </w:r>
        </w:p>
      </w:tc>
      <w:tc>
        <w:tcPr>
          <w:tcW w:w="436" w:type="pct"/>
          <w:noWrap/>
          <w:vAlign w:val="center"/>
          <w:hideMark/>
        </w:tcPr>
        <w:p w14:paraId="54011A06" w14:textId="77777777" w:rsidR="00D07136" w:rsidRPr="004832CA" w:rsidRDefault="00D07136" w:rsidP="00D07136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63" w:type="pct"/>
          <w:noWrap/>
          <w:vAlign w:val="center"/>
          <w:hideMark/>
        </w:tcPr>
        <w:p w14:paraId="49504D11" w14:textId="77777777" w:rsidR="00D07136" w:rsidRPr="004832CA" w:rsidRDefault="00D07136" w:rsidP="00D07136">
          <w:pPr>
            <w:pStyle w:val="Piedepgina"/>
            <w:rPr>
              <w:rFonts w:cs="Arial"/>
              <w:b/>
              <w:sz w:val="18"/>
              <w:szCs w:val="18"/>
            </w:rPr>
          </w:pPr>
          <w:r w:rsidRPr="004832CA">
            <w:rPr>
              <w:rFonts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begin"/>
          </w:r>
          <w:r w:rsidRPr="004832CA">
            <w:rPr>
              <w:rFonts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separate"/>
          </w:r>
          <w:r w:rsidRPr="000B11C6">
            <w:rPr>
              <w:rFonts w:cs="Arial"/>
              <w:b/>
              <w:noProof/>
              <w:spacing w:val="-3"/>
              <w:sz w:val="18"/>
              <w:szCs w:val="18"/>
            </w:rPr>
            <w:t>1</w: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end"/>
          </w:r>
          <w:r w:rsidRPr="004832CA">
            <w:rPr>
              <w:rFonts w:cs="Arial"/>
              <w:b/>
              <w:spacing w:val="-3"/>
              <w:sz w:val="18"/>
              <w:szCs w:val="18"/>
            </w:rPr>
            <w:t xml:space="preserve"> de </w: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begin"/>
          </w:r>
          <w:r w:rsidRPr="004832CA">
            <w:rPr>
              <w:rFonts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separate"/>
          </w:r>
          <w:r>
            <w:rPr>
              <w:rFonts w:cs="Arial"/>
              <w:b/>
              <w:noProof/>
              <w:spacing w:val="-3"/>
              <w:sz w:val="18"/>
              <w:szCs w:val="18"/>
            </w:rPr>
            <w:t>13</w:t>
          </w:r>
          <w:r w:rsidRPr="004832CA">
            <w:rPr>
              <w:rFonts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4"/>
  </w:tbl>
  <w:p w14:paraId="43D6A6C2" w14:textId="77777777" w:rsidR="00CD1DD0" w:rsidRDefault="00CD1DD0">
    <w:pPr>
      <w:pStyle w:val="Encabezado"/>
      <w:rPr>
        <w:rFonts w:ascii="Candara" w:hAnsi="Candar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69F5" w14:textId="77777777" w:rsidR="00F87659" w:rsidRDefault="00F876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AFF"/>
    <w:multiLevelType w:val="hybridMultilevel"/>
    <w:tmpl w:val="16983AD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i w:val="0"/>
        <w:sz w:val="20"/>
        <w:szCs w:val="20"/>
      </w:rPr>
    </w:lvl>
    <w:lvl w:ilvl="1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DE7B69"/>
    <w:multiLevelType w:val="hybridMultilevel"/>
    <w:tmpl w:val="6C3222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503F1"/>
    <w:multiLevelType w:val="hybridMultilevel"/>
    <w:tmpl w:val="CB3A1C94"/>
    <w:lvl w:ilvl="0" w:tplc="10DACE0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671A7E"/>
    <w:multiLevelType w:val="hybridMultilevel"/>
    <w:tmpl w:val="81146D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E25FD"/>
    <w:multiLevelType w:val="hybridMultilevel"/>
    <w:tmpl w:val="219CB89E"/>
    <w:lvl w:ilvl="0" w:tplc="10DAC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54D1"/>
    <w:multiLevelType w:val="multilevel"/>
    <w:tmpl w:val="2DCEA5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749724A"/>
    <w:multiLevelType w:val="multilevel"/>
    <w:tmpl w:val="082858F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ascii="Arial" w:hAnsi="Arial" w:cs="Arial" w:hint="default"/>
        <w:b/>
        <w:bCs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045D9B"/>
    <w:multiLevelType w:val="hybridMultilevel"/>
    <w:tmpl w:val="D6FE8C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A7915"/>
    <w:multiLevelType w:val="hybridMultilevel"/>
    <w:tmpl w:val="00F630E0"/>
    <w:lvl w:ilvl="0" w:tplc="5BC2A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74720"/>
    <w:multiLevelType w:val="hybridMultilevel"/>
    <w:tmpl w:val="5CF6E2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1F2C00"/>
    <w:multiLevelType w:val="hybridMultilevel"/>
    <w:tmpl w:val="110AF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2A3"/>
    <w:multiLevelType w:val="hybridMultilevel"/>
    <w:tmpl w:val="D02EF526"/>
    <w:lvl w:ilvl="0" w:tplc="81645E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049E0"/>
    <w:multiLevelType w:val="hybridMultilevel"/>
    <w:tmpl w:val="6C5A387E"/>
    <w:lvl w:ilvl="0" w:tplc="9A30B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34CCD"/>
    <w:multiLevelType w:val="hybridMultilevel"/>
    <w:tmpl w:val="377C0B94"/>
    <w:lvl w:ilvl="0" w:tplc="750CB3F8">
      <w:numFmt w:val="bullet"/>
      <w:lvlText w:val="-"/>
      <w:lvlJc w:val="left"/>
      <w:pPr>
        <w:ind w:left="848" w:hanging="360"/>
      </w:pPr>
      <w:rPr>
        <w:rFonts w:ascii="Calibri" w:eastAsiaTheme="minorHAnsi" w:hAnsi="Calibri" w:cstheme="minorBidi" w:hint="default"/>
      </w:rPr>
    </w:lvl>
    <w:lvl w:ilvl="1" w:tplc="240A0019">
      <w:start w:val="1"/>
      <w:numFmt w:val="lowerLetter"/>
      <w:lvlText w:val="%2."/>
      <w:lvlJc w:val="left"/>
      <w:pPr>
        <w:ind w:left="1568" w:hanging="360"/>
      </w:pPr>
    </w:lvl>
    <w:lvl w:ilvl="2" w:tplc="240A001B">
      <w:start w:val="1"/>
      <w:numFmt w:val="lowerRoman"/>
      <w:lvlText w:val="%3."/>
      <w:lvlJc w:val="right"/>
      <w:pPr>
        <w:ind w:left="2288" w:hanging="180"/>
      </w:pPr>
    </w:lvl>
    <w:lvl w:ilvl="3" w:tplc="240A000F">
      <w:start w:val="1"/>
      <w:numFmt w:val="decimal"/>
      <w:lvlText w:val="%4."/>
      <w:lvlJc w:val="left"/>
      <w:pPr>
        <w:ind w:left="3008" w:hanging="360"/>
      </w:pPr>
    </w:lvl>
    <w:lvl w:ilvl="4" w:tplc="240A0019">
      <w:start w:val="1"/>
      <w:numFmt w:val="lowerLetter"/>
      <w:lvlText w:val="%5."/>
      <w:lvlJc w:val="left"/>
      <w:pPr>
        <w:ind w:left="3728" w:hanging="360"/>
      </w:pPr>
    </w:lvl>
    <w:lvl w:ilvl="5" w:tplc="240A001B">
      <w:start w:val="1"/>
      <w:numFmt w:val="lowerRoman"/>
      <w:lvlText w:val="%6."/>
      <w:lvlJc w:val="right"/>
      <w:pPr>
        <w:ind w:left="4448" w:hanging="180"/>
      </w:pPr>
    </w:lvl>
    <w:lvl w:ilvl="6" w:tplc="240A000F">
      <w:start w:val="1"/>
      <w:numFmt w:val="decimal"/>
      <w:lvlText w:val="%7."/>
      <w:lvlJc w:val="left"/>
      <w:pPr>
        <w:ind w:left="5168" w:hanging="360"/>
      </w:pPr>
    </w:lvl>
    <w:lvl w:ilvl="7" w:tplc="240A0019">
      <w:start w:val="1"/>
      <w:numFmt w:val="lowerLetter"/>
      <w:lvlText w:val="%8."/>
      <w:lvlJc w:val="left"/>
      <w:pPr>
        <w:ind w:left="5888" w:hanging="360"/>
      </w:pPr>
    </w:lvl>
    <w:lvl w:ilvl="8" w:tplc="240A001B">
      <w:start w:val="1"/>
      <w:numFmt w:val="lowerRoman"/>
      <w:lvlText w:val="%9."/>
      <w:lvlJc w:val="right"/>
      <w:pPr>
        <w:ind w:left="6608" w:hanging="180"/>
      </w:pPr>
    </w:lvl>
  </w:abstractNum>
  <w:abstractNum w:abstractNumId="14" w15:restartNumberingAfterBreak="0">
    <w:nsid w:val="4AB11C47"/>
    <w:multiLevelType w:val="hybridMultilevel"/>
    <w:tmpl w:val="FC7A8A14"/>
    <w:lvl w:ilvl="0" w:tplc="10DACE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ED3EB6"/>
    <w:multiLevelType w:val="hybridMultilevel"/>
    <w:tmpl w:val="C946F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53CB0"/>
    <w:multiLevelType w:val="hybridMultilevel"/>
    <w:tmpl w:val="0866B5C8"/>
    <w:lvl w:ilvl="0" w:tplc="64BAC25E">
      <w:numFmt w:val="bullet"/>
      <w:lvlText w:val=""/>
      <w:lvlJc w:val="left"/>
      <w:pPr>
        <w:ind w:left="1080" w:hanging="360"/>
      </w:pPr>
      <w:rPr>
        <w:rFonts w:ascii="Symbol" w:eastAsia="+mj-ea" w:hAnsi="Symbol" w:cs="+mj-c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7C3391"/>
    <w:multiLevelType w:val="hybridMultilevel"/>
    <w:tmpl w:val="108E5D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C372D3"/>
    <w:multiLevelType w:val="hybridMultilevel"/>
    <w:tmpl w:val="8E32848E"/>
    <w:lvl w:ilvl="0" w:tplc="24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b/>
        <w:i w:val="0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27A1F0C"/>
    <w:multiLevelType w:val="hybridMultilevel"/>
    <w:tmpl w:val="28408B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941BD"/>
    <w:multiLevelType w:val="hybridMultilevel"/>
    <w:tmpl w:val="717C31E8"/>
    <w:lvl w:ilvl="0" w:tplc="10DACE04">
      <w:start w:val="1"/>
      <w:numFmt w:val="bullet"/>
      <w:lvlText w:val=""/>
      <w:lvlJc w:val="left"/>
      <w:pPr>
        <w:ind w:left="22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1" w15:restartNumberingAfterBreak="0">
    <w:nsid w:val="65BF234B"/>
    <w:multiLevelType w:val="hybridMultilevel"/>
    <w:tmpl w:val="510820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i w:val="0"/>
        <w:sz w:val="20"/>
        <w:szCs w:val="2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9CB662B"/>
    <w:multiLevelType w:val="hybridMultilevel"/>
    <w:tmpl w:val="94C6D9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2D5289"/>
    <w:multiLevelType w:val="hybridMultilevel"/>
    <w:tmpl w:val="2E38A942"/>
    <w:lvl w:ilvl="0" w:tplc="FFFFFFFF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i w:val="0"/>
        <w:sz w:val="20"/>
        <w:szCs w:val="20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E3D6C16"/>
    <w:multiLevelType w:val="hybridMultilevel"/>
    <w:tmpl w:val="ADF6557C"/>
    <w:lvl w:ilvl="0" w:tplc="E5E0675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984371"/>
    <w:multiLevelType w:val="hybridMultilevel"/>
    <w:tmpl w:val="F516E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C2BAC"/>
    <w:multiLevelType w:val="hybridMultilevel"/>
    <w:tmpl w:val="FC76D6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9"/>
  </w:num>
  <w:num w:numId="5">
    <w:abstractNumId w:val="24"/>
  </w:num>
  <w:num w:numId="6">
    <w:abstractNumId w:val="6"/>
  </w:num>
  <w:num w:numId="7">
    <w:abstractNumId w:val="17"/>
  </w:num>
  <w:num w:numId="8">
    <w:abstractNumId w:val="5"/>
  </w:num>
  <w:num w:numId="9">
    <w:abstractNumId w:val="11"/>
  </w:num>
  <w:num w:numId="10">
    <w:abstractNumId w:val="9"/>
  </w:num>
  <w:num w:numId="11">
    <w:abstractNumId w:val="16"/>
  </w:num>
  <w:num w:numId="12">
    <w:abstractNumId w:val="8"/>
  </w:num>
  <w:num w:numId="13">
    <w:abstractNumId w:val="10"/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5"/>
  </w:num>
  <w:num w:numId="17">
    <w:abstractNumId w:val="12"/>
  </w:num>
  <w:num w:numId="18">
    <w:abstractNumId w:val="21"/>
  </w:num>
  <w:num w:numId="19">
    <w:abstractNumId w:val="20"/>
  </w:num>
  <w:num w:numId="20">
    <w:abstractNumId w:val="14"/>
  </w:num>
  <w:num w:numId="21">
    <w:abstractNumId w:val="4"/>
  </w:num>
  <w:num w:numId="22">
    <w:abstractNumId w:val="15"/>
  </w:num>
  <w:num w:numId="23">
    <w:abstractNumId w:val="26"/>
  </w:num>
  <w:num w:numId="24">
    <w:abstractNumId w:val="7"/>
  </w:num>
  <w:num w:numId="25">
    <w:abstractNumId w:val="0"/>
  </w:num>
  <w:num w:numId="26">
    <w:abstractNumId w:val="23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2A"/>
    <w:rsid w:val="000135EB"/>
    <w:rsid w:val="00014979"/>
    <w:rsid w:val="00017445"/>
    <w:rsid w:val="00022D06"/>
    <w:rsid w:val="00031840"/>
    <w:rsid w:val="00060A23"/>
    <w:rsid w:val="0008026E"/>
    <w:rsid w:val="00095874"/>
    <w:rsid w:val="00096ADE"/>
    <w:rsid w:val="000A7786"/>
    <w:rsid w:val="000B1C18"/>
    <w:rsid w:val="000D00DF"/>
    <w:rsid w:val="000D06B7"/>
    <w:rsid w:val="000D1BCF"/>
    <w:rsid w:val="000E633D"/>
    <w:rsid w:val="000E63E3"/>
    <w:rsid w:val="000F188F"/>
    <w:rsid w:val="000F22B4"/>
    <w:rsid w:val="000F31FC"/>
    <w:rsid w:val="000F58C1"/>
    <w:rsid w:val="00104E77"/>
    <w:rsid w:val="00111C31"/>
    <w:rsid w:val="00115804"/>
    <w:rsid w:val="0012030D"/>
    <w:rsid w:val="001363EA"/>
    <w:rsid w:val="00141858"/>
    <w:rsid w:val="001500AC"/>
    <w:rsid w:val="00163D79"/>
    <w:rsid w:val="00177C74"/>
    <w:rsid w:val="00182BF4"/>
    <w:rsid w:val="00187DC8"/>
    <w:rsid w:val="0019014B"/>
    <w:rsid w:val="00190523"/>
    <w:rsid w:val="001910ED"/>
    <w:rsid w:val="001A1FC7"/>
    <w:rsid w:val="001A370C"/>
    <w:rsid w:val="001B5138"/>
    <w:rsid w:val="001C06CA"/>
    <w:rsid w:val="001C6A63"/>
    <w:rsid w:val="001D12E3"/>
    <w:rsid w:val="001D3AC7"/>
    <w:rsid w:val="001D5B5B"/>
    <w:rsid w:val="001D5BB1"/>
    <w:rsid w:val="001F539E"/>
    <w:rsid w:val="00201A17"/>
    <w:rsid w:val="00206246"/>
    <w:rsid w:val="00210A28"/>
    <w:rsid w:val="0022095D"/>
    <w:rsid w:val="00225C3A"/>
    <w:rsid w:val="00231C90"/>
    <w:rsid w:val="00243619"/>
    <w:rsid w:val="0024614D"/>
    <w:rsid w:val="0025512B"/>
    <w:rsid w:val="00270BAD"/>
    <w:rsid w:val="0027422A"/>
    <w:rsid w:val="00280152"/>
    <w:rsid w:val="0028114A"/>
    <w:rsid w:val="00281582"/>
    <w:rsid w:val="00287930"/>
    <w:rsid w:val="0029631B"/>
    <w:rsid w:val="002A0481"/>
    <w:rsid w:val="002A7298"/>
    <w:rsid w:val="002B2A94"/>
    <w:rsid w:val="002C5A99"/>
    <w:rsid w:val="002D2834"/>
    <w:rsid w:val="002D3A42"/>
    <w:rsid w:val="002D602B"/>
    <w:rsid w:val="002E221D"/>
    <w:rsid w:val="002F0C91"/>
    <w:rsid w:val="002F3313"/>
    <w:rsid w:val="002F5469"/>
    <w:rsid w:val="003041ED"/>
    <w:rsid w:val="0031139C"/>
    <w:rsid w:val="003233C3"/>
    <w:rsid w:val="00324B75"/>
    <w:rsid w:val="00331421"/>
    <w:rsid w:val="00343105"/>
    <w:rsid w:val="00352019"/>
    <w:rsid w:val="00352ACD"/>
    <w:rsid w:val="00354A88"/>
    <w:rsid w:val="00363428"/>
    <w:rsid w:val="00366E7F"/>
    <w:rsid w:val="00367A6D"/>
    <w:rsid w:val="00375E1C"/>
    <w:rsid w:val="00394A21"/>
    <w:rsid w:val="0039521F"/>
    <w:rsid w:val="003A5BCF"/>
    <w:rsid w:val="003B4234"/>
    <w:rsid w:val="003D3773"/>
    <w:rsid w:val="003D6AC2"/>
    <w:rsid w:val="003D7F08"/>
    <w:rsid w:val="003E2207"/>
    <w:rsid w:val="003E7B94"/>
    <w:rsid w:val="003F07A2"/>
    <w:rsid w:val="003F2F89"/>
    <w:rsid w:val="003F57E5"/>
    <w:rsid w:val="0040549A"/>
    <w:rsid w:val="004113F3"/>
    <w:rsid w:val="00417F76"/>
    <w:rsid w:val="004257CD"/>
    <w:rsid w:val="00435A3B"/>
    <w:rsid w:val="00440165"/>
    <w:rsid w:val="004407D7"/>
    <w:rsid w:val="00454963"/>
    <w:rsid w:val="00483E3C"/>
    <w:rsid w:val="004869B4"/>
    <w:rsid w:val="00493D05"/>
    <w:rsid w:val="00496BE7"/>
    <w:rsid w:val="004A527E"/>
    <w:rsid w:val="004C660D"/>
    <w:rsid w:val="004D2884"/>
    <w:rsid w:val="004D28F3"/>
    <w:rsid w:val="004D502C"/>
    <w:rsid w:val="004E36F7"/>
    <w:rsid w:val="004F1343"/>
    <w:rsid w:val="004F2D09"/>
    <w:rsid w:val="004F51FC"/>
    <w:rsid w:val="004F788D"/>
    <w:rsid w:val="0051741B"/>
    <w:rsid w:val="005221CE"/>
    <w:rsid w:val="00526787"/>
    <w:rsid w:val="0053452E"/>
    <w:rsid w:val="0054159C"/>
    <w:rsid w:val="0054350B"/>
    <w:rsid w:val="00561D19"/>
    <w:rsid w:val="00561DF7"/>
    <w:rsid w:val="00573F2A"/>
    <w:rsid w:val="00575239"/>
    <w:rsid w:val="00577D68"/>
    <w:rsid w:val="005871E0"/>
    <w:rsid w:val="00590638"/>
    <w:rsid w:val="005B1EA8"/>
    <w:rsid w:val="005C121E"/>
    <w:rsid w:val="005E5322"/>
    <w:rsid w:val="005E7766"/>
    <w:rsid w:val="005F4569"/>
    <w:rsid w:val="00604CE8"/>
    <w:rsid w:val="00616309"/>
    <w:rsid w:val="00620324"/>
    <w:rsid w:val="00622A0B"/>
    <w:rsid w:val="006533FA"/>
    <w:rsid w:val="00655EDE"/>
    <w:rsid w:val="006560F0"/>
    <w:rsid w:val="0066508D"/>
    <w:rsid w:val="00665502"/>
    <w:rsid w:val="00666AE3"/>
    <w:rsid w:val="00680234"/>
    <w:rsid w:val="00683C56"/>
    <w:rsid w:val="006879F9"/>
    <w:rsid w:val="006A3194"/>
    <w:rsid w:val="006B4335"/>
    <w:rsid w:val="006C6AF4"/>
    <w:rsid w:val="006E4FAE"/>
    <w:rsid w:val="006E601A"/>
    <w:rsid w:val="006F004C"/>
    <w:rsid w:val="007132B7"/>
    <w:rsid w:val="00713E93"/>
    <w:rsid w:val="00723EEE"/>
    <w:rsid w:val="00731424"/>
    <w:rsid w:val="00740490"/>
    <w:rsid w:val="00753320"/>
    <w:rsid w:val="0075626B"/>
    <w:rsid w:val="007726B7"/>
    <w:rsid w:val="00776102"/>
    <w:rsid w:val="00776CB3"/>
    <w:rsid w:val="00777ADB"/>
    <w:rsid w:val="00780AD3"/>
    <w:rsid w:val="0078697C"/>
    <w:rsid w:val="00796F67"/>
    <w:rsid w:val="007A691E"/>
    <w:rsid w:val="007B3533"/>
    <w:rsid w:val="007B3F42"/>
    <w:rsid w:val="007C0075"/>
    <w:rsid w:val="007C30E3"/>
    <w:rsid w:val="007D175A"/>
    <w:rsid w:val="007D5344"/>
    <w:rsid w:val="007F7AE0"/>
    <w:rsid w:val="00822986"/>
    <w:rsid w:val="008237A4"/>
    <w:rsid w:val="00824112"/>
    <w:rsid w:val="00826246"/>
    <w:rsid w:val="00834ADF"/>
    <w:rsid w:val="00836FCC"/>
    <w:rsid w:val="008370CE"/>
    <w:rsid w:val="008403A3"/>
    <w:rsid w:val="0086093B"/>
    <w:rsid w:val="008615EE"/>
    <w:rsid w:val="00861809"/>
    <w:rsid w:val="00861AC1"/>
    <w:rsid w:val="0086697F"/>
    <w:rsid w:val="0087211A"/>
    <w:rsid w:val="0087526D"/>
    <w:rsid w:val="00880103"/>
    <w:rsid w:val="00880BA5"/>
    <w:rsid w:val="00881E32"/>
    <w:rsid w:val="008A2A04"/>
    <w:rsid w:val="008A3C62"/>
    <w:rsid w:val="008B34E8"/>
    <w:rsid w:val="008B69BD"/>
    <w:rsid w:val="008C03E5"/>
    <w:rsid w:val="008C0AB3"/>
    <w:rsid w:val="008C342A"/>
    <w:rsid w:val="008C4AFF"/>
    <w:rsid w:val="008D3C8D"/>
    <w:rsid w:val="008D43F1"/>
    <w:rsid w:val="008D71E2"/>
    <w:rsid w:val="008E1583"/>
    <w:rsid w:val="008E1FEE"/>
    <w:rsid w:val="008E6C12"/>
    <w:rsid w:val="008E6F3A"/>
    <w:rsid w:val="008F40BE"/>
    <w:rsid w:val="008F45EB"/>
    <w:rsid w:val="008F47D8"/>
    <w:rsid w:val="00914154"/>
    <w:rsid w:val="009201EC"/>
    <w:rsid w:val="0092020C"/>
    <w:rsid w:val="00921AAD"/>
    <w:rsid w:val="0092470C"/>
    <w:rsid w:val="0092550F"/>
    <w:rsid w:val="009264F8"/>
    <w:rsid w:val="00926DA9"/>
    <w:rsid w:val="009340A8"/>
    <w:rsid w:val="00934172"/>
    <w:rsid w:val="009476A7"/>
    <w:rsid w:val="00947A20"/>
    <w:rsid w:val="00960C15"/>
    <w:rsid w:val="00966EC0"/>
    <w:rsid w:val="00982997"/>
    <w:rsid w:val="00985CF0"/>
    <w:rsid w:val="0099114A"/>
    <w:rsid w:val="0099237F"/>
    <w:rsid w:val="00992A59"/>
    <w:rsid w:val="009C07EB"/>
    <w:rsid w:val="009C3FDC"/>
    <w:rsid w:val="009C5021"/>
    <w:rsid w:val="009C7440"/>
    <w:rsid w:val="009D3C4C"/>
    <w:rsid w:val="009E5D79"/>
    <w:rsid w:val="009F5029"/>
    <w:rsid w:val="00A07631"/>
    <w:rsid w:val="00A17C5D"/>
    <w:rsid w:val="00A30130"/>
    <w:rsid w:val="00A308CD"/>
    <w:rsid w:val="00A416E3"/>
    <w:rsid w:val="00A41A0F"/>
    <w:rsid w:val="00A43D69"/>
    <w:rsid w:val="00A47753"/>
    <w:rsid w:val="00A62298"/>
    <w:rsid w:val="00A74104"/>
    <w:rsid w:val="00A91EEC"/>
    <w:rsid w:val="00AA2B53"/>
    <w:rsid w:val="00AA50DE"/>
    <w:rsid w:val="00AA6E06"/>
    <w:rsid w:val="00AB4ABF"/>
    <w:rsid w:val="00AB5674"/>
    <w:rsid w:val="00AF2C3A"/>
    <w:rsid w:val="00B075EF"/>
    <w:rsid w:val="00B31956"/>
    <w:rsid w:val="00B33949"/>
    <w:rsid w:val="00B45041"/>
    <w:rsid w:val="00B56C8D"/>
    <w:rsid w:val="00B57F08"/>
    <w:rsid w:val="00B729B7"/>
    <w:rsid w:val="00B72F5F"/>
    <w:rsid w:val="00B742F0"/>
    <w:rsid w:val="00B77595"/>
    <w:rsid w:val="00B876B7"/>
    <w:rsid w:val="00B90EF8"/>
    <w:rsid w:val="00BA47C6"/>
    <w:rsid w:val="00BB3C5B"/>
    <w:rsid w:val="00BB63F4"/>
    <w:rsid w:val="00BC2E6E"/>
    <w:rsid w:val="00BC541D"/>
    <w:rsid w:val="00BD05DF"/>
    <w:rsid w:val="00BD1052"/>
    <w:rsid w:val="00BE5592"/>
    <w:rsid w:val="00BE7B63"/>
    <w:rsid w:val="00C05AC3"/>
    <w:rsid w:val="00C0692C"/>
    <w:rsid w:val="00C11394"/>
    <w:rsid w:val="00C172EA"/>
    <w:rsid w:val="00C312B7"/>
    <w:rsid w:val="00C42BE0"/>
    <w:rsid w:val="00C548E1"/>
    <w:rsid w:val="00C553D5"/>
    <w:rsid w:val="00C65A58"/>
    <w:rsid w:val="00C82B8F"/>
    <w:rsid w:val="00C971E2"/>
    <w:rsid w:val="00CA2398"/>
    <w:rsid w:val="00CA2634"/>
    <w:rsid w:val="00CA7AE0"/>
    <w:rsid w:val="00CC5620"/>
    <w:rsid w:val="00CD1DD0"/>
    <w:rsid w:val="00CF21F4"/>
    <w:rsid w:val="00CF3007"/>
    <w:rsid w:val="00CF7C5F"/>
    <w:rsid w:val="00D07136"/>
    <w:rsid w:val="00D15F0D"/>
    <w:rsid w:val="00D255CD"/>
    <w:rsid w:val="00D42521"/>
    <w:rsid w:val="00D476BB"/>
    <w:rsid w:val="00D53742"/>
    <w:rsid w:val="00D57443"/>
    <w:rsid w:val="00D642BC"/>
    <w:rsid w:val="00D67358"/>
    <w:rsid w:val="00D81378"/>
    <w:rsid w:val="00D823F9"/>
    <w:rsid w:val="00D84F99"/>
    <w:rsid w:val="00D95B32"/>
    <w:rsid w:val="00DA2BA6"/>
    <w:rsid w:val="00DB1017"/>
    <w:rsid w:val="00E001EB"/>
    <w:rsid w:val="00E15C0A"/>
    <w:rsid w:val="00E214ED"/>
    <w:rsid w:val="00E23235"/>
    <w:rsid w:val="00E277E7"/>
    <w:rsid w:val="00E278F0"/>
    <w:rsid w:val="00E319F2"/>
    <w:rsid w:val="00E3248C"/>
    <w:rsid w:val="00E43EF1"/>
    <w:rsid w:val="00E44AF5"/>
    <w:rsid w:val="00E53477"/>
    <w:rsid w:val="00E73C56"/>
    <w:rsid w:val="00E7595F"/>
    <w:rsid w:val="00E769FA"/>
    <w:rsid w:val="00E823DE"/>
    <w:rsid w:val="00E824A0"/>
    <w:rsid w:val="00EA4ED2"/>
    <w:rsid w:val="00EB1272"/>
    <w:rsid w:val="00EB2101"/>
    <w:rsid w:val="00EB7161"/>
    <w:rsid w:val="00EC3626"/>
    <w:rsid w:val="00ED23B2"/>
    <w:rsid w:val="00ED2F38"/>
    <w:rsid w:val="00ED4AB2"/>
    <w:rsid w:val="00ED7341"/>
    <w:rsid w:val="00EF53E6"/>
    <w:rsid w:val="00EF6506"/>
    <w:rsid w:val="00F01CA3"/>
    <w:rsid w:val="00F04C28"/>
    <w:rsid w:val="00F04EBC"/>
    <w:rsid w:val="00F06839"/>
    <w:rsid w:val="00F11A9A"/>
    <w:rsid w:val="00F16320"/>
    <w:rsid w:val="00F17855"/>
    <w:rsid w:val="00F22EAD"/>
    <w:rsid w:val="00F27A96"/>
    <w:rsid w:val="00F4743E"/>
    <w:rsid w:val="00F515A4"/>
    <w:rsid w:val="00F53841"/>
    <w:rsid w:val="00F55723"/>
    <w:rsid w:val="00F62782"/>
    <w:rsid w:val="00F659C6"/>
    <w:rsid w:val="00F87659"/>
    <w:rsid w:val="00FA61E6"/>
    <w:rsid w:val="00FB0515"/>
    <w:rsid w:val="00FB3FDC"/>
    <w:rsid w:val="00FC2A4F"/>
    <w:rsid w:val="00FC3755"/>
    <w:rsid w:val="00FC7CD7"/>
    <w:rsid w:val="00FD1101"/>
    <w:rsid w:val="00FD1B56"/>
    <w:rsid w:val="00F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6A53C"/>
  <w15:docId w15:val="{1187D659-078F-4140-95FD-EDD7DDFB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4C"/>
  </w:style>
  <w:style w:type="paragraph" w:styleId="Ttulo1">
    <w:name w:val="heading 1"/>
    <w:basedOn w:val="Normal"/>
    <w:next w:val="Normal"/>
    <w:link w:val="Ttulo1Car"/>
    <w:uiPriority w:val="9"/>
    <w:qFormat/>
    <w:rsid w:val="004F7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9521F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39521F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73F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73F2A"/>
  </w:style>
  <w:style w:type="paragraph" w:styleId="Piedepgina">
    <w:name w:val="footer"/>
    <w:basedOn w:val="Normal"/>
    <w:link w:val="PiedepginaCar"/>
    <w:unhideWhenUsed/>
    <w:rsid w:val="00573F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73F2A"/>
  </w:style>
  <w:style w:type="table" w:styleId="Tablaconcuadrcula">
    <w:name w:val="Table Grid"/>
    <w:basedOn w:val="Tablanormal"/>
    <w:rsid w:val="0057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F2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39521F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39521F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F7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34A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139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27A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A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A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A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A9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D07136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0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BAE45-ECFA-4987-8960-85A5F2B7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NUBIA</dc:creator>
  <cp:lastModifiedBy>Edward Alexander Izquierdo Arizmendi</cp:lastModifiedBy>
  <cp:revision>22</cp:revision>
  <cp:lastPrinted>2016-10-06T21:13:00Z</cp:lastPrinted>
  <dcterms:created xsi:type="dcterms:W3CDTF">2021-11-04T21:52:00Z</dcterms:created>
  <dcterms:modified xsi:type="dcterms:W3CDTF">2022-04-01T17:20:00Z</dcterms:modified>
</cp:coreProperties>
</file>