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2185"/>
        <w:gridCol w:w="830"/>
        <w:gridCol w:w="2763"/>
        <w:gridCol w:w="825"/>
        <w:gridCol w:w="1923"/>
      </w:tblGrid>
      <w:tr w:rsidR="006A324D" w14:paraId="0342C604" w14:textId="77777777">
        <w:trPr>
          <w:trHeight w:val="102"/>
        </w:trPr>
        <w:tc>
          <w:tcPr>
            <w:tcW w:w="3011" w:type="dxa"/>
            <w:gridSpan w:val="2"/>
            <w:shd w:val="clear" w:color="auto" w:fill="auto"/>
          </w:tcPr>
          <w:p w14:paraId="7AA4F00F" w14:textId="77777777" w:rsidR="006A324D" w:rsidRDefault="003C7724">
            <w:pPr>
              <w:ind w:left="708" w:hanging="708"/>
              <w:jc w:val="both"/>
              <w:rPr>
                <w:rFonts w:ascii="Arial" w:eastAsia="Arial" w:hAnsi="Arial" w:cs="Arial"/>
                <w:b/>
                <w:sz w:val="14"/>
                <w:szCs w:val="14"/>
              </w:rPr>
            </w:pPr>
            <w:bookmarkStart w:id="0" w:name="_heading=h.gjdgxs" w:colFirst="0" w:colLast="0"/>
            <w:bookmarkEnd w:id="0"/>
            <w:r>
              <w:rPr>
                <w:rFonts w:ascii="Arial" w:eastAsia="Arial" w:hAnsi="Arial" w:cs="Arial"/>
                <w:b/>
                <w:sz w:val="14"/>
                <w:szCs w:val="14"/>
              </w:rPr>
              <w:t>Elaboro:</w:t>
            </w:r>
          </w:p>
        </w:tc>
        <w:tc>
          <w:tcPr>
            <w:tcW w:w="3593" w:type="dxa"/>
            <w:gridSpan w:val="2"/>
            <w:shd w:val="clear" w:color="auto" w:fill="auto"/>
          </w:tcPr>
          <w:p w14:paraId="249A59A0" w14:textId="77777777" w:rsidR="006A324D" w:rsidRDefault="003C7724">
            <w:pPr>
              <w:jc w:val="both"/>
              <w:rPr>
                <w:rFonts w:ascii="Arial" w:eastAsia="Arial" w:hAnsi="Arial" w:cs="Arial"/>
                <w:b/>
                <w:sz w:val="14"/>
                <w:szCs w:val="14"/>
              </w:rPr>
            </w:pPr>
            <w:r>
              <w:rPr>
                <w:rFonts w:ascii="Arial" w:eastAsia="Arial" w:hAnsi="Arial" w:cs="Arial"/>
                <w:b/>
                <w:sz w:val="14"/>
                <w:szCs w:val="14"/>
              </w:rPr>
              <w:t>Reviso:</w:t>
            </w:r>
          </w:p>
        </w:tc>
        <w:tc>
          <w:tcPr>
            <w:tcW w:w="2748" w:type="dxa"/>
            <w:gridSpan w:val="2"/>
            <w:shd w:val="clear" w:color="auto" w:fill="auto"/>
          </w:tcPr>
          <w:p w14:paraId="506D1170" w14:textId="77777777" w:rsidR="006A324D" w:rsidRDefault="003C7724">
            <w:pPr>
              <w:jc w:val="both"/>
              <w:rPr>
                <w:rFonts w:ascii="Arial" w:eastAsia="Arial" w:hAnsi="Arial" w:cs="Arial"/>
                <w:b/>
                <w:sz w:val="14"/>
                <w:szCs w:val="14"/>
              </w:rPr>
            </w:pPr>
            <w:r>
              <w:rPr>
                <w:rFonts w:ascii="Arial" w:eastAsia="Arial" w:hAnsi="Arial" w:cs="Arial"/>
                <w:b/>
                <w:sz w:val="14"/>
                <w:szCs w:val="14"/>
              </w:rPr>
              <w:t>Aprobó</w:t>
            </w:r>
            <w:r>
              <w:rPr>
                <w:rFonts w:ascii="Arial" w:eastAsia="Arial" w:hAnsi="Arial" w:cs="Arial"/>
                <w:sz w:val="14"/>
                <w:szCs w:val="14"/>
              </w:rPr>
              <w:t xml:space="preserve"> </w:t>
            </w:r>
          </w:p>
        </w:tc>
      </w:tr>
      <w:tr w:rsidR="006A324D" w14:paraId="55115987" w14:textId="77777777">
        <w:trPr>
          <w:trHeight w:val="64"/>
        </w:trPr>
        <w:tc>
          <w:tcPr>
            <w:tcW w:w="826" w:type="dxa"/>
            <w:shd w:val="clear" w:color="auto" w:fill="auto"/>
          </w:tcPr>
          <w:p w14:paraId="33B33024" w14:textId="77777777" w:rsidR="006A324D" w:rsidRDefault="003C7724">
            <w:pPr>
              <w:jc w:val="both"/>
              <w:rPr>
                <w:rFonts w:ascii="Arial" w:eastAsia="Arial" w:hAnsi="Arial" w:cs="Arial"/>
                <w:b/>
                <w:sz w:val="14"/>
                <w:szCs w:val="14"/>
              </w:rPr>
            </w:pPr>
            <w:r>
              <w:rPr>
                <w:rFonts w:ascii="Arial" w:eastAsia="Arial" w:hAnsi="Arial" w:cs="Arial"/>
                <w:b/>
                <w:sz w:val="14"/>
                <w:szCs w:val="14"/>
              </w:rPr>
              <w:t>Nombre:</w:t>
            </w:r>
          </w:p>
        </w:tc>
        <w:tc>
          <w:tcPr>
            <w:tcW w:w="2185" w:type="dxa"/>
            <w:shd w:val="clear" w:color="auto" w:fill="auto"/>
          </w:tcPr>
          <w:p w14:paraId="7C4AA0C1" w14:textId="77777777" w:rsidR="006A324D" w:rsidRDefault="003C7724">
            <w:pPr>
              <w:jc w:val="both"/>
              <w:rPr>
                <w:rFonts w:ascii="Arial" w:eastAsia="Arial" w:hAnsi="Arial" w:cs="Arial"/>
                <w:sz w:val="14"/>
                <w:szCs w:val="14"/>
              </w:rPr>
            </w:pPr>
            <w:r>
              <w:rPr>
                <w:rFonts w:ascii="Arial" w:eastAsia="Arial" w:hAnsi="Arial" w:cs="Arial"/>
                <w:sz w:val="14"/>
                <w:szCs w:val="14"/>
              </w:rPr>
              <w:t>Edward Izquierdo Arizmendi</w:t>
            </w:r>
          </w:p>
        </w:tc>
        <w:tc>
          <w:tcPr>
            <w:tcW w:w="830" w:type="dxa"/>
            <w:shd w:val="clear" w:color="auto" w:fill="auto"/>
          </w:tcPr>
          <w:p w14:paraId="56060E7D" w14:textId="77777777" w:rsidR="006A324D" w:rsidRDefault="003C7724">
            <w:pPr>
              <w:jc w:val="both"/>
              <w:rPr>
                <w:rFonts w:ascii="Arial" w:eastAsia="Arial" w:hAnsi="Arial" w:cs="Arial"/>
                <w:b/>
                <w:sz w:val="14"/>
                <w:szCs w:val="14"/>
              </w:rPr>
            </w:pPr>
            <w:r>
              <w:rPr>
                <w:rFonts w:ascii="Arial" w:eastAsia="Arial" w:hAnsi="Arial" w:cs="Arial"/>
                <w:b/>
                <w:sz w:val="14"/>
                <w:szCs w:val="14"/>
              </w:rPr>
              <w:t>Nombre:</w:t>
            </w:r>
          </w:p>
        </w:tc>
        <w:tc>
          <w:tcPr>
            <w:tcW w:w="2763" w:type="dxa"/>
            <w:shd w:val="clear" w:color="auto" w:fill="auto"/>
          </w:tcPr>
          <w:p w14:paraId="4166AD59" w14:textId="77777777" w:rsidR="006A324D" w:rsidRDefault="003C7724">
            <w:pPr>
              <w:jc w:val="both"/>
              <w:rPr>
                <w:rFonts w:ascii="Arial" w:eastAsia="Arial" w:hAnsi="Arial" w:cs="Arial"/>
                <w:sz w:val="14"/>
                <w:szCs w:val="14"/>
              </w:rPr>
            </w:pPr>
            <w:r>
              <w:rPr>
                <w:rFonts w:ascii="Arial" w:eastAsia="Arial" w:hAnsi="Arial" w:cs="Arial"/>
                <w:sz w:val="14"/>
                <w:szCs w:val="14"/>
              </w:rPr>
              <w:t>Jaime Cárdenas</w:t>
            </w:r>
          </w:p>
        </w:tc>
        <w:tc>
          <w:tcPr>
            <w:tcW w:w="825" w:type="dxa"/>
            <w:shd w:val="clear" w:color="auto" w:fill="auto"/>
          </w:tcPr>
          <w:p w14:paraId="1B15044E" w14:textId="77777777" w:rsidR="006A324D" w:rsidRDefault="003C7724">
            <w:pPr>
              <w:jc w:val="both"/>
              <w:rPr>
                <w:rFonts w:ascii="Arial" w:eastAsia="Arial" w:hAnsi="Arial" w:cs="Arial"/>
                <w:b/>
                <w:sz w:val="14"/>
                <w:szCs w:val="14"/>
              </w:rPr>
            </w:pPr>
            <w:r>
              <w:rPr>
                <w:rFonts w:ascii="Arial" w:eastAsia="Arial" w:hAnsi="Arial" w:cs="Arial"/>
                <w:b/>
                <w:sz w:val="14"/>
                <w:szCs w:val="14"/>
              </w:rPr>
              <w:t>Nombre:</w:t>
            </w:r>
          </w:p>
        </w:tc>
        <w:tc>
          <w:tcPr>
            <w:tcW w:w="1923" w:type="dxa"/>
            <w:shd w:val="clear" w:color="auto" w:fill="auto"/>
          </w:tcPr>
          <w:p w14:paraId="1052D711" w14:textId="77777777" w:rsidR="006A324D" w:rsidRDefault="003C7724">
            <w:pPr>
              <w:jc w:val="both"/>
              <w:rPr>
                <w:rFonts w:ascii="Arial" w:eastAsia="Arial" w:hAnsi="Arial" w:cs="Arial"/>
                <w:sz w:val="14"/>
                <w:szCs w:val="14"/>
              </w:rPr>
            </w:pPr>
            <w:r>
              <w:rPr>
                <w:rFonts w:ascii="Arial" w:eastAsia="Arial" w:hAnsi="Arial" w:cs="Arial"/>
                <w:sz w:val="14"/>
                <w:szCs w:val="14"/>
              </w:rPr>
              <w:t>Yina Cubillos Gutiérrez</w:t>
            </w:r>
          </w:p>
        </w:tc>
      </w:tr>
      <w:tr w:rsidR="006A324D" w14:paraId="5BEDE421" w14:textId="77777777">
        <w:tc>
          <w:tcPr>
            <w:tcW w:w="826" w:type="dxa"/>
            <w:shd w:val="clear" w:color="auto" w:fill="auto"/>
          </w:tcPr>
          <w:p w14:paraId="15A46C48" w14:textId="77777777" w:rsidR="006A324D" w:rsidRDefault="003C7724">
            <w:pPr>
              <w:jc w:val="both"/>
              <w:rPr>
                <w:rFonts w:ascii="Arial" w:eastAsia="Arial" w:hAnsi="Arial" w:cs="Arial"/>
                <w:b/>
                <w:sz w:val="14"/>
                <w:szCs w:val="14"/>
              </w:rPr>
            </w:pPr>
            <w:r>
              <w:rPr>
                <w:rFonts w:ascii="Arial" w:eastAsia="Arial" w:hAnsi="Arial" w:cs="Arial"/>
                <w:b/>
                <w:sz w:val="14"/>
                <w:szCs w:val="14"/>
              </w:rPr>
              <w:t>Cargo:</w:t>
            </w:r>
          </w:p>
        </w:tc>
        <w:tc>
          <w:tcPr>
            <w:tcW w:w="2185" w:type="dxa"/>
            <w:shd w:val="clear" w:color="auto" w:fill="auto"/>
          </w:tcPr>
          <w:p w14:paraId="5FDAD0A2" w14:textId="77777777" w:rsidR="006A324D" w:rsidRDefault="003C7724">
            <w:pPr>
              <w:jc w:val="both"/>
              <w:rPr>
                <w:rFonts w:ascii="Arial" w:eastAsia="Arial" w:hAnsi="Arial" w:cs="Arial"/>
                <w:sz w:val="14"/>
                <w:szCs w:val="14"/>
              </w:rPr>
            </w:pPr>
            <w:r>
              <w:rPr>
                <w:rFonts w:ascii="Arial" w:eastAsia="Arial" w:hAnsi="Arial" w:cs="Arial"/>
                <w:sz w:val="14"/>
                <w:szCs w:val="14"/>
              </w:rPr>
              <w:t>Asesor externo de Procesos</w:t>
            </w:r>
          </w:p>
        </w:tc>
        <w:tc>
          <w:tcPr>
            <w:tcW w:w="830" w:type="dxa"/>
            <w:shd w:val="clear" w:color="auto" w:fill="auto"/>
          </w:tcPr>
          <w:p w14:paraId="6882C5D1" w14:textId="77777777" w:rsidR="006A324D" w:rsidRDefault="003C7724">
            <w:pPr>
              <w:jc w:val="both"/>
              <w:rPr>
                <w:rFonts w:ascii="Arial" w:eastAsia="Arial" w:hAnsi="Arial" w:cs="Arial"/>
                <w:b/>
                <w:sz w:val="14"/>
                <w:szCs w:val="14"/>
              </w:rPr>
            </w:pPr>
            <w:r>
              <w:rPr>
                <w:rFonts w:ascii="Arial" w:eastAsia="Arial" w:hAnsi="Arial" w:cs="Arial"/>
                <w:b/>
                <w:sz w:val="14"/>
                <w:szCs w:val="14"/>
              </w:rPr>
              <w:t>Cargo:</w:t>
            </w:r>
          </w:p>
        </w:tc>
        <w:tc>
          <w:tcPr>
            <w:tcW w:w="2763" w:type="dxa"/>
            <w:shd w:val="clear" w:color="auto" w:fill="auto"/>
          </w:tcPr>
          <w:p w14:paraId="7BEBE380" w14:textId="77777777" w:rsidR="006A324D" w:rsidRDefault="003C7724">
            <w:pPr>
              <w:jc w:val="both"/>
              <w:rPr>
                <w:rFonts w:ascii="Arial" w:eastAsia="Arial" w:hAnsi="Arial" w:cs="Arial"/>
                <w:sz w:val="14"/>
                <w:szCs w:val="14"/>
              </w:rPr>
            </w:pPr>
            <w:r>
              <w:rPr>
                <w:rFonts w:ascii="Arial" w:eastAsia="Arial" w:hAnsi="Arial" w:cs="Arial"/>
                <w:sz w:val="14"/>
                <w:szCs w:val="14"/>
              </w:rPr>
              <w:t>Administrador de Riesgos</w:t>
            </w:r>
          </w:p>
        </w:tc>
        <w:tc>
          <w:tcPr>
            <w:tcW w:w="825" w:type="dxa"/>
            <w:shd w:val="clear" w:color="auto" w:fill="auto"/>
          </w:tcPr>
          <w:p w14:paraId="23839A04" w14:textId="77777777" w:rsidR="006A324D" w:rsidRDefault="003C7724">
            <w:pPr>
              <w:jc w:val="both"/>
              <w:rPr>
                <w:rFonts w:ascii="Arial" w:eastAsia="Arial" w:hAnsi="Arial" w:cs="Arial"/>
                <w:b/>
                <w:sz w:val="14"/>
                <w:szCs w:val="14"/>
              </w:rPr>
            </w:pPr>
            <w:r>
              <w:rPr>
                <w:rFonts w:ascii="Arial" w:eastAsia="Arial" w:hAnsi="Arial" w:cs="Arial"/>
                <w:b/>
                <w:sz w:val="14"/>
                <w:szCs w:val="14"/>
              </w:rPr>
              <w:t>Cargo:</w:t>
            </w:r>
          </w:p>
        </w:tc>
        <w:tc>
          <w:tcPr>
            <w:tcW w:w="1923" w:type="dxa"/>
            <w:shd w:val="clear" w:color="auto" w:fill="auto"/>
          </w:tcPr>
          <w:p w14:paraId="0AB85051" w14:textId="77777777" w:rsidR="006A324D" w:rsidRDefault="003C7724">
            <w:pPr>
              <w:jc w:val="both"/>
              <w:rPr>
                <w:rFonts w:ascii="Arial" w:eastAsia="Arial" w:hAnsi="Arial" w:cs="Arial"/>
                <w:sz w:val="14"/>
                <w:szCs w:val="14"/>
              </w:rPr>
            </w:pPr>
            <w:r>
              <w:rPr>
                <w:rFonts w:ascii="Arial" w:eastAsia="Arial" w:hAnsi="Arial" w:cs="Arial"/>
                <w:sz w:val="14"/>
                <w:szCs w:val="14"/>
              </w:rPr>
              <w:t>Gerente</w:t>
            </w:r>
          </w:p>
        </w:tc>
      </w:tr>
      <w:tr w:rsidR="006A324D" w14:paraId="1CC0D436" w14:textId="77777777">
        <w:tc>
          <w:tcPr>
            <w:tcW w:w="826" w:type="dxa"/>
            <w:shd w:val="clear" w:color="auto" w:fill="auto"/>
          </w:tcPr>
          <w:p w14:paraId="5055A260" w14:textId="77777777" w:rsidR="006A324D" w:rsidRDefault="003C7724">
            <w:pPr>
              <w:jc w:val="both"/>
              <w:rPr>
                <w:rFonts w:ascii="Arial" w:eastAsia="Arial" w:hAnsi="Arial" w:cs="Arial"/>
                <w:b/>
                <w:sz w:val="14"/>
                <w:szCs w:val="14"/>
              </w:rPr>
            </w:pPr>
            <w:r>
              <w:rPr>
                <w:rFonts w:ascii="Arial" w:eastAsia="Arial" w:hAnsi="Arial" w:cs="Arial"/>
                <w:b/>
                <w:sz w:val="14"/>
                <w:szCs w:val="14"/>
              </w:rPr>
              <w:t>Fecha:</w:t>
            </w:r>
          </w:p>
        </w:tc>
        <w:tc>
          <w:tcPr>
            <w:tcW w:w="2185" w:type="dxa"/>
            <w:shd w:val="clear" w:color="auto" w:fill="auto"/>
          </w:tcPr>
          <w:p w14:paraId="0043154B" w14:textId="77777777" w:rsidR="006A324D" w:rsidRDefault="003C7724">
            <w:pPr>
              <w:jc w:val="both"/>
              <w:rPr>
                <w:rFonts w:ascii="Arial" w:eastAsia="Arial" w:hAnsi="Arial" w:cs="Arial"/>
                <w:sz w:val="14"/>
                <w:szCs w:val="14"/>
              </w:rPr>
            </w:pPr>
            <w:r>
              <w:rPr>
                <w:rFonts w:ascii="Arial" w:eastAsia="Arial" w:hAnsi="Arial" w:cs="Arial"/>
                <w:sz w:val="14"/>
                <w:szCs w:val="14"/>
              </w:rPr>
              <w:t>29/09/2021</w:t>
            </w:r>
          </w:p>
        </w:tc>
        <w:tc>
          <w:tcPr>
            <w:tcW w:w="830" w:type="dxa"/>
            <w:shd w:val="clear" w:color="auto" w:fill="auto"/>
          </w:tcPr>
          <w:p w14:paraId="28949E9C" w14:textId="77777777" w:rsidR="006A324D" w:rsidRDefault="003C7724">
            <w:pPr>
              <w:jc w:val="both"/>
              <w:rPr>
                <w:rFonts w:ascii="Arial" w:eastAsia="Arial" w:hAnsi="Arial" w:cs="Arial"/>
                <w:b/>
                <w:sz w:val="14"/>
                <w:szCs w:val="14"/>
              </w:rPr>
            </w:pPr>
            <w:r>
              <w:rPr>
                <w:rFonts w:ascii="Arial" w:eastAsia="Arial" w:hAnsi="Arial" w:cs="Arial"/>
                <w:b/>
                <w:sz w:val="14"/>
                <w:szCs w:val="14"/>
              </w:rPr>
              <w:t>Fecha:</w:t>
            </w:r>
          </w:p>
        </w:tc>
        <w:tc>
          <w:tcPr>
            <w:tcW w:w="2763" w:type="dxa"/>
            <w:shd w:val="clear" w:color="auto" w:fill="auto"/>
          </w:tcPr>
          <w:p w14:paraId="6895A1A2" w14:textId="77777777" w:rsidR="006A324D" w:rsidRDefault="003C7724">
            <w:pPr>
              <w:jc w:val="both"/>
              <w:rPr>
                <w:rFonts w:ascii="Arial" w:eastAsia="Arial" w:hAnsi="Arial" w:cs="Arial"/>
                <w:sz w:val="14"/>
                <w:szCs w:val="14"/>
              </w:rPr>
            </w:pPr>
            <w:r>
              <w:rPr>
                <w:rFonts w:ascii="Arial" w:eastAsia="Arial" w:hAnsi="Arial" w:cs="Arial"/>
                <w:sz w:val="14"/>
                <w:szCs w:val="14"/>
              </w:rPr>
              <w:t>29/09/2021</w:t>
            </w:r>
          </w:p>
        </w:tc>
        <w:tc>
          <w:tcPr>
            <w:tcW w:w="825" w:type="dxa"/>
            <w:shd w:val="clear" w:color="auto" w:fill="auto"/>
          </w:tcPr>
          <w:p w14:paraId="4F66BFB5" w14:textId="77777777" w:rsidR="006A324D" w:rsidRDefault="003C7724">
            <w:pPr>
              <w:jc w:val="both"/>
              <w:rPr>
                <w:rFonts w:ascii="Arial" w:eastAsia="Arial" w:hAnsi="Arial" w:cs="Arial"/>
                <w:b/>
                <w:sz w:val="14"/>
                <w:szCs w:val="14"/>
              </w:rPr>
            </w:pPr>
            <w:r>
              <w:rPr>
                <w:rFonts w:ascii="Arial" w:eastAsia="Arial" w:hAnsi="Arial" w:cs="Arial"/>
                <w:b/>
                <w:sz w:val="14"/>
                <w:szCs w:val="14"/>
              </w:rPr>
              <w:t>Fecha:</w:t>
            </w:r>
          </w:p>
        </w:tc>
        <w:tc>
          <w:tcPr>
            <w:tcW w:w="1923" w:type="dxa"/>
            <w:shd w:val="clear" w:color="auto" w:fill="auto"/>
          </w:tcPr>
          <w:p w14:paraId="33D56642" w14:textId="77777777" w:rsidR="006A324D" w:rsidRDefault="003C7724">
            <w:pPr>
              <w:jc w:val="both"/>
              <w:rPr>
                <w:rFonts w:ascii="Arial" w:eastAsia="Arial" w:hAnsi="Arial" w:cs="Arial"/>
                <w:sz w:val="14"/>
                <w:szCs w:val="14"/>
              </w:rPr>
            </w:pPr>
            <w:r>
              <w:rPr>
                <w:rFonts w:ascii="Arial" w:eastAsia="Arial" w:hAnsi="Arial" w:cs="Arial"/>
                <w:sz w:val="14"/>
                <w:szCs w:val="14"/>
              </w:rPr>
              <w:t>29/09/2021</w:t>
            </w:r>
          </w:p>
        </w:tc>
      </w:tr>
    </w:tbl>
    <w:p w14:paraId="2C99D41D" w14:textId="77777777" w:rsidR="006A324D" w:rsidRDefault="006A324D">
      <w:pPr>
        <w:ind w:left="680" w:hanging="680"/>
        <w:jc w:val="both"/>
        <w:rPr>
          <w:rFonts w:ascii="Arial" w:eastAsia="Arial" w:hAnsi="Arial" w:cs="Arial"/>
          <w:sz w:val="24"/>
          <w:szCs w:val="24"/>
        </w:rPr>
      </w:pPr>
    </w:p>
    <w:p w14:paraId="246B34BA" w14:textId="77777777" w:rsidR="006A324D" w:rsidRDefault="003C7724">
      <w:pPr>
        <w:numPr>
          <w:ilvl w:val="0"/>
          <w:numId w:val="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OBJETIVO.</w:t>
      </w:r>
    </w:p>
    <w:p w14:paraId="3FD29564" w14:textId="77777777" w:rsidR="006A324D" w:rsidRDefault="006A324D">
      <w:pPr>
        <w:jc w:val="both"/>
        <w:rPr>
          <w:rFonts w:ascii="Arial" w:eastAsia="Arial" w:hAnsi="Arial" w:cs="Arial"/>
          <w:b/>
          <w:sz w:val="24"/>
          <w:szCs w:val="24"/>
        </w:rPr>
      </w:pPr>
    </w:p>
    <w:p w14:paraId="0CBA04A8" w14:textId="77777777" w:rsidR="006A324D" w:rsidRDefault="003C772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Identificar de manera clara el procedimiento para la evaluación que debe realizarse al 100% de la cartera de crédito al interior de la Cooperativa en el caso de recibir información proveniente de metodologías provenientes por las centrales de riesgos.</w:t>
      </w:r>
    </w:p>
    <w:p w14:paraId="57516703" w14:textId="77777777" w:rsidR="006A324D" w:rsidRDefault="006A324D">
      <w:pPr>
        <w:pBdr>
          <w:top w:val="nil"/>
          <w:left w:val="nil"/>
          <w:bottom w:val="nil"/>
          <w:right w:val="nil"/>
          <w:between w:val="nil"/>
        </w:pBdr>
        <w:jc w:val="both"/>
        <w:rPr>
          <w:rFonts w:ascii="Arial" w:eastAsia="Arial" w:hAnsi="Arial" w:cs="Arial"/>
          <w:color w:val="000000"/>
          <w:sz w:val="24"/>
          <w:szCs w:val="24"/>
        </w:rPr>
      </w:pPr>
    </w:p>
    <w:p w14:paraId="68E9D0F4" w14:textId="77777777" w:rsidR="006A324D" w:rsidRDefault="003C7724">
      <w:pPr>
        <w:numPr>
          <w:ilvl w:val="0"/>
          <w:numId w:val="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ALC</w:t>
      </w:r>
      <w:r>
        <w:rPr>
          <w:rFonts w:ascii="Arial" w:eastAsia="Arial" w:hAnsi="Arial" w:cs="Arial"/>
          <w:b/>
          <w:color w:val="000000"/>
          <w:sz w:val="24"/>
          <w:szCs w:val="24"/>
        </w:rPr>
        <w:t>ANCE.</w:t>
      </w:r>
    </w:p>
    <w:p w14:paraId="6D020BEF" w14:textId="77777777" w:rsidR="006A324D" w:rsidRDefault="006A324D">
      <w:pPr>
        <w:jc w:val="both"/>
        <w:rPr>
          <w:rFonts w:ascii="Arial" w:eastAsia="Arial" w:hAnsi="Arial" w:cs="Arial"/>
          <w:b/>
          <w:sz w:val="24"/>
          <w:szCs w:val="24"/>
        </w:rPr>
      </w:pPr>
    </w:p>
    <w:p w14:paraId="0290D43A" w14:textId="77777777" w:rsidR="006A324D" w:rsidRDefault="003C772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Aplica a la Cooperativa en el momento de realizar la evaluación de cartera de créditos. Afecta el nivel de cubrimiento de la provisión individual según la calificación.</w:t>
      </w:r>
    </w:p>
    <w:p w14:paraId="092A670D" w14:textId="77777777" w:rsidR="006A324D" w:rsidRDefault="006A324D">
      <w:pPr>
        <w:jc w:val="both"/>
        <w:rPr>
          <w:rFonts w:ascii="Arial" w:eastAsia="Arial" w:hAnsi="Arial" w:cs="Arial"/>
          <w:b/>
          <w:sz w:val="24"/>
          <w:szCs w:val="24"/>
        </w:rPr>
      </w:pPr>
    </w:p>
    <w:p w14:paraId="3AC0171F" w14:textId="77777777" w:rsidR="006A324D" w:rsidRDefault="003C7724">
      <w:pPr>
        <w:numPr>
          <w:ilvl w:val="0"/>
          <w:numId w:val="1"/>
        </w:numPr>
        <w:jc w:val="both"/>
        <w:rPr>
          <w:rFonts w:ascii="Arial" w:eastAsia="Arial" w:hAnsi="Arial" w:cs="Arial"/>
          <w:sz w:val="24"/>
          <w:szCs w:val="24"/>
        </w:rPr>
      </w:pPr>
      <w:bookmarkStart w:id="1" w:name="_heading=h.30j0zll" w:colFirst="0" w:colLast="0"/>
      <w:bookmarkEnd w:id="1"/>
      <w:r>
        <w:rPr>
          <w:rFonts w:ascii="Arial" w:eastAsia="Arial" w:hAnsi="Arial" w:cs="Arial"/>
          <w:b/>
          <w:sz w:val="24"/>
          <w:szCs w:val="24"/>
        </w:rPr>
        <w:t>NORMATIVIDAD.</w:t>
      </w:r>
    </w:p>
    <w:p w14:paraId="7643CFF9" w14:textId="77777777" w:rsidR="006A324D" w:rsidRDefault="006A324D">
      <w:pPr>
        <w:jc w:val="both"/>
        <w:rPr>
          <w:rFonts w:ascii="Arial" w:eastAsia="Arial" w:hAnsi="Arial" w:cs="Arial"/>
          <w:sz w:val="24"/>
          <w:szCs w:val="24"/>
        </w:rPr>
      </w:pPr>
    </w:p>
    <w:p w14:paraId="228E7E91" w14:textId="77777777" w:rsidR="006A324D" w:rsidRDefault="003C7724">
      <w:pPr>
        <w:numPr>
          <w:ilvl w:val="1"/>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INTERNA.</w:t>
      </w:r>
    </w:p>
    <w:p w14:paraId="4F9A44EF" w14:textId="77777777" w:rsidR="006A324D" w:rsidRDefault="006A324D">
      <w:pPr>
        <w:jc w:val="both"/>
        <w:rPr>
          <w:rFonts w:ascii="Arial" w:eastAsia="Arial" w:hAnsi="Arial" w:cs="Arial"/>
          <w:sz w:val="24"/>
          <w:szCs w:val="24"/>
        </w:rPr>
      </w:pPr>
    </w:p>
    <w:p w14:paraId="6C5370DE"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Reglamento SARC</w:t>
      </w:r>
    </w:p>
    <w:p w14:paraId="581DF201" w14:textId="77777777" w:rsidR="006A324D" w:rsidRDefault="003C7724">
      <w:pPr>
        <w:numPr>
          <w:ilvl w:val="2"/>
          <w:numId w:val="1"/>
        </w:numPr>
        <w:pBdr>
          <w:top w:val="nil"/>
          <w:left w:val="nil"/>
          <w:bottom w:val="nil"/>
          <w:right w:val="nil"/>
          <w:between w:val="nil"/>
        </w:pBdr>
        <w:jc w:val="both"/>
        <w:rPr>
          <w:rFonts w:ascii="Arial" w:eastAsia="Arial" w:hAnsi="Arial" w:cs="Arial"/>
          <w:color w:val="9BBB59"/>
          <w:sz w:val="24"/>
          <w:szCs w:val="24"/>
        </w:rPr>
      </w:pPr>
      <w:r>
        <w:rPr>
          <w:rFonts w:ascii="Arial" w:eastAsia="Arial" w:hAnsi="Arial" w:cs="Arial"/>
          <w:color w:val="9BBB59"/>
          <w:sz w:val="24"/>
          <w:szCs w:val="24"/>
        </w:rPr>
        <w:t>Reglamento de Crédito</w:t>
      </w:r>
      <w:r>
        <w:rPr>
          <w:rFonts w:ascii="Arial" w:eastAsia="Arial" w:hAnsi="Arial" w:cs="Arial"/>
          <w:color w:val="9BBB59"/>
          <w:sz w:val="24"/>
          <w:szCs w:val="24"/>
        </w:rPr>
        <w:tab/>
      </w:r>
    </w:p>
    <w:p w14:paraId="0FD9E5DC"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9BBB59"/>
          <w:sz w:val="24"/>
          <w:szCs w:val="24"/>
        </w:rPr>
        <w:t>Reglamento De Tasas.</w:t>
      </w:r>
    </w:p>
    <w:p w14:paraId="3553E610"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Reglamento Comité Evaluación de Cartera. </w:t>
      </w:r>
    </w:p>
    <w:p w14:paraId="6EADD60A" w14:textId="77777777" w:rsidR="006A324D" w:rsidRDefault="006A324D">
      <w:pPr>
        <w:jc w:val="both"/>
        <w:rPr>
          <w:rFonts w:ascii="Arial" w:eastAsia="Arial" w:hAnsi="Arial" w:cs="Arial"/>
          <w:sz w:val="24"/>
          <w:szCs w:val="24"/>
        </w:rPr>
      </w:pPr>
    </w:p>
    <w:p w14:paraId="1DF942DC" w14:textId="77777777" w:rsidR="006A324D" w:rsidRDefault="003C7724">
      <w:pPr>
        <w:numPr>
          <w:ilvl w:val="1"/>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EXTERNA.</w:t>
      </w:r>
    </w:p>
    <w:p w14:paraId="7E86A3E5" w14:textId="77777777" w:rsidR="006A324D" w:rsidRDefault="006A324D">
      <w:pPr>
        <w:pBdr>
          <w:top w:val="nil"/>
          <w:left w:val="nil"/>
          <w:bottom w:val="nil"/>
          <w:right w:val="nil"/>
          <w:between w:val="nil"/>
        </w:pBdr>
        <w:ind w:left="680"/>
        <w:jc w:val="both"/>
        <w:rPr>
          <w:rFonts w:ascii="Arial" w:eastAsia="Arial" w:hAnsi="Arial" w:cs="Arial"/>
          <w:color w:val="000000"/>
          <w:sz w:val="24"/>
          <w:szCs w:val="24"/>
        </w:rPr>
      </w:pPr>
    </w:p>
    <w:p w14:paraId="0E4A8E51" w14:textId="77777777" w:rsidR="006A324D" w:rsidRDefault="003C7724">
      <w:pPr>
        <w:numPr>
          <w:ilvl w:val="2"/>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Circular Básica Contable y Financiera por medio de la Circular Externa 22 de 2020 – Supersolidaria</w:t>
      </w:r>
    </w:p>
    <w:p w14:paraId="5D42724B" w14:textId="77777777" w:rsidR="006A324D" w:rsidRDefault="006A324D">
      <w:pPr>
        <w:jc w:val="both"/>
        <w:rPr>
          <w:rFonts w:ascii="Arial" w:eastAsia="Arial" w:hAnsi="Arial" w:cs="Arial"/>
          <w:sz w:val="24"/>
          <w:szCs w:val="24"/>
        </w:rPr>
      </w:pPr>
    </w:p>
    <w:p w14:paraId="5927A247" w14:textId="77777777" w:rsidR="006A324D" w:rsidRDefault="003C7724">
      <w:pPr>
        <w:numPr>
          <w:ilvl w:val="0"/>
          <w:numId w:val="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DEFINICIONES</w:t>
      </w:r>
    </w:p>
    <w:p w14:paraId="6089615F" w14:textId="77777777" w:rsidR="006A324D" w:rsidRDefault="003C7724">
      <w:pPr>
        <w:numPr>
          <w:ilvl w:val="1"/>
          <w:numId w:val="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N/A.</w:t>
      </w:r>
    </w:p>
    <w:p w14:paraId="116962B7" w14:textId="77777777" w:rsidR="006A324D" w:rsidRDefault="006A324D">
      <w:pPr>
        <w:jc w:val="both"/>
        <w:rPr>
          <w:rFonts w:ascii="Arial" w:eastAsia="Arial" w:hAnsi="Arial" w:cs="Arial"/>
          <w:b/>
          <w:sz w:val="24"/>
          <w:szCs w:val="24"/>
        </w:rPr>
      </w:pPr>
    </w:p>
    <w:p w14:paraId="12FCBADC" w14:textId="77777777" w:rsidR="006A324D" w:rsidRDefault="003C7724">
      <w:pPr>
        <w:numPr>
          <w:ilvl w:val="0"/>
          <w:numId w:val="1"/>
        </w:numPr>
        <w:jc w:val="both"/>
        <w:rPr>
          <w:rFonts w:ascii="Arial" w:eastAsia="Arial" w:hAnsi="Arial" w:cs="Arial"/>
          <w:b/>
          <w:sz w:val="24"/>
          <w:szCs w:val="24"/>
        </w:rPr>
      </w:pPr>
      <w:bookmarkStart w:id="3" w:name="_heading=h.3znysh7" w:colFirst="0" w:colLast="0"/>
      <w:bookmarkEnd w:id="3"/>
      <w:r>
        <w:rPr>
          <w:rFonts w:ascii="Arial" w:eastAsia="Arial" w:hAnsi="Arial" w:cs="Arial"/>
          <w:b/>
          <w:sz w:val="24"/>
          <w:szCs w:val="24"/>
        </w:rPr>
        <w:t>RESPONSABLES.</w:t>
      </w:r>
    </w:p>
    <w:p w14:paraId="04993C21" w14:textId="77777777" w:rsidR="006A324D" w:rsidRDefault="006A324D">
      <w:pPr>
        <w:jc w:val="both"/>
        <w:rPr>
          <w:rFonts w:ascii="Arial" w:eastAsia="Arial" w:hAnsi="Arial" w:cs="Arial"/>
          <w:b/>
          <w:sz w:val="24"/>
          <w:szCs w:val="24"/>
        </w:rPr>
      </w:pPr>
    </w:p>
    <w:p w14:paraId="05A465EE" w14:textId="77777777" w:rsidR="006A324D" w:rsidRDefault="003C7724">
      <w:pPr>
        <w:numPr>
          <w:ilvl w:val="1"/>
          <w:numId w:val="1"/>
        </w:numPr>
        <w:jc w:val="both"/>
        <w:rPr>
          <w:rFonts w:ascii="Arial" w:eastAsia="Arial" w:hAnsi="Arial" w:cs="Arial"/>
          <w:b/>
          <w:sz w:val="24"/>
          <w:szCs w:val="24"/>
        </w:rPr>
      </w:pPr>
      <w:r>
        <w:rPr>
          <w:rFonts w:ascii="Arial" w:eastAsia="Arial" w:hAnsi="Arial" w:cs="Arial"/>
          <w:sz w:val="24"/>
          <w:szCs w:val="24"/>
        </w:rPr>
        <w:t>Coordinador de Cartera</w:t>
      </w:r>
    </w:p>
    <w:p w14:paraId="0EE707D2" w14:textId="77777777" w:rsidR="006A324D" w:rsidRDefault="003C7724">
      <w:pPr>
        <w:numPr>
          <w:ilvl w:val="1"/>
          <w:numId w:val="1"/>
        </w:numPr>
        <w:jc w:val="both"/>
        <w:rPr>
          <w:rFonts w:ascii="Arial" w:eastAsia="Arial" w:hAnsi="Arial" w:cs="Arial"/>
          <w:b/>
          <w:sz w:val="24"/>
          <w:szCs w:val="24"/>
        </w:rPr>
      </w:pPr>
      <w:r>
        <w:rPr>
          <w:rFonts w:ascii="Arial" w:eastAsia="Arial" w:hAnsi="Arial" w:cs="Arial"/>
          <w:sz w:val="24"/>
          <w:szCs w:val="24"/>
        </w:rPr>
        <w:t xml:space="preserve">Gerencia </w:t>
      </w:r>
    </w:p>
    <w:p w14:paraId="5023CB25" w14:textId="77777777" w:rsidR="006A324D" w:rsidRDefault="003C7724">
      <w:pPr>
        <w:numPr>
          <w:ilvl w:val="1"/>
          <w:numId w:val="1"/>
        </w:numPr>
        <w:jc w:val="both"/>
        <w:rPr>
          <w:rFonts w:ascii="Arial" w:eastAsia="Arial" w:hAnsi="Arial" w:cs="Arial"/>
          <w:b/>
          <w:sz w:val="24"/>
          <w:szCs w:val="24"/>
        </w:rPr>
      </w:pPr>
      <w:r>
        <w:rPr>
          <w:rFonts w:ascii="Arial" w:eastAsia="Arial" w:hAnsi="Arial" w:cs="Arial"/>
          <w:sz w:val="24"/>
          <w:szCs w:val="24"/>
        </w:rPr>
        <w:t>Comité de Evaluación de Crédito y Cartera.</w:t>
      </w:r>
    </w:p>
    <w:p w14:paraId="08352BB4" w14:textId="77777777" w:rsidR="006A324D" w:rsidRDefault="003C7724">
      <w:pPr>
        <w:numPr>
          <w:ilvl w:val="1"/>
          <w:numId w:val="1"/>
        </w:numPr>
        <w:jc w:val="both"/>
        <w:rPr>
          <w:rFonts w:ascii="Arial" w:eastAsia="Arial" w:hAnsi="Arial" w:cs="Arial"/>
          <w:b/>
          <w:sz w:val="24"/>
          <w:szCs w:val="24"/>
        </w:rPr>
      </w:pPr>
      <w:r>
        <w:rPr>
          <w:rFonts w:ascii="Arial" w:eastAsia="Arial" w:hAnsi="Arial" w:cs="Arial"/>
          <w:sz w:val="24"/>
          <w:szCs w:val="24"/>
        </w:rPr>
        <w:t>Comité de riesgos</w:t>
      </w:r>
    </w:p>
    <w:p w14:paraId="7ADA4306" w14:textId="77777777" w:rsidR="006A324D" w:rsidRDefault="003C7724">
      <w:pPr>
        <w:numPr>
          <w:ilvl w:val="1"/>
          <w:numId w:val="1"/>
        </w:numPr>
        <w:jc w:val="both"/>
        <w:rPr>
          <w:rFonts w:ascii="Arial" w:eastAsia="Arial" w:hAnsi="Arial" w:cs="Arial"/>
          <w:b/>
          <w:sz w:val="24"/>
          <w:szCs w:val="24"/>
        </w:rPr>
      </w:pPr>
      <w:r>
        <w:rPr>
          <w:rFonts w:ascii="Arial" w:eastAsia="Arial" w:hAnsi="Arial" w:cs="Arial"/>
          <w:sz w:val="24"/>
          <w:szCs w:val="24"/>
        </w:rPr>
        <w:t>Revisor Fiscal</w:t>
      </w:r>
    </w:p>
    <w:p w14:paraId="224A2495" w14:textId="77777777" w:rsidR="006A324D" w:rsidRDefault="003C7724">
      <w:pPr>
        <w:numPr>
          <w:ilvl w:val="1"/>
          <w:numId w:val="1"/>
        </w:numPr>
        <w:jc w:val="both"/>
        <w:rPr>
          <w:rFonts w:ascii="Arial" w:eastAsia="Arial" w:hAnsi="Arial" w:cs="Arial"/>
          <w:b/>
          <w:sz w:val="24"/>
          <w:szCs w:val="24"/>
        </w:rPr>
      </w:pPr>
      <w:r>
        <w:rPr>
          <w:rFonts w:ascii="Arial" w:eastAsia="Arial" w:hAnsi="Arial" w:cs="Arial"/>
          <w:sz w:val="24"/>
          <w:szCs w:val="24"/>
        </w:rPr>
        <w:t>Consejo de Administración</w:t>
      </w:r>
    </w:p>
    <w:p w14:paraId="116A3515" w14:textId="77777777" w:rsidR="006A324D" w:rsidRDefault="006A324D">
      <w:pPr>
        <w:jc w:val="both"/>
        <w:rPr>
          <w:rFonts w:ascii="Arial" w:eastAsia="Arial" w:hAnsi="Arial" w:cs="Arial"/>
          <w:b/>
          <w:sz w:val="24"/>
          <w:szCs w:val="24"/>
        </w:rPr>
      </w:pPr>
    </w:p>
    <w:p w14:paraId="32832F03" w14:textId="77777777" w:rsidR="006A324D" w:rsidRDefault="003C7724">
      <w:pPr>
        <w:numPr>
          <w:ilvl w:val="0"/>
          <w:numId w:val="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lastRenderedPageBreak/>
        <w:t>CONDICIONES DE OPERACIÓN.</w:t>
      </w:r>
    </w:p>
    <w:p w14:paraId="6DAF4B65" w14:textId="77777777" w:rsidR="006A324D" w:rsidRDefault="006A324D">
      <w:pPr>
        <w:jc w:val="both"/>
        <w:rPr>
          <w:rFonts w:ascii="Arial" w:eastAsia="Arial" w:hAnsi="Arial" w:cs="Arial"/>
          <w:b/>
          <w:sz w:val="24"/>
          <w:szCs w:val="24"/>
        </w:rPr>
      </w:pPr>
    </w:p>
    <w:p w14:paraId="78EC6291" w14:textId="77777777" w:rsidR="006A324D" w:rsidRDefault="003C7724">
      <w:pPr>
        <w:numPr>
          <w:ilvl w:val="1"/>
          <w:numId w:val="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color w:val="000000"/>
          <w:sz w:val="24"/>
          <w:szCs w:val="24"/>
        </w:rPr>
        <w:t>Dentro de las condiciones establecidas por la Cooperativa se han definido las siguientes políticas</w:t>
      </w:r>
      <w:r>
        <w:rPr>
          <w:rFonts w:ascii="Arial" w:eastAsia="Arial" w:hAnsi="Arial" w:cs="Arial"/>
          <w:b/>
          <w:color w:val="000000"/>
          <w:sz w:val="24"/>
          <w:szCs w:val="24"/>
        </w:rPr>
        <w:t>:</w:t>
      </w:r>
    </w:p>
    <w:p w14:paraId="1F8E3EB4" w14:textId="77777777" w:rsidR="006A324D" w:rsidRDefault="006A324D">
      <w:pPr>
        <w:jc w:val="both"/>
        <w:rPr>
          <w:rFonts w:ascii="Arial" w:eastAsia="Arial" w:hAnsi="Arial" w:cs="Arial"/>
          <w:b/>
          <w:sz w:val="24"/>
          <w:szCs w:val="24"/>
        </w:rPr>
      </w:pPr>
    </w:p>
    <w:p w14:paraId="2F0833C4"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La Recalificación solo será generada por el comité de Evaluación de Cartera.</w:t>
      </w:r>
    </w:p>
    <w:p w14:paraId="68B6BEC4" w14:textId="77777777" w:rsidR="006A324D" w:rsidRDefault="003C7724">
      <w:pPr>
        <w:numPr>
          <w:ilvl w:val="2"/>
          <w:numId w:val="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color w:val="000000"/>
          <w:sz w:val="24"/>
          <w:szCs w:val="24"/>
        </w:rPr>
        <w:t>Cuando la provisión individual total de la Cooperativa sea superior a la calculada por la Cooperativa con base en la calificación sugerida por la Central de Riesgos, no se realizará la Recalificación a la cartera y en consecuencia no se ajustará la provisi</w:t>
      </w:r>
      <w:r>
        <w:rPr>
          <w:rFonts w:ascii="Arial" w:eastAsia="Arial" w:hAnsi="Arial" w:cs="Arial"/>
          <w:color w:val="000000"/>
          <w:sz w:val="24"/>
          <w:szCs w:val="24"/>
        </w:rPr>
        <w:t xml:space="preserve">ón de la Cooperativa. </w:t>
      </w:r>
    </w:p>
    <w:p w14:paraId="45C159DE" w14:textId="77777777" w:rsidR="006A324D" w:rsidRDefault="003C7724">
      <w:pPr>
        <w:numPr>
          <w:ilvl w:val="2"/>
          <w:numId w:val="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color w:val="000000"/>
          <w:sz w:val="24"/>
          <w:szCs w:val="24"/>
        </w:rPr>
        <w:t>Cuando la provisión individual total de la Cooperativa sea inferior a la calculada por la Cooperativa con base en la calificación sugerida por la Central de Riesgos, se realizará la Recalificación a la cartera y se ajustará la provis</w:t>
      </w:r>
      <w:r>
        <w:rPr>
          <w:rFonts w:ascii="Arial" w:eastAsia="Arial" w:hAnsi="Arial" w:cs="Arial"/>
          <w:color w:val="000000"/>
          <w:sz w:val="24"/>
          <w:szCs w:val="24"/>
        </w:rPr>
        <w:t>ión de la Cooperativa hasta completar el valor total de la provisión calculada, aplicándose de manera selectiva dentro de los deudores de acuerdo con su mayor riesgo. Este procedimiento aplicará en cuanto a provisión y efectos contables.</w:t>
      </w:r>
    </w:p>
    <w:p w14:paraId="25A16C5F" w14:textId="77777777" w:rsidR="006A324D" w:rsidRDefault="006A324D">
      <w:pPr>
        <w:pBdr>
          <w:top w:val="nil"/>
          <w:left w:val="nil"/>
          <w:bottom w:val="nil"/>
          <w:right w:val="nil"/>
          <w:between w:val="nil"/>
        </w:pBdr>
        <w:ind w:left="680"/>
        <w:jc w:val="both"/>
        <w:rPr>
          <w:rFonts w:ascii="Arial" w:eastAsia="Arial" w:hAnsi="Arial" w:cs="Arial"/>
          <w:b/>
          <w:color w:val="000000"/>
          <w:sz w:val="24"/>
          <w:szCs w:val="24"/>
        </w:rPr>
      </w:pPr>
    </w:p>
    <w:p w14:paraId="3CC7405E" w14:textId="77777777" w:rsidR="006A324D" w:rsidRDefault="003C7724">
      <w:pPr>
        <w:numPr>
          <w:ilvl w:val="1"/>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Se aplicarán los </w:t>
      </w:r>
      <w:r>
        <w:rPr>
          <w:rFonts w:ascii="Arial" w:eastAsia="Arial" w:hAnsi="Arial" w:cs="Arial"/>
          <w:color w:val="000000"/>
          <w:sz w:val="24"/>
          <w:szCs w:val="24"/>
        </w:rPr>
        <w:t>criterios para la evaluación de cartera expedidos por la Superintendencia de Economía Solidaria, así:</w:t>
      </w:r>
    </w:p>
    <w:p w14:paraId="42FD3768" w14:textId="77777777" w:rsidR="006A324D" w:rsidRDefault="006A324D">
      <w:pPr>
        <w:pBdr>
          <w:top w:val="nil"/>
          <w:left w:val="nil"/>
          <w:bottom w:val="nil"/>
          <w:right w:val="nil"/>
          <w:between w:val="nil"/>
        </w:pBdr>
        <w:ind w:left="680"/>
        <w:jc w:val="both"/>
        <w:rPr>
          <w:rFonts w:ascii="Arial" w:eastAsia="Arial" w:hAnsi="Arial" w:cs="Arial"/>
          <w:color w:val="000000"/>
          <w:sz w:val="24"/>
          <w:szCs w:val="24"/>
        </w:rPr>
      </w:pPr>
    </w:p>
    <w:p w14:paraId="074361C8"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 xml:space="preserve">Capacidad de pago: </w:t>
      </w:r>
      <w:r>
        <w:rPr>
          <w:rFonts w:ascii="Arial" w:eastAsia="Arial" w:hAnsi="Arial" w:cs="Arial"/>
          <w:color w:val="000000"/>
          <w:sz w:val="24"/>
          <w:szCs w:val="24"/>
        </w:rPr>
        <w:t>Se actualizará y verificará que el deudor mantenga las condiciones particulares que presentó al momento de otorgarle el crédito, la vi</w:t>
      </w:r>
      <w:r>
        <w:rPr>
          <w:rFonts w:ascii="Arial" w:eastAsia="Arial" w:hAnsi="Arial" w:cs="Arial"/>
          <w:color w:val="000000"/>
          <w:sz w:val="24"/>
          <w:szCs w:val="24"/>
        </w:rPr>
        <w:t xml:space="preserve">gencia de los documentos aportados, la información registrada en la solicitud de crédito y la información comercial y financiera provenientes de otras fuentes. En el caso de proyectos financiados, se evaluarán además variables sectoriales y externalidades </w:t>
      </w:r>
      <w:r>
        <w:rPr>
          <w:rFonts w:ascii="Arial" w:eastAsia="Arial" w:hAnsi="Arial" w:cs="Arial"/>
          <w:color w:val="000000"/>
          <w:sz w:val="24"/>
          <w:szCs w:val="24"/>
        </w:rPr>
        <w:t>que afecten el normal desarrollo de estos.</w:t>
      </w:r>
    </w:p>
    <w:p w14:paraId="3F0AF6B2"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Solvencia del deudor:</w:t>
      </w:r>
      <w:r>
        <w:rPr>
          <w:rFonts w:ascii="Arial" w:eastAsia="Arial" w:hAnsi="Arial" w:cs="Arial"/>
          <w:color w:val="000000"/>
          <w:sz w:val="24"/>
          <w:szCs w:val="24"/>
        </w:rPr>
        <w:t xml:space="preserve"> Se actualizará y verificará a través de variables como el nivel de endeudamiento, la calidad y composición de los activos, pasivos, patrimonio y contingencias del deudor y/o del proyecto. En </w:t>
      </w:r>
      <w:r>
        <w:rPr>
          <w:rFonts w:ascii="Arial" w:eastAsia="Arial" w:hAnsi="Arial" w:cs="Arial"/>
          <w:color w:val="000000"/>
          <w:sz w:val="24"/>
          <w:szCs w:val="24"/>
        </w:rPr>
        <w:t>el caso de los bienes inmuebles se debe solicitar la información de si estos se encuentran afectados con alguna de las garantías limitantes del dominio establecidas en el Código Civil.</w:t>
      </w:r>
    </w:p>
    <w:p w14:paraId="22A6D79E"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Garantías:</w:t>
      </w:r>
      <w:r>
        <w:rPr>
          <w:rFonts w:ascii="Arial" w:eastAsia="Arial" w:hAnsi="Arial" w:cs="Arial"/>
          <w:color w:val="000000"/>
          <w:sz w:val="24"/>
          <w:szCs w:val="24"/>
        </w:rPr>
        <w:t xml:space="preserve"> Se evaluará su liquidez, idoneidad, valor y cobertura tenien</w:t>
      </w:r>
      <w:r>
        <w:rPr>
          <w:rFonts w:ascii="Arial" w:eastAsia="Arial" w:hAnsi="Arial" w:cs="Arial"/>
          <w:color w:val="000000"/>
          <w:sz w:val="24"/>
          <w:szCs w:val="24"/>
        </w:rPr>
        <w:t>do en cuenta, entre otros aspectos, la celeridad con que puedan hacerse efectivas y su valor comercial utilizando para el efecto estudios técnicos existentes en el mercado, realizados por personas o entidades idóneas. Con base en estos criterios, las organ</w:t>
      </w:r>
      <w:r>
        <w:rPr>
          <w:rFonts w:ascii="Arial" w:eastAsia="Arial" w:hAnsi="Arial" w:cs="Arial"/>
          <w:color w:val="000000"/>
          <w:sz w:val="24"/>
          <w:szCs w:val="24"/>
        </w:rPr>
        <w:t>izaciones solidarias harán, la actualización del valor comercial de las garantías con una periodicidad anual</w:t>
      </w:r>
    </w:p>
    <w:p w14:paraId="75AA90C7"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 xml:space="preserve">Servicio de la deuda: </w:t>
      </w:r>
      <w:r>
        <w:rPr>
          <w:rFonts w:ascii="Arial" w:eastAsia="Arial" w:hAnsi="Arial" w:cs="Arial"/>
          <w:color w:val="000000"/>
          <w:sz w:val="24"/>
          <w:szCs w:val="24"/>
        </w:rPr>
        <w:t>Se evaluará el cumplimiento de los términos pactados, es decir, la atención oportuna de todas las cuotas (capital e intereses</w:t>
      </w:r>
      <w:r>
        <w:rPr>
          <w:rFonts w:ascii="Arial" w:eastAsia="Arial" w:hAnsi="Arial" w:cs="Arial"/>
          <w:color w:val="000000"/>
          <w:sz w:val="24"/>
          <w:szCs w:val="24"/>
        </w:rPr>
        <w:t>) o instalamentos; entendiéndose como tales, cualquier pago derivado de una operación activa de crédito que deba efectuar el deudor en una fecha determinada.</w:t>
      </w:r>
    </w:p>
    <w:p w14:paraId="2B810DF7"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Cantidad de reestructuraciones: </w:t>
      </w:r>
      <w:r>
        <w:rPr>
          <w:rFonts w:ascii="Arial" w:eastAsia="Arial" w:hAnsi="Arial" w:cs="Arial"/>
          <w:color w:val="000000"/>
          <w:sz w:val="24"/>
          <w:szCs w:val="24"/>
        </w:rPr>
        <w:t>El número de veces que el crédito ha sido reestructurado y la natu</w:t>
      </w:r>
      <w:r>
        <w:rPr>
          <w:rFonts w:ascii="Arial" w:eastAsia="Arial" w:hAnsi="Arial" w:cs="Arial"/>
          <w:color w:val="000000"/>
          <w:sz w:val="24"/>
          <w:szCs w:val="24"/>
        </w:rPr>
        <w:t>raleza de la respectiva reestructuración. Se entiende que entre más operaciones reestructuradas se hayan otorgado a un mismo deudor, mayor será el riesgo de no pago de la obligación.</w:t>
      </w:r>
    </w:p>
    <w:p w14:paraId="11019752"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 xml:space="preserve">Centrales de información: </w:t>
      </w:r>
      <w:r>
        <w:rPr>
          <w:rFonts w:ascii="Arial" w:eastAsia="Arial" w:hAnsi="Arial" w:cs="Arial"/>
          <w:color w:val="000000"/>
          <w:sz w:val="24"/>
          <w:szCs w:val="24"/>
        </w:rPr>
        <w:t>Consulta proveniente de centrales de riesgo y demás fuentes que disponga la organización solidaria vigilada.</w:t>
      </w:r>
    </w:p>
    <w:p w14:paraId="0516EF6C" w14:textId="77777777" w:rsidR="006A324D" w:rsidRDefault="006A324D">
      <w:pPr>
        <w:jc w:val="both"/>
        <w:rPr>
          <w:rFonts w:ascii="Arial" w:eastAsia="Arial" w:hAnsi="Arial" w:cs="Arial"/>
          <w:sz w:val="24"/>
          <w:szCs w:val="24"/>
        </w:rPr>
      </w:pPr>
    </w:p>
    <w:p w14:paraId="5BEBB269" w14:textId="77777777" w:rsidR="006A324D" w:rsidRDefault="003C7724">
      <w:pPr>
        <w:numPr>
          <w:ilvl w:val="1"/>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Periodicidad De La Evaluación</w:t>
      </w:r>
      <w:r>
        <w:rPr>
          <w:rFonts w:ascii="Arial" w:eastAsia="Arial" w:hAnsi="Arial" w:cs="Arial"/>
          <w:color w:val="000000"/>
          <w:sz w:val="24"/>
          <w:szCs w:val="24"/>
        </w:rPr>
        <w:t xml:space="preserve">: Coopeaipe deberá evaluar permanentemente el riesgo de su cartera de créditos, según las condiciones que a continuación se describe: </w:t>
      </w:r>
    </w:p>
    <w:p w14:paraId="7C285E7A" w14:textId="77777777" w:rsidR="006A324D" w:rsidRDefault="006A324D">
      <w:pPr>
        <w:pBdr>
          <w:top w:val="nil"/>
          <w:left w:val="nil"/>
          <w:bottom w:val="nil"/>
          <w:right w:val="nil"/>
          <w:between w:val="nil"/>
        </w:pBdr>
        <w:ind w:left="680"/>
        <w:jc w:val="both"/>
        <w:rPr>
          <w:rFonts w:ascii="Arial" w:eastAsia="Arial" w:hAnsi="Arial" w:cs="Arial"/>
          <w:color w:val="000000"/>
          <w:sz w:val="24"/>
          <w:szCs w:val="24"/>
        </w:rPr>
      </w:pPr>
    </w:p>
    <w:p w14:paraId="33BD6396" w14:textId="77777777" w:rsidR="006A324D" w:rsidRDefault="003C7724">
      <w:pPr>
        <w:numPr>
          <w:ilvl w:val="2"/>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En los siguientes casos, la evaluación y eventual recalificación será obligatoria: </w:t>
      </w:r>
    </w:p>
    <w:p w14:paraId="03A22F50" w14:textId="77777777" w:rsidR="006A324D" w:rsidRDefault="006A324D">
      <w:pPr>
        <w:pBdr>
          <w:top w:val="nil"/>
          <w:left w:val="nil"/>
          <w:bottom w:val="nil"/>
          <w:right w:val="nil"/>
          <w:between w:val="nil"/>
        </w:pBdr>
        <w:ind w:left="680"/>
        <w:jc w:val="both"/>
        <w:rPr>
          <w:rFonts w:ascii="Arial" w:eastAsia="Arial" w:hAnsi="Arial" w:cs="Arial"/>
          <w:color w:val="000000"/>
          <w:sz w:val="24"/>
          <w:szCs w:val="24"/>
        </w:rPr>
      </w:pPr>
    </w:p>
    <w:p w14:paraId="7FFDBDEA" w14:textId="77777777" w:rsidR="006A324D" w:rsidRDefault="003C7724">
      <w:pPr>
        <w:numPr>
          <w:ilvl w:val="3"/>
          <w:numId w:val="1"/>
        </w:numPr>
        <w:pBdr>
          <w:top w:val="nil"/>
          <w:left w:val="nil"/>
          <w:bottom w:val="nil"/>
          <w:right w:val="nil"/>
          <w:between w:val="nil"/>
        </w:pBdr>
        <w:ind w:hanging="340"/>
        <w:jc w:val="both"/>
        <w:rPr>
          <w:rFonts w:ascii="Arial" w:eastAsia="Arial" w:hAnsi="Arial" w:cs="Arial"/>
          <w:color w:val="000000"/>
          <w:sz w:val="24"/>
          <w:szCs w:val="24"/>
        </w:rPr>
      </w:pPr>
      <w:r>
        <w:rPr>
          <w:rFonts w:ascii="Arial" w:eastAsia="Arial" w:hAnsi="Arial" w:cs="Arial"/>
          <w:color w:val="000000"/>
          <w:sz w:val="24"/>
          <w:szCs w:val="24"/>
        </w:rPr>
        <w:t>Créditos que incurran en mora de más de 30 días después de ser reestructurados.</w:t>
      </w:r>
    </w:p>
    <w:p w14:paraId="446BC081" w14:textId="77777777" w:rsidR="006A324D" w:rsidRDefault="003C7724">
      <w:pPr>
        <w:numPr>
          <w:ilvl w:val="3"/>
          <w:numId w:val="1"/>
        </w:numPr>
        <w:pBdr>
          <w:top w:val="nil"/>
          <w:left w:val="nil"/>
          <w:bottom w:val="nil"/>
          <w:right w:val="nil"/>
          <w:between w:val="nil"/>
        </w:pBdr>
        <w:ind w:hanging="340"/>
        <w:jc w:val="both"/>
        <w:rPr>
          <w:rFonts w:ascii="Arial" w:eastAsia="Arial" w:hAnsi="Arial" w:cs="Arial"/>
          <w:color w:val="000000"/>
          <w:sz w:val="24"/>
          <w:szCs w:val="24"/>
        </w:rPr>
      </w:pPr>
      <w:r>
        <w:rPr>
          <w:rFonts w:ascii="Arial" w:eastAsia="Arial" w:hAnsi="Arial" w:cs="Arial"/>
          <w:color w:val="000000"/>
          <w:sz w:val="24"/>
          <w:szCs w:val="24"/>
        </w:rPr>
        <w:t xml:space="preserve">Créditos cuya sumatoria de los saldos insolutos de todos los préstamos otorgados a una misma persona natural o jurídica exceda los 50 SMMLV. </w:t>
      </w:r>
    </w:p>
    <w:p w14:paraId="74C4F07F" w14:textId="77777777" w:rsidR="006A324D" w:rsidRDefault="006A324D">
      <w:pPr>
        <w:jc w:val="both"/>
        <w:rPr>
          <w:rFonts w:ascii="Arial" w:eastAsia="Arial" w:hAnsi="Arial" w:cs="Arial"/>
          <w:sz w:val="24"/>
          <w:szCs w:val="24"/>
        </w:rPr>
      </w:pPr>
    </w:p>
    <w:p w14:paraId="424B3DF5" w14:textId="77777777" w:rsidR="006A324D" w:rsidRDefault="003C7724">
      <w:pPr>
        <w:numPr>
          <w:ilvl w:val="1"/>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La evaluación de estos créditos d</w:t>
      </w:r>
      <w:r>
        <w:rPr>
          <w:rFonts w:ascii="Arial" w:eastAsia="Arial" w:hAnsi="Arial" w:cs="Arial"/>
          <w:color w:val="000000"/>
          <w:sz w:val="24"/>
          <w:szCs w:val="24"/>
        </w:rPr>
        <w:t>eberá efectuarse como mínimo en los meses de mayo y noviembre y sus resultados se registrarán al corte de ejercicio de los meses de junio y diciembre, respectivamente. Si los resultados del cambio en la calificación de las evaluaciones señaladas dieran lug</w:t>
      </w:r>
      <w:r>
        <w:rPr>
          <w:rFonts w:ascii="Arial" w:eastAsia="Arial" w:hAnsi="Arial" w:cs="Arial"/>
          <w:color w:val="000000"/>
          <w:sz w:val="24"/>
          <w:szCs w:val="24"/>
        </w:rPr>
        <w:t>ar a provisiones adicionales, éstas deberán hacerse de manera inmediata.</w:t>
      </w:r>
    </w:p>
    <w:p w14:paraId="5B94C9BA" w14:textId="77777777" w:rsidR="006A324D" w:rsidRDefault="003C7724">
      <w:pPr>
        <w:numPr>
          <w:ilvl w:val="1"/>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Cuando se requiera modificar y/o incluir una política de evaluación de cartera, deberá ser analizada por el comité de riesgos y en el informe de dicho cuerpo colegiado (comité de ries</w:t>
      </w:r>
      <w:r>
        <w:rPr>
          <w:rFonts w:ascii="Arial" w:eastAsia="Arial" w:hAnsi="Arial" w:cs="Arial"/>
          <w:color w:val="000000"/>
          <w:sz w:val="24"/>
          <w:szCs w:val="24"/>
        </w:rPr>
        <w:t>gos), se deberá poner a consideración al Consejo de Administración para su respectivo análisis y aprobación.</w:t>
      </w:r>
    </w:p>
    <w:p w14:paraId="760BC9B8" w14:textId="77777777" w:rsidR="006A324D" w:rsidRDefault="003C7724">
      <w:pPr>
        <w:numPr>
          <w:ilvl w:val="1"/>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De modificarse modificar y/o incluir una política de evaluación de cartera, se debe ajustar el reglamento de evaluación.</w:t>
      </w:r>
    </w:p>
    <w:p w14:paraId="3D46A04A" w14:textId="77777777" w:rsidR="006A324D" w:rsidRDefault="003C7724">
      <w:pPr>
        <w:numPr>
          <w:ilvl w:val="1"/>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El área financiera y conta</w:t>
      </w:r>
      <w:r>
        <w:rPr>
          <w:rFonts w:ascii="Arial" w:eastAsia="Arial" w:hAnsi="Arial" w:cs="Arial"/>
          <w:color w:val="000000"/>
          <w:sz w:val="24"/>
          <w:szCs w:val="24"/>
        </w:rPr>
        <w:t>ble de la entidad debe acatar el cumplimiento normativo, que las operaciones con recalificación sean mantenidas hasta la próxima evaluación de cartera.</w:t>
      </w:r>
    </w:p>
    <w:p w14:paraId="598007E1" w14:textId="77777777" w:rsidR="006A324D" w:rsidRDefault="006A324D">
      <w:pPr>
        <w:jc w:val="both"/>
        <w:rPr>
          <w:rFonts w:ascii="Arial" w:eastAsia="Arial" w:hAnsi="Arial" w:cs="Arial"/>
          <w:sz w:val="24"/>
          <w:szCs w:val="24"/>
        </w:rPr>
      </w:pPr>
    </w:p>
    <w:p w14:paraId="1FBB2A24" w14:textId="77777777" w:rsidR="006A324D" w:rsidRDefault="003C7724">
      <w:pPr>
        <w:numPr>
          <w:ilvl w:val="0"/>
          <w:numId w:val="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DESCRIPCIÓN DE ACTIVIDADES.</w:t>
      </w:r>
    </w:p>
    <w:p w14:paraId="6A4C7407" w14:textId="77777777" w:rsidR="006A324D" w:rsidRDefault="006A324D">
      <w:pPr>
        <w:jc w:val="both"/>
        <w:rPr>
          <w:rFonts w:ascii="Arial" w:eastAsia="Arial" w:hAnsi="Arial" w:cs="Arial"/>
          <w:sz w:val="24"/>
          <w:szCs w:val="24"/>
        </w:rPr>
      </w:pPr>
    </w:p>
    <w:tbl>
      <w:tblPr>
        <w:tblStyle w:val="a0"/>
        <w:tblW w:w="93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
        <w:gridCol w:w="4575"/>
        <w:gridCol w:w="2310"/>
        <w:gridCol w:w="1860"/>
      </w:tblGrid>
      <w:tr w:rsidR="006A324D" w14:paraId="1AE0EEA8" w14:textId="77777777">
        <w:tc>
          <w:tcPr>
            <w:tcW w:w="603" w:type="dxa"/>
            <w:vAlign w:val="center"/>
          </w:tcPr>
          <w:p w14:paraId="120C1F4A" w14:textId="77777777" w:rsidR="006A324D" w:rsidRDefault="003C7724">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b/>
                <w:color w:val="000000"/>
                <w:sz w:val="24"/>
                <w:szCs w:val="24"/>
              </w:rPr>
              <w:t>No.</w:t>
            </w:r>
          </w:p>
        </w:tc>
        <w:tc>
          <w:tcPr>
            <w:tcW w:w="4575" w:type="dxa"/>
            <w:vAlign w:val="center"/>
          </w:tcPr>
          <w:p w14:paraId="76191F30" w14:textId="77777777" w:rsidR="006A324D" w:rsidRDefault="003C7724">
            <w:pPr>
              <w:jc w:val="center"/>
              <w:rPr>
                <w:rFonts w:ascii="Arial" w:eastAsia="Arial" w:hAnsi="Arial" w:cs="Arial"/>
                <w:b/>
                <w:sz w:val="24"/>
                <w:szCs w:val="24"/>
              </w:rPr>
            </w:pPr>
            <w:r>
              <w:rPr>
                <w:rFonts w:ascii="Arial" w:eastAsia="Arial" w:hAnsi="Arial" w:cs="Arial"/>
                <w:b/>
                <w:sz w:val="24"/>
                <w:szCs w:val="24"/>
              </w:rPr>
              <w:t>Actividad</w:t>
            </w:r>
          </w:p>
        </w:tc>
        <w:tc>
          <w:tcPr>
            <w:tcW w:w="2310" w:type="dxa"/>
            <w:vAlign w:val="center"/>
          </w:tcPr>
          <w:p w14:paraId="3CCE7551" w14:textId="77777777" w:rsidR="006A324D" w:rsidRDefault="003C7724">
            <w:pPr>
              <w:jc w:val="center"/>
              <w:rPr>
                <w:rFonts w:ascii="Arial" w:eastAsia="Arial" w:hAnsi="Arial" w:cs="Arial"/>
                <w:b/>
                <w:sz w:val="24"/>
                <w:szCs w:val="24"/>
              </w:rPr>
            </w:pPr>
            <w:r>
              <w:rPr>
                <w:rFonts w:ascii="Arial" w:eastAsia="Arial" w:hAnsi="Arial" w:cs="Arial"/>
                <w:b/>
                <w:sz w:val="24"/>
                <w:szCs w:val="24"/>
              </w:rPr>
              <w:t>Responsable</w:t>
            </w:r>
          </w:p>
        </w:tc>
        <w:tc>
          <w:tcPr>
            <w:tcW w:w="1860" w:type="dxa"/>
            <w:vAlign w:val="center"/>
          </w:tcPr>
          <w:p w14:paraId="57776816" w14:textId="77777777" w:rsidR="006A324D" w:rsidRDefault="003C7724">
            <w:pPr>
              <w:jc w:val="center"/>
              <w:rPr>
                <w:rFonts w:ascii="Arial" w:eastAsia="Arial" w:hAnsi="Arial" w:cs="Arial"/>
                <w:b/>
                <w:sz w:val="24"/>
                <w:szCs w:val="24"/>
              </w:rPr>
            </w:pPr>
            <w:r>
              <w:rPr>
                <w:rFonts w:ascii="Arial" w:eastAsia="Arial" w:hAnsi="Arial" w:cs="Arial"/>
                <w:b/>
                <w:sz w:val="24"/>
                <w:szCs w:val="24"/>
              </w:rPr>
              <w:t>Registro</w:t>
            </w:r>
          </w:p>
        </w:tc>
      </w:tr>
      <w:tr w:rsidR="006A324D" w14:paraId="466B6F2B" w14:textId="77777777">
        <w:tc>
          <w:tcPr>
            <w:tcW w:w="603" w:type="dxa"/>
            <w:vAlign w:val="center"/>
          </w:tcPr>
          <w:p w14:paraId="423074A1" w14:textId="77777777" w:rsidR="006A324D" w:rsidRDefault="003C7724">
            <w:pPr>
              <w:rPr>
                <w:rFonts w:ascii="Arial" w:eastAsia="Arial" w:hAnsi="Arial" w:cs="Arial"/>
                <w:sz w:val="24"/>
                <w:szCs w:val="24"/>
              </w:rPr>
            </w:pPr>
            <w:r>
              <w:rPr>
                <w:rFonts w:ascii="Arial" w:eastAsia="Arial" w:hAnsi="Arial" w:cs="Arial"/>
                <w:sz w:val="24"/>
                <w:szCs w:val="24"/>
              </w:rPr>
              <w:t>1</w:t>
            </w:r>
          </w:p>
        </w:tc>
        <w:tc>
          <w:tcPr>
            <w:tcW w:w="4575" w:type="dxa"/>
            <w:vAlign w:val="center"/>
          </w:tcPr>
          <w:p w14:paraId="57F716E9" w14:textId="77777777" w:rsidR="006A324D" w:rsidRDefault="003C7724">
            <w:pPr>
              <w:jc w:val="both"/>
              <w:rPr>
                <w:rFonts w:ascii="Arial" w:eastAsia="Arial" w:hAnsi="Arial" w:cs="Arial"/>
                <w:b/>
                <w:sz w:val="24"/>
                <w:szCs w:val="24"/>
              </w:rPr>
            </w:pPr>
            <w:r>
              <w:rPr>
                <w:rFonts w:ascii="Arial" w:eastAsia="Arial" w:hAnsi="Arial" w:cs="Arial"/>
                <w:sz w:val="24"/>
                <w:szCs w:val="24"/>
              </w:rPr>
              <w:t xml:space="preserve">El presidente del Comité de riesgos, el Consejo de Administración, la Gerencia o el Revisor Fiscal convocarán, mediante los canales de comunicación establecidos, la reunión ordinaria y/o </w:t>
            </w:r>
            <w:r>
              <w:rPr>
                <w:rFonts w:ascii="Arial" w:eastAsia="Arial" w:hAnsi="Arial" w:cs="Arial"/>
                <w:sz w:val="24"/>
                <w:szCs w:val="24"/>
              </w:rPr>
              <w:lastRenderedPageBreak/>
              <w:t>extraordinaria de acuerdo con lo establecido en el reglamento de eval</w:t>
            </w:r>
            <w:r>
              <w:rPr>
                <w:rFonts w:ascii="Arial" w:eastAsia="Arial" w:hAnsi="Arial" w:cs="Arial"/>
                <w:sz w:val="24"/>
                <w:szCs w:val="24"/>
              </w:rPr>
              <w:t>uación de cartera</w:t>
            </w:r>
          </w:p>
        </w:tc>
        <w:tc>
          <w:tcPr>
            <w:tcW w:w="2310" w:type="dxa"/>
            <w:vAlign w:val="center"/>
          </w:tcPr>
          <w:p w14:paraId="3D36BAFE" w14:textId="77777777" w:rsidR="006A324D" w:rsidRDefault="003C7724">
            <w:pPr>
              <w:jc w:val="center"/>
              <w:rPr>
                <w:rFonts w:ascii="Arial" w:eastAsia="Arial" w:hAnsi="Arial" w:cs="Arial"/>
                <w:sz w:val="24"/>
                <w:szCs w:val="24"/>
              </w:rPr>
            </w:pPr>
            <w:r>
              <w:rPr>
                <w:rFonts w:ascii="Arial" w:eastAsia="Arial" w:hAnsi="Arial" w:cs="Arial"/>
                <w:sz w:val="24"/>
                <w:szCs w:val="24"/>
              </w:rPr>
              <w:lastRenderedPageBreak/>
              <w:t>Ente encargado</w:t>
            </w:r>
          </w:p>
        </w:tc>
        <w:tc>
          <w:tcPr>
            <w:tcW w:w="1860" w:type="dxa"/>
            <w:vAlign w:val="center"/>
          </w:tcPr>
          <w:p w14:paraId="77B06DA6" w14:textId="77777777" w:rsidR="006A324D" w:rsidRDefault="003C7724">
            <w:pPr>
              <w:jc w:val="center"/>
              <w:rPr>
                <w:rFonts w:ascii="Arial" w:eastAsia="Arial" w:hAnsi="Arial" w:cs="Arial"/>
                <w:sz w:val="24"/>
                <w:szCs w:val="24"/>
              </w:rPr>
            </w:pPr>
            <w:r>
              <w:rPr>
                <w:rFonts w:ascii="Arial" w:eastAsia="Arial" w:hAnsi="Arial" w:cs="Arial"/>
                <w:sz w:val="24"/>
                <w:szCs w:val="24"/>
              </w:rPr>
              <w:t>Convocatoria reunión</w:t>
            </w:r>
          </w:p>
        </w:tc>
      </w:tr>
      <w:tr w:rsidR="006A324D" w14:paraId="13F3B0A4" w14:textId="77777777">
        <w:tc>
          <w:tcPr>
            <w:tcW w:w="603" w:type="dxa"/>
            <w:vAlign w:val="center"/>
          </w:tcPr>
          <w:p w14:paraId="229493D3" w14:textId="77777777" w:rsidR="006A324D" w:rsidRDefault="003C7724">
            <w:pPr>
              <w:rPr>
                <w:rFonts w:ascii="Arial" w:eastAsia="Arial" w:hAnsi="Arial" w:cs="Arial"/>
                <w:sz w:val="24"/>
                <w:szCs w:val="24"/>
              </w:rPr>
            </w:pPr>
            <w:r>
              <w:rPr>
                <w:rFonts w:ascii="Arial" w:eastAsia="Arial" w:hAnsi="Arial" w:cs="Arial"/>
                <w:sz w:val="24"/>
                <w:szCs w:val="24"/>
              </w:rPr>
              <w:t>2</w:t>
            </w:r>
          </w:p>
        </w:tc>
        <w:tc>
          <w:tcPr>
            <w:tcW w:w="4575" w:type="dxa"/>
            <w:vAlign w:val="center"/>
          </w:tcPr>
          <w:p w14:paraId="38F7B8E7" w14:textId="77777777" w:rsidR="006A324D" w:rsidRDefault="003C7724">
            <w:pPr>
              <w:jc w:val="both"/>
              <w:rPr>
                <w:rFonts w:ascii="Arial" w:eastAsia="Arial" w:hAnsi="Arial" w:cs="Arial"/>
                <w:sz w:val="24"/>
                <w:szCs w:val="24"/>
              </w:rPr>
            </w:pPr>
            <w:r>
              <w:rPr>
                <w:rFonts w:ascii="Arial" w:eastAsia="Arial" w:hAnsi="Arial" w:cs="Arial"/>
                <w:sz w:val="24"/>
                <w:szCs w:val="24"/>
              </w:rPr>
              <w:t xml:space="preserve">Actualizará máscara de evaluación (metodología técnica y analítica) con los diferentes insumos de acuerdo con el anexo técnico, a fin de calcular los indicadores y el modelo de pronóstico (Logit). </w:t>
            </w:r>
          </w:p>
        </w:tc>
        <w:tc>
          <w:tcPr>
            <w:tcW w:w="2310" w:type="dxa"/>
            <w:vAlign w:val="center"/>
          </w:tcPr>
          <w:p w14:paraId="127D590D" w14:textId="77777777" w:rsidR="006A324D" w:rsidRDefault="003C7724">
            <w:pPr>
              <w:jc w:val="center"/>
              <w:rPr>
                <w:rFonts w:ascii="Arial" w:eastAsia="Arial" w:hAnsi="Arial" w:cs="Arial"/>
                <w:sz w:val="24"/>
                <w:szCs w:val="24"/>
              </w:rPr>
            </w:pPr>
            <w:r>
              <w:rPr>
                <w:rFonts w:ascii="Arial" w:eastAsia="Arial" w:hAnsi="Arial" w:cs="Arial"/>
                <w:sz w:val="24"/>
                <w:szCs w:val="24"/>
              </w:rPr>
              <w:t xml:space="preserve">Coordinador de Cartera </w:t>
            </w:r>
          </w:p>
        </w:tc>
        <w:tc>
          <w:tcPr>
            <w:tcW w:w="1860" w:type="dxa"/>
            <w:vAlign w:val="center"/>
          </w:tcPr>
          <w:p w14:paraId="6DCE071C" w14:textId="77777777" w:rsidR="006A324D" w:rsidRDefault="003C7724">
            <w:pPr>
              <w:jc w:val="center"/>
              <w:rPr>
                <w:rFonts w:ascii="Arial" w:eastAsia="Arial" w:hAnsi="Arial" w:cs="Arial"/>
                <w:sz w:val="24"/>
                <w:szCs w:val="24"/>
              </w:rPr>
            </w:pPr>
            <w:r>
              <w:rPr>
                <w:rFonts w:ascii="Arial" w:eastAsia="Arial" w:hAnsi="Arial" w:cs="Arial"/>
                <w:sz w:val="24"/>
                <w:szCs w:val="24"/>
              </w:rPr>
              <w:t>Máscara Actualizada</w:t>
            </w:r>
          </w:p>
        </w:tc>
      </w:tr>
      <w:tr w:rsidR="006A324D" w14:paraId="5F0D304D" w14:textId="77777777">
        <w:tc>
          <w:tcPr>
            <w:tcW w:w="603" w:type="dxa"/>
            <w:vAlign w:val="center"/>
          </w:tcPr>
          <w:p w14:paraId="06CC339C" w14:textId="77777777" w:rsidR="006A324D" w:rsidRDefault="003C7724">
            <w:pPr>
              <w:rPr>
                <w:rFonts w:ascii="Arial" w:eastAsia="Arial" w:hAnsi="Arial" w:cs="Arial"/>
                <w:sz w:val="24"/>
                <w:szCs w:val="24"/>
              </w:rPr>
            </w:pPr>
            <w:r>
              <w:rPr>
                <w:rFonts w:ascii="Arial" w:eastAsia="Arial" w:hAnsi="Arial" w:cs="Arial"/>
                <w:sz w:val="24"/>
                <w:szCs w:val="24"/>
              </w:rPr>
              <w:t>3</w:t>
            </w:r>
          </w:p>
        </w:tc>
        <w:tc>
          <w:tcPr>
            <w:tcW w:w="4575" w:type="dxa"/>
            <w:vAlign w:val="center"/>
          </w:tcPr>
          <w:p w14:paraId="62E4ABB4" w14:textId="77777777" w:rsidR="006A324D" w:rsidRDefault="003C7724">
            <w:pPr>
              <w:jc w:val="both"/>
              <w:rPr>
                <w:rFonts w:ascii="Arial" w:eastAsia="Arial" w:hAnsi="Arial" w:cs="Arial"/>
                <w:sz w:val="24"/>
                <w:szCs w:val="24"/>
              </w:rPr>
            </w:pPr>
            <w:r>
              <w:rPr>
                <w:rFonts w:ascii="Arial" w:eastAsia="Arial" w:hAnsi="Arial" w:cs="Arial"/>
                <w:sz w:val="24"/>
                <w:szCs w:val="24"/>
              </w:rPr>
              <w:t xml:space="preserve">Determinar </w:t>
            </w:r>
            <w:r>
              <w:rPr>
                <w:rFonts w:ascii="Arial" w:eastAsia="Arial" w:hAnsi="Arial" w:cs="Arial"/>
                <w:sz w:val="24"/>
                <w:szCs w:val="24"/>
              </w:rPr>
              <w:t>por ID (número de identificación), el listado de asociados que tienen operaciones activas de crédito al corte de evaluación, el cual es establecido por el portafolio (Plano) generado por el software.</w:t>
            </w:r>
          </w:p>
        </w:tc>
        <w:tc>
          <w:tcPr>
            <w:tcW w:w="2310" w:type="dxa"/>
            <w:vAlign w:val="center"/>
          </w:tcPr>
          <w:p w14:paraId="799C15E4" w14:textId="77777777" w:rsidR="006A324D" w:rsidRDefault="003C7724">
            <w:pPr>
              <w:jc w:val="center"/>
              <w:rPr>
                <w:rFonts w:ascii="Arial" w:eastAsia="Arial" w:hAnsi="Arial" w:cs="Arial"/>
                <w:sz w:val="24"/>
                <w:szCs w:val="24"/>
              </w:rPr>
            </w:pPr>
            <w:r>
              <w:rPr>
                <w:rFonts w:ascii="Arial" w:eastAsia="Arial" w:hAnsi="Arial" w:cs="Arial"/>
                <w:sz w:val="24"/>
                <w:szCs w:val="24"/>
              </w:rPr>
              <w:t>Coordinador de Cartera</w:t>
            </w:r>
          </w:p>
        </w:tc>
        <w:tc>
          <w:tcPr>
            <w:tcW w:w="1860" w:type="dxa"/>
            <w:vAlign w:val="center"/>
          </w:tcPr>
          <w:p w14:paraId="7400D58B" w14:textId="77777777" w:rsidR="006A324D" w:rsidRDefault="003C7724">
            <w:pPr>
              <w:jc w:val="center"/>
              <w:rPr>
                <w:rFonts w:ascii="Arial" w:eastAsia="Arial" w:hAnsi="Arial" w:cs="Arial"/>
                <w:sz w:val="24"/>
                <w:szCs w:val="24"/>
              </w:rPr>
            </w:pPr>
            <w:r>
              <w:rPr>
                <w:rFonts w:ascii="Arial" w:eastAsia="Arial" w:hAnsi="Arial" w:cs="Arial"/>
                <w:sz w:val="24"/>
                <w:szCs w:val="24"/>
              </w:rPr>
              <w:t>Máscara Organizada</w:t>
            </w:r>
          </w:p>
        </w:tc>
      </w:tr>
      <w:tr w:rsidR="006A324D" w14:paraId="2C8E25D4" w14:textId="77777777">
        <w:tc>
          <w:tcPr>
            <w:tcW w:w="603" w:type="dxa"/>
            <w:vAlign w:val="center"/>
          </w:tcPr>
          <w:p w14:paraId="1802EF17" w14:textId="77777777" w:rsidR="006A324D" w:rsidRDefault="003C7724">
            <w:pPr>
              <w:rPr>
                <w:rFonts w:ascii="Arial" w:eastAsia="Arial" w:hAnsi="Arial" w:cs="Arial"/>
                <w:sz w:val="24"/>
                <w:szCs w:val="24"/>
              </w:rPr>
            </w:pPr>
            <w:r>
              <w:rPr>
                <w:rFonts w:ascii="Arial" w:eastAsia="Arial" w:hAnsi="Arial" w:cs="Arial"/>
                <w:sz w:val="24"/>
                <w:szCs w:val="24"/>
              </w:rPr>
              <w:t>4</w:t>
            </w:r>
          </w:p>
        </w:tc>
        <w:tc>
          <w:tcPr>
            <w:tcW w:w="4575" w:type="dxa"/>
            <w:vAlign w:val="center"/>
          </w:tcPr>
          <w:p w14:paraId="439AF529" w14:textId="77777777" w:rsidR="006A324D" w:rsidRDefault="003C7724">
            <w:pPr>
              <w:jc w:val="both"/>
              <w:rPr>
                <w:rFonts w:ascii="Arial" w:eastAsia="Arial" w:hAnsi="Arial" w:cs="Arial"/>
                <w:sz w:val="24"/>
                <w:szCs w:val="24"/>
              </w:rPr>
            </w:pPr>
            <w:r>
              <w:rPr>
                <w:rFonts w:ascii="Arial" w:eastAsia="Arial" w:hAnsi="Arial" w:cs="Arial"/>
                <w:sz w:val="24"/>
                <w:szCs w:val="24"/>
              </w:rPr>
              <w:t>Solicitar l</w:t>
            </w:r>
            <w:r>
              <w:rPr>
                <w:rFonts w:ascii="Arial" w:eastAsia="Arial" w:hAnsi="Arial" w:cs="Arial"/>
                <w:sz w:val="24"/>
                <w:szCs w:val="24"/>
              </w:rPr>
              <w:t>a información a la central de riesgo, correspondiente a adquirir el producto de evaluación de cartera de crédito teniendo en cuenta el corte o período a evaluar, de acuerdo con el listado de asociados con operaciones de crédito a la fecha de corte.</w:t>
            </w:r>
          </w:p>
        </w:tc>
        <w:tc>
          <w:tcPr>
            <w:tcW w:w="2310" w:type="dxa"/>
            <w:vAlign w:val="center"/>
          </w:tcPr>
          <w:p w14:paraId="2ABBFB64" w14:textId="77777777" w:rsidR="006A324D" w:rsidRDefault="003C7724">
            <w:pPr>
              <w:jc w:val="center"/>
              <w:rPr>
                <w:rFonts w:ascii="Arial" w:eastAsia="Arial" w:hAnsi="Arial" w:cs="Arial"/>
                <w:sz w:val="24"/>
                <w:szCs w:val="24"/>
              </w:rPr>
            </w:pPr>
            <w:r>
              <w:rPr>
                <w:rFonts w:ascii="Arial" w:eastAsia="Arial" w:hAnsi="Arial" w:cs="Arial"/>
                <w:sz w:val="24"/>
                <w:szCs w:val="24"/>
              </w:rPr>
              <w:t>Coordin</w:t>
            </w:r>
            <w:r>
              <w:rPr>
                <w:rFonts w:ascii="Arial" w:eastAsia="Arial" w:hAnsi="Arial" w:cs="Arial"/>
                <w:sz w:val="24"/>
                <w:szCs w:val="24"/>
              </w:rPr>
              <w:t>ador de Crédito</w:t>
            </w:r>
          </w:p>
        </w:tc>
        <w:tc>
          <w:tcPr>
            <w:tcW w:w="1860" w:type="dxa"/>
            <w:vAlign w:val="center"/>
          </w:tcPr>
          <w:p w14:paraId="08A7E879" w14:textId="77777777" w:rsidR="006A324D" w:rsidRDefault="003C7724">
            <w:pPr>
              <w:jc w:val="center"/>
              <w:rPr>
                <w:rFonts w:ascii="Arial" w:eastAsia="Arial" w:hAnsi="Arial" w:cs="Arial"/>
                <w:sz w:val="24"/>
                <w:szCs w:val="24"/>
              </w:rPr>
            </w:pPr>
            <w:r>
              <w:rPr>
                <w:rFonts w:ascii="Arial" w:eastAsia="Arial" w:hAnsi="Arial" w:cs="Arial"/>
                <w:sz w:val="24"/>
                <w:szCs w:val="24"/>
              </w:rPr>
              <w:t>Reporte Centrales de Riesgo</w:t>
            </w:r>
          </w:p>
        </w:tc>
      </w:tr>
      <w:tr w:rsidR="006A324D" w14:paraId="441314D2" w14:textId="77777777">
        <w:tc>
          <w:tcPr>
            <w:tcW w:w="603" w:type="dxa"/>
            <w:vAlign w:val="center"/>
          </w:tcPr>
          <w:p w14:paraId="644DEE82" w14:textId="77777777" w:rsidR="006A324D" w:rsidRDefault="003C7724">
            <w:pPr>
              <w:rPr>
                <w:rFonts w:ascii="Arial" w:eastAsia="Arial" w:hAnsi="Arial" w:cs="Arial"/>
                <w:sz w:val="24"/>
                <w:szCs w:val="24"/>
              </w:rPr>
            </w:pPr>
            <w:r>
              <w:rPr>
                <w:rFonts w:ascii="Arial" w:eastAsia="Arial" w:hAnsi="Arial" w:cs="Arial"/>
                <w:sz w:val="24"/>
                <w:szCs w:val="24"/>
              </w:rPr>
              <w:t>5</w:t>
            </w:r>
          </w:p>
        </w:tc>
        <w:tc>
          <w:tcPr>
            <w:tcW w:w="4575" w:type="dxa"/>
            <w:vAlign w:val="center"/>
          </w:tcPr>
          <w:p w14:paraId="1CC3EFC8" w14:textId="77777777" w:rsidR="006A324D" w:rsidRDefault="003C7724">
            <w:pPr>
              <w:jc w:val="both"/>
              <w:rPr>
                <w:rFonts w:ascii="Arial" w:eastAsia="Arial" w:hAnsi="Arial" w:cs="Arial"/>
                <w:sz w:val="24"/>
                <w:szCs w:val="24"/>
              </w:rPr>
            </w:pPr>
            <w:r>
              <w:rPr>
                <w:rFonts w:ascii="Arial" w:eastAsia="Arial" w:hAnsi="Arial" w:cs="Arial"/>
                <w:sz w:val="24"/>
                <w:szCs w:val="24"/>
              </w:rPr>
              <w:t>Solicitar la siguiente información para cada asociado con operaciones activas de crédito a la fecha de corte, así:</w:t>
            </w:r>
          </w:p>
          <w:p w14:paraId="23D29D7B" w14:textId="77777777" w:rsidR="006A324D" w:rsidRDefault="006A324D">
            <w:pPr>
              <w:pBdr>
                <w:top w:val="nil"/>
                <w:left w:val="nil"/>
                <w:bottom w:val="nil"/>
                <w:right w:val="nil"/>
                <w:between w:val="nil"/>
              </w:pBdr>
              <w:ind w:left="708"/>
              <w:rPr>
                <w:rFonts w:ascii="Arial" w:eastAsia="Arial" w:hAnsi="Arial" w:cs="Arial"/>
                <w:color w:val="000000"/>
                <w:sz w:val="24"/>
                <w:szCs w:val="24"/>
              </w:rPr>
            </w:pPr>
          </w:p>
          <w:p w14:paraId="61F038A5"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Ingresos reportados en el momento de originación.</w:t>
            </w:r>
          </w:p>
          <w:p w14:paraId="57B9FE49"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Ingresos reportados en la actualización de datos (corte de evaluación).</w:t>
            </w:r>
          </w:p>
          <w:p w14:paraId="155D2963"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Activos, pasivos y patrimonio de acuerdo con la última actualización de datos (corte de evaluación).</w:t>
            </w:r>
          </w:p>
          <w:p w14:paraId="32097FE6"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Reporte de créditos novados, rees</w:t>
            </w:r>
            <w:r>
              <w:rPr>
                <w:rFonts w:ascii="Arial" w:eastAsia="Arial" w:hAnsi="Arial" w:cs="Arial"/>
                <w:color w:val="000000"/>
                <w:sz w:val="24"/>
                <w:szCs w:val="24"/>
              </w:rPr>
              <w:t>tructurados y periodo de gracia.</w:t>
            </w:r>
          </w:p>
          <w:p w14:paraId="317C7897"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Reporte de operaciones de créditos con alivios financieros.</w:t>
            </w:r>
          </w:p>
          <w:p w14:paraId="0F2B1120"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Perfil de riesgo por actividad económica.</w:t>
            </w:r>
          </w:p>
        </w:tc>
        <w:tc>
          <w:tcPr>
            <w:tcW w:w="2310" w:type="dxa"/>
            <w:vAlign w:val="center"/>
          </w:tcPr>
          <w:p w14:paraId="023CAB0E" w14:textId="77777777" w:rsidR="006A324D" w:rsidRDefault="003C7724">
            <w:pPr>
              <w:jc w:val="center"/>
              <w:rPr>
                <w:rFonts w:ascii="Arial" w:eastAsia="Arial" w:hAnsi="Arial" w:cs="Arial"/>
                <w:sz w:val="24"/>
                <w:szCs w:val="24"/>
              </w:rPr>
            </w:pPr>
            <w:r>
              <w:rPr>
                <w:rFonts w:ascii="Arial" w:eastAsia="Arial" w:hAnsi="Arial" w:cs="Arial"/>
                <w:sz w:val="24"/>
                <w:szCs w:val="24"/>
              </w:rPr>
              <w:t>Coordinador de Cartera</w:t>
            </w:r>
          </w:p>
        </w:tc>
        <w:tc>
          <w:tcPr>
            <w:tcW w:w="1860" w:type="dxa"/>
            <w:vAlign w:val="center"/>
          </w:tcPr>
          <w:p w14:paraId="6C7AF4ED" w14:textId="77777777" w:rsidR="006A324D" w:rsidRDefault="003C7724">
            <w:pPr>
              <w:jc w:val="center"/>
              <w:rPr>
                <w:rFonts w:ascii="Arial" w:eastAsia="Arial" w:hAnsi="Arial" w:cs="Arial"/>
                <w:sz w:val="24"/>
                <w:szCs w:val="24"/>
              </w:rPr>
            </w:pPr>
            <w:r>
              <w:rPr>
                <w:rFonts w:ascii="Arial" w:eastAsia="Arial" w:hAnsi="Arial" w:cs="Arial"/>
                <w:sz w:val="24"/>
                <w:szCs w:val="24"/>
              </w:rPr>
              <w:t>Información interna para evaluación</w:t>
            </w:r>
          </w:p>
        </w:tc>
      </w:tr>
      <w:tr w:rsidR="006A324D" w14:paraId="510D22E5" w14:textId="77777777">
        <w:tc>
          <w:tcPr>
            <w:tcW w:w="603" w:type="dxa"/>
            <w:vAlign w:val="center"/>
          </w:tcPr>
          <w:p w14:paraId="2B129C46" w14:textId="77777777" w:rsidR="006A324D" w:rsidRDefault="003C7724">
            <w:pPr>
              <w:rPr>
                <w:rFonts w:ascii="Arial" w:eastAsia="Arial" w:hAnsi="Arial" w:cs="Arial"/>
                <w:sz w:val="24"/>
                <w:szCs w:val="24"/>
              </w:rPr>
            </w:pPr>
            <w:r>
              <w:rPr>
                <w:rFonts w:ascii="Arial" w:eastAsia="Arial" w:hAnsi="Arial" w:cs="Arial"/>
                <w:sz w:val="24"/>
                <w:szCs w:val="24"/>
              </w:rPr>
              <w:lastRenderedPageBreak/>
              <w:t>6</w:t>
            </w:r>
          </w:p>
        </w:tc>
        <w:tc>
          <w:tcPr>
            <w:tcW w:w="4575" w:type="dxa"/>
            <w:vAlign w:val="center"/>
          </w:tcPr>
          <w:p w14:paraId="0401F70F" w14:textId="77777777" w:rsidR="006A324D" w:rsidRDefault="003C7724">
            <w:pPr>
              <w:ind w:left="53"/>
              <w:jc w:val="both"/>
              <w:rPr>
                <w:rFonts w:ascii="Arial" w:eastAsia="Arial" w:hAnsi="Arial" w:cs="Arial"/>
                <w:sz w:val="24"/>
                <w:szCs w:val="24"/>
              </w:rPr>
            </w:pPr>
            <w:r>
              <w:rPr>
                <w:rFonts w:ascii="Arial" w:eastAsia="Arial" w:hAnsi="Arial" w:cs="Arial"/>
                <w:sz w:val="24"/>
                <w:szCs w:val="24"/>
              </w:rPr>
              <w:t>Consolidar los portafolios de crédito de tn-12 a tn, es decir, se compilan trece (13) portafolios de crédito de la fecha de corte a evaluar hasta el inmediatamente, el año anterior.</w:t>
            </w:r>
          </w:p>
        </w:tc>
        <w:tc>
          <w:tcPr>
            <w:tcW w:w="2310" w:type="dxa"/>
            <w:vAlign w:val="center"/>
          </w:tcPr>
          <w:p w14:paraId="5A6FB4D1" w14:textId="77777777" w:rsidR="006A324D" w:rsidRDefault="003C7724">
            <w:pPr>
              <w:jc w:val="center"/>
              <w:rPr>
                <w:rFonts w:ascii="Arial" w:eastAsia="Arial" w:hAnsi="Arial" w:cs="Arial"/>
                <w:sz w:val="24"/>
                <w:szCs w:val="24"/>
              </w:rPr>
            </w:pPr>
            <w:r>
              <w:rPr>
                <w:rFonts w:ascii="Arial" w:eastAsia="Arial" w:hAnsi="Arial" w:cs="Arial"/>
                <w:sz w:val="24"/>
                <w:szCs w:val="24"/>
              </w:rPr>
              <w:t>Coordinador de Cartera</w:t>
            </w:r>
          </w:p>
        </w:tc>
        <w:tc>
          <w:tcPr>
            <w:tcW w:w="1860" w:type="dxa"/>
            <w:vAlign w:val="center"/>
          </w:tcPr>
          <w:p w14:paraId="0A78A2E0" w14:textId="77777777" w:rsidR="006A324D" w:rsidRDefault="003C7724">
            <w:pPr>
              <w:jc w:val="center"/>
              <w:rPr>
                <w:rFonts w:ascii="Arial" w:eastAsia="Arial" w:hAnsi="Arial" w:cs="Arial"/>
                <w:sz w:val="24"/>
                <w:szCs w:val="24"/>
              </w:rPr>
            </w:pPr>
            <w:r>
              <w:rPr>
                <w:rFonts w:ascii="Arial" w:eastAsia="Arial" w:hAnsi="Arial" w:cs="Arial"/>
                <w:sz w:val="24"/>
                <w:szCs w:val="24"/>
              </w:rPr>
              <w:t>Consolidación Máscara</w:t>
            </w:r>
          </w:p>
        </w:tc>
      </w:tr>
      <w:tr w:rsidR="006A324D" w14:paraId="3EC15CF0" w14:textId="77777777">
        <w:tc>
          <w:tcPr>
            <w:tcW w:w="603" w:type="dxa"/>
            <w:vAlign w:val="center"/>
          </w:tcPr>
          <w:p w14:paraId="00009BE3" w14:textId="77777777" w:rsidR="006A324D" w:rsidRDefault="003C7724">
            <w:pPr>
              <w:rPr>
                <w:rFonts w:ascii="Arial" w:eastAsia="Arial" w:hAnsi="Arial" w:cs="Arial"/>
                <w:sz w:val="24"/>
                <w:szCs w:val="24"/>
              </w:rPr>
            </w:pPr>
            <w:r>
              <w:rPr>
                <w:rFonts w:ascii="Arial" w:eastAsia="Arial" w:hAnsi="Arial" w:cs="Arial"/>
                <w:sz w:val="24"/>
                <w:szCs w:val="24"/>
              </w:rPr>
              <w:t>7</w:t>
            </w:r>
          </w:p>
        </w:tc>
        <w:tc>
          <w:tcPr>
            <w:tcW w:w="4575" w:type="dxa"/>
            <w:vAlign w:val="center"/>
          </w:tcPr>
          <w:p w14:paraId="32690E23" w14:textId="77777777" w:rsidR="006A324D" w:rsidRDefault="003C7724">
            <w:pPr>
              <w:jc w:val="both"/>
              <w:rPr>
                <w:rFonts w:ascii="Arial" w:eastAsia="Arial" w:hAnsi="Arial" w:cs="Arial"/>
                <w:sz w:val="24"/>
                <w:szCs w:val="24"/>
              </w:rPr>
            </w:pPr>
            <w:r>
              <w:rPr>
                <w:rFonts w:ascii="Arial" w:eastAsia="Arial" w:hAnsi="Arial" w:cs="Arial"/>
                <w:sz w:val="24"/>
                <w:szCs w:val="24"/>
              </w:rPr>
              <w:t>Depurar el portafolio de cartera, originado de software, a fin de realizar los siguientes ajustes:</w:t>
            </w:r>
          </w:p>
          <w:p w14:paraId="035010D0" w14:textId="77777777" w:rsidR="006A324D" w:rsidRDefault="006A324D">
            <w:pPr>
              <w:jc w:val="both"/>
              <w:rPr>
                <w:rFonts w:ascii="Arial" w:eastAsia="Arial" w:hAnsi="Arial" w:cs="Arial"/>
                <w:sz w:val="24"/>
                <w:szCs w:val="24"/>
              </w:rPr>
            </w:pPr>
          </w:p>
          <w:p w14:paraId="31A1B063"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Eliminar las operaciones con saldo a capital cero ($0,0).</w:t>
            </w:r>
          </w:p>
          <w:p w14:paraId="22F8A1FB"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Eliminar las operaciones bajo la modalidad de conceptos no financiados, seguros, servicios y créditos de empleados</w:t>
            </w:r>
          </w:p>
        </w:tc>
        <w:tc>
          <w:tcPr>
            <w:tcW w:w="2310" w:type="dxa"/>
            <w:vAlign w:val="center"/>
          </w:tcPr>
          <w:p w14:paraId="376AE6C3" w14:textId="77777777" w:rsidR="006A324D" w:rsidRDefault="003C7724">
            <w:pPr>
              <w:jc w:val="center"/>
              <w:rPr>
                <w:rFonts w:ascii="Arial" w:eastAsia="Arial" w:hAnsi="Arial" w:cs="Arial"/>
                <w:sz w:val="24"/>
                <w:szCs w:val="24"/>
              </w:rPr>
            </w:pPr>
            <w:r>
              <w:rPr>
                <w:rFonts w:ascii="Arial" w:eastAsia="Arial" w:hAnsi="Arial" w:cs="Arial"/>
                <w:sz w:val="24"/>
                <w:szCs w:val="24"/>
              </w:rPr>
              <w:t>Coordinador de Cartera</w:t>
            </w:r>
          </w:p>
        </w:tc>
        <w:tc>
          <w:tcPr>
            <w:tcW w:w="1860" w:type="dxa"/>
            <w:vAlign w:val="center"/>
          </w:tcPr>
          <w:p w14:paraId="1B2392BF" w14:textId="77777777" w:rsidR="006A324D" w:rsidRDefault="003C7724">
            <w:pPr>
              <w:jc w:val="center"/>
              <w:rPr>
                <w:rFonts w:ascii="Arial" w:eastAsia="Arial" w:hAnsi="Arial" w:cs="Arial"/>
                <w:sz w:val="24"/>
                <w:szCs w:val="24"/>
              </w:rPr>
            </w:pPr>
            <w:r>
              <w:rPr>
                <w:rFonts w:ascii="Arial" w:eastAsia="Arial" w:hAnsi="Arial" w:cs="Arial"/>
                <w:sz w:val="24"/>
                <w:szCs w:val="24"/>
              </w:rPr>
              <w:t>Depuración de Máscara</w:t>
            </w:r>
          </w:p>
        </w:tc>
      </w:tr>
      <w:tr w:rsidR="006A324D" w14:paraId="7A2D7C81" w14:textId="77777777">
        <w:tc>
          <w:tcPr>
            <w:tcW w:w="603" w:type="dxa"/>
            <w:vAlign w:val="center"/>
          </w:tcPr>
          <w:p w14:paraId="1B173BD5" w14:textId="77777777" w:rsidR="006A324D" w:rsidRDefault="003C7724">
            <w:pPr>
              <w:rPr>
                <w:rFonts w:ascii="Arial" w:eastAsia="Arial" w:hAnsi="Arial" w:cs="Arial"/>
                <w:sz w:val="24"/>
                <w:szCs w:val="24"/>
              </w:rPr>
            </w:pPr>
            <w:r>
              <w:rPr>
                <w:rFonts w:ascii="Arial" w:eastAsia="Arial" w:hAnsi="Arial" w:cs="Arial"/>
                <w:sz w:val="24"/>
                <w:szCs w:val="24"/>
              </w:rPr>
              <w:t>8</w:t>
            </w:r>
          </w:p>
        </w:tc>
        <w:tc>
          <w:tcPr>
            <w:tcW w:w="4575" w:type="dxa"/>
            <w:vAlign w:val="center"/>
          </w:tcPr>
          <w:p w14:paraId="655F0948" w14:textId="77777777" w:rsidR="006A324D" w:rsidRDefault="003C7724">
            <w:pPr>
              <w:jc w:val="both"/>
              <w:rPr>
                <w:rFonts w:ascii="Arial" w:eastAsia="Arial" w:hAnsi="Arial" w:cs="Arial"/>
                <w:sz w:val="24"/>
                <w:szCs w:val="24"/>
              </w:rPr>
            </w:pPr>
            <w:r>
              <w:rPr>
                <w:rFonts w:ascii="Arial" w:eastAsia="Arial" w:hAnsi="Arial" w:cs="Arial"/>
                <w:sz w:val="24"/>
                <w:szCs w:val="24"/>
              </w:rPr>
              <w:t>Aplicar las políticas de recalificación de cartera, de acuerdo con lo establecido en el regla</w:t>
            </w:r>
            <w:r>
              <w:rPr>
                <w:rFonts w:ascii="Arial" w:eastAsia="Arial" w:hAnsi="Arial" w:cs="Arial"/>
                <w:sz w:val="24"/>
                <w:szCs w:val="24"/>
              </w:rPr>
              <w:t>mento de evaluación de cartera.</w:t>
            </w:r>
          </w:p>
        </w:tc>
        <w:tc>
          <w:tcPr>
            <w:tcW w:w="2310" w:type="dxa"/>
            <w:vAlign w:val="center"/>
          </w:tcPr>
          <w:p w14:paraId="09F4041F" w14:textId="77777777" w:rsidR="006A324D" w:rsidRDefault="003C7724">
            <w:pPr>
              <w:jc w:val="center"/>
              <w:rPr>
                <w:rFonts w:ascii="Arial" w:eastAsia="Arial" w:hAnsi="Arial" w:cs="Arial"/>
                <w:sz w:val="24"/>
                <w:szCs w:val="24"/>
              </w:rPr>
            </w:pPr>
            <w:r>
              <w:rPr>
                <w:rFonts w:ascii="Arial" w:eastAsia="Arial" w:hAnsi="Arial" w:cs="Arial"/>
                <w:sz w:val="24"/>
                <w:szCs w:val="24"/>
              </w:rPr>
              <w:t>Comité de Riesgo</w:t>
            </w:r>
          </w:p>
        </w:tc>
        <w:tc>
          <w:tcPr>
            <w:tcW w:w="1860" w:type="dxa"/>
            <w:vAlign w:val="center"/>
          </w:tcPr>
          <w:p w14:paraId="714EE17D" w14:textId="77777777" w:rsidR="006A324D" w:rsidRDefault="003C7724">
            <w:pPr>
              <w:jc w:val="center"/>
              <w:rPr>
                <w:rFonts w:ascii="Arial" w:eastAsia="Arial" w:hAnsi="Arial" w:cs="Arial"/>
                <w:sz w:val="24"/>
                <w:szCs w:val="24"/>
              </w:rPr>
            </w:pPr>
            <w:r>
              <w:rPr>
                <w:rFonts w:ascii="Arial" w:eastAsia="Arial" w:hAnsi="Arial" w:cs="Arial"/>
                <w:sz w:val="24"/>
                <w:szCs w:val="24"/>
              </w:rPr>
              <w:t>Aplicación de evaluación de cartera</w:t>
            </w:r>
          </w:p>
        </w:tc>
      </w:tr>
      <w:tr w:rsidR="006A324D" w14:paraId="7470A90E" w14:textId="77777777">
        <w:tc>
          <w:tcPr>
            <w:tcW w:w="603" w:type="dxa"/>
            <w:vAlign w:val="center"/>
          </w:tcPr>
          <w:p w14:paraId="3E0E6A0F" w14:textId="77777777" w:rsidR="006A324D" w:rsidRDefault="003C7724">
            <w:pPr>
              <w:rPr>
                <w:rFonts w:ascii="Arial" w:eastAsia="Arial" w:hAnsi="Arial" w:cs="Arial"/>
                <w:sz w:val="24"/>
                <w:szCs w:val="24"/>
              </w:rPr>
            </w:pPr>
            <w:r>
              <w:rPr>
                <w:rFonts w:ascii="Arial" w:eastAsia="Arial" w:hAnsi="Arial" w:cs="Arial"/>
                <w:sz w:val="24"/>
                <w:szCs w:val="24"/>
              </w:rPr>
              <w:t>9</w:t>
            </w:r>
          </w:p>
        </w:tc>
        <w:tc>
          <w:tcPr>
            <w:tcW w:w="4575" w:type="dxa"/>
            <w:vAlign w:val="center"/>
          </w:tcPr>
          <w:p w14:paraId="4A078B67" w14:textId="77777777" w:rsidR="006A324D" w:rsidRDefault="003C7724">
            <w:pPr>
              <w:jc w:val="both"/>
              <w:rPr>
                <w:rFonts w:ascii="Arial" w:eastAsia="Arial" w:hAnsi="Arial" w:cs="Arial"/>
                <w:sz w:val="24"/>
                <w:szCs w:val="24"/>
              </w:rPr>
            </w:pPr>
            <w:r>
              <w:rPr>
                <w:rFonts w:ascii="Arial" w:eastAsia="Arial" w:hAnsi="Arial" w:cs="Arial"/>
                <w:sz w:val="24"/>
                <w:szCs w:val="24"/>
              </w:rPr>
              <w:t>Estudio y aprobación de las operaciones recalificadas por el modelo por parte del comité de riesgos.</w:t>
            </w:r>
          </w:p>
        </w:tc>
        <w:tc>
          <w:tcPr>
            <w:tcW w:w="2310" w:type="dxa"/>
            <w:vAlign w:val="center"/>
          </w:tcPr>
          <w:p w14:paraId="1E7BD2F9" w14:textId="77777777" w:rsidR="006A324D" w:rsidRDefault="003C7724">
            <w:pPr>
              <w:jc w:val="center"/>
              <w:rPr>
                <w:rFonts w:ascii="Arial" w:eastAsia="Arial" w:hAnsi="Arial" w:cs="Arial"/>
                <w:sz w:val="24"/>
                <w:szCs w:val="24"/>
              </w:rPr>
            </w:pPr>
            <w:r>
              <w:rPr>
                <w:rFonts w:ascii="Arial" w:eastAsia="Arial" w:hAnsi="Arial" w:cs="Arial"/>
                <w:sz w:val="24"/>
                <w:szCs w:val="24"/>
              </w:rPr>
              <w:t>Comite de Riesgo</w:t>
            </w:r>
          </w:p>
        </w:tc>
        <w:tc>
          <w:tcPr>
            <w:tcW w:w="1860" w:type="dxa"/>
            <w:vAlign w:val="center"/>
          </w:tcPr>
          <w:p w14:paraId="0F596B28" w14:textId="77777777" w:rsidR="006A324D" w:rsidRDefault="003C7724">
            <w:pPr>
              <w:jc w:val="center"/>
              <w:rPr>
                <w:rFonts w:ascii="Arial" w:eastAsia="Arial" w:hAnsi="Arial" w:cs="Arial"/>
                <w:sz w:val="24"/>
                <w:szCs w:val="24"/>
              </w:rPr>
            </w:pPr>
            <w:r>
              <w:rPr>
                <w:rFonts w:ascii="Arial" w:eastAsia="Arial" w:hAnsi="Arial" w:cs="Arial"/>
                <w:sz w:val="24"/>
                <w:szCs w:val="24"/>
              </w:rPr>
              <w:t>Resultado evaluación de cartera</w:t>
            </w:r>
          </w:p>
        </w:tc>
      </w:tr>
      <w:tr w:rsidR="006A324D" w14:paraId="3F632B6D" w14:textId="77777777">
        <w:tc>
          <w:tcPr>
            <w:tcW w:w="603" w:type="dxa"/>
            <w:vAlign w:val="center"/>
          </w:tcPr>
          <w:p w14:paraId="211281E3" w14:textId="77777777" w:rsidR="006A324D" w:rsidRDefault="003C7724">
            <w:pPr>
              <w:rPr>
                <w:rFonts w:ascii="Arial" w:eastAsia="Arial" w:hAnsi="Arial" w:cs="Arial"/>
                <w:sz w:val="24"/>
                <w:szCs w:val="24"/>
              </w:rPr>
            </w:pPr>
            <w:r>
              <w:rPr>
                <w:rFonts w:ascii="Arial" w:eastAsia="Arial" w:hAnsi="Arial" w:cs="Arial"/>
                <w:sz w:val="24"/>
                <w:szCs w:val="24"/>
              </w:rPr>
              <w:t>10</w:t>
            </w:r>
          </w:p>
        </w:tc>
        <w:tc>
          <w:tcPr>
            <w:tcW w:w="4575" w:type="dxa"/>
            <w:vAlign w:val="center"/>
          </w:tcPr>
          <w:p w14:paraId="5E0DA86C" w14:textId="77777777" w:rsidR="006A324D" w:rsidRDefault="003C7724">
            <w:pPr>
              <w:jc w:val="both"/>
              <w:rPr>
                <w:rFonts w:ascii="Arial" w:eastAsia="Arial" w:hAnsi="Arial" w:cs="Arial"/>
                <w:sz w:val="24"/>
                <w:szCs w:val="24"/>
              </w:rPr>
            </w:pPr>
            <w:r>
              <w:rPr>
                <w:rFonts w:ascii="Arial" w:eastAsia="Arial" w:hAnsi="Arial" w:cs="Arial"/>
                <w:sz w:val="24"/>
                <w:szCs w:val="24"/>
              </w:rPr>
              <w:t>Elaboración del acta e informe para el consejo de administración, por parte del comité de riesgos, ten</w:t>
            </w:r>
            <w:r>
              <w:rPr>
                <w:rFonts w:ascii="Arial" w:eastAsia="Arial" w:hAnsi="Arial" w:cs="Arial"/>
                <w:sz w:val="24"/>
                <w:szCs w:val="24"/>
              </w:rPr>
              <w:t>diendo en cuenta los siguientes aspectos:</w:t>
            </w:r>
          </w:p>
          <w:p w14:paraId="4D031199" w14:textId="77777777" w:rsidR="006A324D" w:rsidRDefault="006A324D">
            <w:pPr>
              <w:jc w:val="both"/>
              <w:rPr>
                <w:rFonts w:ascii="Arial" w:eastAsia="Arial" w:hAnsi="Arial" w:cs="Arial"/>
                <w:sz w:val="24"/>
                <w:szCs w:val="24"/>
              </w:rPr>
            </w:pPr>
          </w:p>
          <w:p w14:paraId="09C6F6AC"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Análisis estratégico de los MIS de evaluación (Cosechas, matrices, tasa de recuperación, vector y tablero).</w:t>
            </w:r>
          </w:p>
          <w:p w14:paraId="30F1E107"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Análisis estratégico del modelo de evaluación.</w:t>
            </w:r>
          </w:p>
          <w:p w14:paraId="4A529A64"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Recomendaciones.</w:t>
            </w:r>
          </w:p>
          <w:p w14:paraId="5DF9C7CA" w14:textId="77777777" w:rsidR="006A324D" w:rsidRDefault="003C7724">
            <w:pPr>
              <w:numPr>
                <w:ilvl w:val="0"/>
                <w:numId w:val="2"/>
              </w:numPr>
              <w:pBdr>
                <w:top w:val="nil"/>
                <w:left w:val="nil"/>
                <w:bottom w:val="nil"/>
                <w:right w:val="nil"/>
                <w:between w:val="nil"/>
              </w:pBdr>
              <w:ind w:left="272" w:hanging="219"/>
              <w:jc w:val="both"/>
              <w:rPr>
                <w:rFonts w:ascii="Arial" w:eastAsia="Arial" w:hAnsi="Arial" w:cs="Arial"/>
                <w:color w:val="000000"/>
                <w:sz w:val="24"/>
                <w:szCs w:val="24"/>
              </w:rPr>
            </w:pPr>
            <w:r>
              <w:rPr>
                <w:rFonts w:ascii="Arial" w:eastAsia="Arial" w:hAnsi="Arial" w:cs="Arial"/>
                <w:color w:val="000000"/>
                <w:sz w:val="24"/>
                <w:szCs w:val="24"/>
              </w:rPr>
              <w:t>Cronograma de evaluación.</w:t>
            </w:r>
          </w:p>
        </w:tc>
        <w:tc>
          <w:tcPr>
            <w:tcW w:w="2310" w:type="dxa"/>
            <w:vAlign w:val="center"/>
          </w:tcPr>
          <w:p w14:paraId="52728BF0" w14:textId="77777777" w:rsidR="006A324D" w:rsidRDefault="003C7724">
            <w:pPr>
              <w:jc w:val="center"/>
              <w:rPr>
                <w:rFonts w:ascii="Arial" w:eastAsia="Arial" w:hAnsi="Arial" w:cs="Arial"/>
                <w:sz w:val="24"/>
                <w:szCs w:val="24"/>
              </w:rPr>
            </w:pPr>
            <w:r>
              <w:rPr>
                <w:rFonts w:ascii="Arial" w:eastAsia="Arial" w:hAnsi="Arial" w:cs="Arial"/>
                <w:sz w:val="24"/>
                <w:szCs w:val="24"/>
              </w:rPr>
              <w:t>Comité de Riesgo</w:t>
            </w:r>
          </w:p>
        </w:tc>
        <w:tc>
          <w:tcPr>
            <w:tcW w:w="1860" w:type="dxa"/>
            <w:vAlign w:val="center"/>
          </w:tcPr>
          <w:p w14:paraId="0F6F642F" w14:textId="77777777" w:rsidR="006A324D" w:rsidRDefault="003C7724">
            <w:pPr>
              <w:jc w:val="center"/>
              <w:rPr>
                <w:rFonts w:ascii="Arial" w:eastAsia="Arial" w:hAnsi="Arial" w:cs="Arial"/>
                <w:sz w:val="24"/>
                <w:szCs w:val="24"/>
              </w:rPr>
            </w:pPr>
            <w:r>
              <w:rPr>
                <w:rFonts w:ascii="Arial" w:eastAsia="Arial" w:hAnsi="Arial" w:cs="Arial"/>
                <w:sz w:val="24"/>
                <w:szCs w:val="24"/>
              </w:rPr>
              <w:t>Acta de resultado evaluación de cartera</w:t>
            </w:r>
          </w:p>
        </w:tc>
      </w:tr>
      <w:tr w:rsidR="006A324D" w14:paraId="1B28727B" w14:textId="77777777">
        <w:trPr>
          <w:trHeight w:val="1125"/>
        </w:trPr>
        <w:tc>
          <w:tcPr>
            <w:tcW w:w="603" w:type="dxa"/>
            <w:vAlign w:val="center"/>
          </w:tcPr>
          <w:p w14:paraId="5A85D1F5" w14:textId="77777777" w:rsidR="006A324D" w:rsidRDefault="003C7724">
            <w:pPr>
              <w:rPr>
                <w:rFonts w:ascii="Arial" w:eastAsia="Arial" w:hAnsi="Arial" w:cs="Arial"/>
                <w:sz w:val="24"/>
                <w:szCs w:val="24"/>
              </w:rPr>
            </w:pPr>
            <w:r>
              <w:rPr>
                <w:rFonts w:ascii="Arial" w:eastAsia="Arial" w:hAnsi="Arial" w:cs="Arial"/>
                <w:sz w:val="24"/>
                <w:szCs w:val="24"/>
              </w:rPr>
              <w:t>11</w:t>
            </w:r>
          </w:p>
        </w:tc>
        <w:tc>
          <w:tcPr>
            <w:tcW w:w="4575" w:type="dxa"/>
            <w:vAlign w:val="center"/>
          </w:tcPr>
          <w:p w14:paraId="5AD48A48" w14:textId="77777777" w:rsidR="006A324D" w:rsidRDefault="003C7724">
            <w:pPr>
              <w:jc w:val="both"/>
              <w:rPr>
                <w:rFonts w:ascii="Arial" w:eastAsia="Arial" w:hAnsi="Arial" w:cs="Arial"/>
                <w:sz w:val="24"/>
                <w:szCs w:val="24"/>
              </w:rPr>
            </w:pPr>
            <w:r>
              <w:rPr>
                <w:rFonts w:ascii="Arial" w:eastAsia="Arial" w:hAnsi="Arial" w:cs="Arial"/>
                <w:sz w:val="24"/>
                <w:szCs w:val="24"/>
              </w:rPr>
              <w:t>Archivar el análisis de evaluación de cartera, de acuerdo con el formato establecido, en la carpeta de cada asociado.</w:t>
            </w:r>
          </w:p>
        </w:tc>
        <w:tc>
          <w:tcPr>
            <w:tcW w:w="2310" w:type="dxa"/>
            <w:vAlign w:val="center"/>
          </w:tcPr>
          <w:p w14:paraId="26C9C3AD" w14:textId="77777777" w:rsidR="006A324D" w:rsidRDefault="003C7724">
            <w:pPr>
              <w:jc w:val="center"/>
              <w:rPr>
                <w:rFonts w:ascii="Arial" w:eastAsia="Arial" w:hAnsi="Arial" w:cs="Arial"/>
                <w:sz w:val="24"/>
                <w:szCs w:val="24"/>
              </w:rPr>
            </w:pPr>
            <w:r>
              <w:rPr>
                <w:rFonts w:ascii="Arial" w:eastAsia="Arial" w:hAnsi="Arial" w:cs="Arial"/>
                <w:sz w:val="24"/>
                <w:szCs w:val="24"/>
              </w:rPr>
              <w:t>Coordinador de Cartera</w:t>
            </w:r>
          </w:p>
        </w:tc>
        <w:tc>
          <w:tcPr>
            <w:tcW w:w="1860" w:type="dxa"/>
            <w:vAlign w:val="center"/>
          </w:tcPr>
          <w:p w14:paraId="25647D52" w14:textId="77777777" w:rsidR="006A324D" w:rsidRDefault="003C7724">
            <w:pPr>
              <w:jc w:val="center"/>
              <w:rPr>
                <w:rFonts w:ascii="Arial" w:eastAsia="Arial" w:hAnsi="Arial" w:cs="Arial"/>
                <w:sz w:val="24"/>
                <w:szCs w:val="24"/>
              </w:rPr>
            </w:pPr>
            <w:r>
              <w:rPr>
                <w:rFonts w:ascii="Arial" w:eastAsia="Arial" w:hAnsi="Arial" w:cs="Arial"/>
                <w:sz w:val="24"/>
                <w:szCs w:val="24"/>
              </w:rPr>
              <w:t>Formato análisis evaluación de cartera</w:t>
            </w:r>
          </w:p>
        </w:tc>
      </w:tr>
      <w:tr w:rsidR="006A324D" w14:paraId="0C312BB6" w14:textId="77777777">
        <w:tc>
          <w:tcPr>
            <w:tcW w:w="603" w:type="dxa"/>
            <w:vAlign w:val="center"/>
          </w:tcPr>
          <w:p w14:paraId="79BC9B4B" w14:textId="77777777" w:rsidR="006A324D" w:rsidRDefault="003C7724">
            <w:pPr>
              <w:rPr>
                <w:rFonts w:ascii="Arial" w:eastAsia="Arial" w:hAnsi="Arial" w:cs="Arial"/>
                <w:sz w:val="24"/>
                <w:szCs w:val="24"/>
              </w:rPr>
            </w:pPr>
            <w:r>
              <w:rPr>
                <w:rFonts w:ascii="Arial" w:eastAsia="Arial" w:hAnsi="Arial" w:cs="Arial"/>
                <w:sz w:val="24"/>
                <w:szCs w:val="24"/>
              </w:rPr>
              <w:t>12</w:t>
            </w:r>
          </w:p>
        </w:tc>
        <w:tc>
          <w:tcPr>
            <w:tcW w:w="4575" w:type="dxa"/>
            <w:vAlign w:val="center"/>
          </w:tcPr>
          <w:p w14:paraId="539E7871" w14:textId="77777777" w:rsidR="006A324D" w:rsidRDefault="003C7724">
            <w:pPr>
              <w:jc w:val="both"/>
              <w:rPr>
                <w:rFonts w:ascii="Arial" w:eastAsia="Arial" w:hAnsi="Arial" w:cs="Arial"/>
                <w:sz w:val="24"/>
                <w:szCs w:val="24"/>
              </w:rPr>
            </w:pPr>
            <w:r>
              <w:rPr>
                <w:rFonts w:ascii="Arial" w:eastAsia="Arial" w:hAnsi="Arial" w:cs="Arial"/>
                <w:sz w:val="24"/>
                <w:szCs w:val="24"/>
              </w:rPr>
              <w:t>Realizar la prueba anual de backtesting al Logit de evaluación, a fin de determinar la calibración de dicho modelo.</w:t>
            </w:r>
          </w:p>
        </w:tc>
        <w:tc>
          <w:tcPr>
            <w:tcW w:w="2310" w:type="dxa"/>
            <w:vAlign w:val="center"/>
          </w:tcPr>
          <w:p w14:paraId="017F6BFC" w14:textId="77777777" w:rsidR="006A324D" w:rsidRDefault="003C7724">
            <w:pPr>
              <w:jc w:val="center"/>
              <w:rPr>
                <w:rFonts w:ascii="Arial" w:eastAsia="Arial" w:hAnsi="Arial" w:cs="Arial"/>
                <w:sz w:val="24"/>
                <w:szCs w:val="24"/>
              </w:rPr>
            </w:pPr>
            <w:r>
              <w:rPr>
                <w:rFonts w:ascii="Arial" w:eastAsia="Arial" w:hAnsi="Arial" w:cs="Arial"/>
                <w:sz w:val="24"/>
                <w:szCs w:val="24"/>
              </w:rPr>
              <w:t>Administrador de Riesgo</w:t>
            </w:r>
          </w:p>
        </w:tc>
        <w:tc>
          <w:tcPr>
            <w:tcW w:w="1860" w:type="dxa"/>
            <w:vAlign w:val="center"/>
          </w:tcPr>
          <w:p w14:paraId="105E495D" w14:textId="77777777" w:rsidR="006A324D" w:rsidRDefault="003C7724">
            <w:pPr>
              <w:jc w:val="center"/>
              <w:rPr>
                <w:rFonts w:ascii="Arial" w:eastAsia="Arial" w:hAnsi="Arial" w:cs="Arial"/>
                <w:sz w:val="24"/>
                <w:szCs w:val="24"/>
              </w:rPr>
            </w:pPr>
            <w:r>
              <w:rPr>
                <w:rFonts w:ascii="Arial" w:eastAsia="Arial" w:hAnsi="Arial" w:cs="Arial"/>
                <w:sz w:val="24"/>
                <w:szCs w:val="24"/>
              </w:rPr>
              <w:t>Resultado prueba anual de backtesting</w:t>
            </w:r>
          </w:p>
        </w:tc>
      </w:tr>
      <w:tr w:rsidR="006A324D" w14:paraId="2EF7DDC2" w14:textId="77777777">
        <w:tc>
          <w:tcPr>
            <w:tcW w:w="603" w:type="dxa"/>
            <w:vAlign w:val="center"/>
          </w:tcPr>
          <w:p w14:paraId="5566A990" w14:textId="77777777" w:rsidR="006A324D" w:rsidRDefault="003C7724">
            <w:pPr>
              <w:rPr>
                <w:rFonts w:ascii="Arial" w:eastAsia="Arial" w:hAnsi="Arial" w:cs="Arial"/>
                <w:sz w:val="24"/>
                <w:szCs w:val="24"/>
              </w:rPr>
            </w:pPr>
            <w:r>
              <w:rPr>
                <w:rFonts w:ascii="Arial" w:eastAsia="Arial" w:hAnsi="Arial" w:cs="Arial"/>
                <w:sz w:val="24"/>
                <w:szCs w:val="24"/>
              </w:rPr>
              <w:lastRenderedPageBreak/>
              <w:t>13</w:t>
            </w:r>
          </w:p>
        </w:tc>
        <w:tc>
          <w:tcPr>
            <w:tcW w:w="4575" w:type="dxa"/>
            <w:vAlign w:val="center"/>
          </w:tcPr>
          <w:p w14:paraId="5E83E399" w14:textId="77777777" w:rsidR="006A324D" w:rsidRDefault="003C7724">
            <w:pPr>
              <w:jc w:val="both"/>
              <w:rPr>
                <w:rFonts w:ascii="Arial" w:eastAsia="Arial" w:hAnsi="Arial" w:cs="Arial"/>
                <w:sz w:val="24"/>
                <w:szCs w:val="24"/>
              </w:rPr>
            </w:pPr>
            <w:r>
              <w:rPr>
                <w:rFonts w:ascii="Arial" w:eastAsia="Arial" w:hAnsi="Arial" w:cs="Arial"/>
                <w:sz w:val="24"/>
                <w:szCs w:val="24"/>
              </w:rPr>
              <w:t>Socializar los resultados y análisis de evaluación a los demás procesos del riesgo de crédito (originación y recuperación)</w:t>
            </w:r>
          </w:p>
        </w:tc>
        <w:tc>
          <w:tcPr>
            <w:tcW w:w="2310" w:type="dxa"/>
            <w:vAlign w:val="center"/>
          </w:tcPr>
          <w:p w14:paraId="04BF447F" w14:textId="77777777" w:rsidR="006A324D" w:rsidRDefault="003C7724">
            <w:pPr>
              <w:jc w:val="center"/>
              <w:rPr>
                <w:rFonts w:ascii="Arial" w:eastAsia="Arial" w:hAnsi="Arial" w:cs="Arial"/>
                <w:sz w:val="24"/>
                <w:szCs w:val="24"/>
              </w:rPr>
            </w:pPr>
            <w:r>
              <w:rPr>
                <w:rFonts w:ascii="Arial" w:eastAsia="Arial" w:hAnsi="Arial" w:cs="Arial"/>
                <w:sz w:val="24"/>
                <w:szCs w:val="24"/>
              </w:rPr>
              <w:t>Comité de Riesgo</w:t>
            </w:r>
          </w:p>
          <w:p w14:paraId="38B35C6E" w14:textId="77777777" w:rsidR="006A324D" w:rsidRDefault="006A324D">
            <w:pPr>
              <w:jc w:val="center"/>
              <w:rPr>
                <w:rFonts w:ascii="Arial" w:eastAsia="Arial" w:hAnsi="Arial" w:cs="Arial"/>
                <w:sz w:val="24"/>
                <w:szCs w:val="24"/>
              </w:rPr>
            </w:pPr>
          </w:p>
          <w:p w14:paraId="53EDCCD0" w14:textId="77777777" w:rsidR="006A324D" w:rsidRDefault="003C7724">
            <w:pPr>
              <w:jc w:val="center"/>
              <w:rPr>
                <w:rFonts w:ascii="Arial" w:eastAsia="Arial" w:hAnsi="Arial" w:cs="Arial"/>
                <w:sz w:val="24"/>
                <w:szCs w:val="24"/>
              </w:rPr>
            </w:pPr>
            <w:r>
              <w:rPr>
                <w:rFonts w:ascii="Arial" w:eastAsia="Arial" w:hAnsi="Arial" w:cs="Arial"/>
                <w:sz w:val="24"/>
                <w:szCs w:val="24"/>
              </w:rPr>
              <w:t>Gerente</w:t>
            </w:r>
          </w:p>
        </w:tc>
        <w:tc>
          <w:tcPr>
            <w:tcW w:w="1860" w:type="dxa"/>
            <w:vAlign w:val="center"/>
          </w:tcPr>
          <w:p w14:paraId="64D73422" w14:textId="77777777" w:rsidR="006A324D" w:rsidRDefault="003C7724">
            <w:pPr>
              <w:jc w:val="center"/>
              <w:rPr>
                <w:rFonts w:ascii="Arial" w:eastAsia="Arial" w:hAnsi="Arial" w:cs="Arial"/>
                <w:sz w:val="24"/>
                <w:szCs w:val="24"/>
              </w:rPr>
            </w:pPr>
            <w:r>
              <w:rPr>
                <w:rFonts w:ascii="Arial" w:eastAsia="Arial" w:hAnsi="Arial" w:cs="Arial"/>
                <w:sz w:val="24"/>
                <w:szCs w:val="24"/>
              </w:rPr>
              <w:t xml:space="preserve">Socialización evaluación de cartera </w:t>
            </w:r>
          </w:p>
        </w:tc>
      </w:tr>
    </w:tbl>
    <w:p w14:paraId="76033A68" w14:textId="77777777" w:rsidR="006A324D" w:rsidRDefault="006A324D">
      <w:pPr>
        <w:jc w:val="both"/>
        <w:rPr>
          <w:rFonts w:ascii="Arial" w:eastAsia="Arial" w:hAnsi="Arial" w:cs="Arial"/>
          <w:sz w:val="24"/>
          <w:szCs w:val="24"/>
        </w:rPr>
      </w:pPr>
    </w:p>
    <w:p w14:paraId="74E4AD4D" w14:textId="77777777" w:rsidR="006A324D" w:rsidRDefault="003C7724">
      <w:pPr>
        <w:numPr>
          <w:ilvl w:val="0"/>
          <w:numId w:val="1"/>
        </w:numPr>
        <w:pBdr>
          <w:top w:val="nil"/>
          <w:left w:val="nil"/>
          <w:bottom w:val="nil"/>
          <w:right w:val="nil"/>
          <w:between w:val="nil"/>
        </w:pBdr>
        <w:jc w:val="both"/>
        <w:rPr>
          <w:rFonts w:ascii="Arial" w:eastAsia="Arial" w:hAnsi="Arial" w:cs="Arial"/>
          <w:b/>
          <w:color w:val="000000"/>
          <w:sz w:val="24"/>
          <w:szCs w:val="24"/>
        </w:rPr>
      </w:pPr>
      <w:bookmarkStart w:id="4" w:name="_heading=h.2et92p0" w:colFirst="0" w:colLast="0"/>
      <w:bookmarkEnd w:id="4"/>
      <w:r>
        <w:rPr>
          <w:rFonts w:ascii="Arial" w:eastAsia="Arial" w:hAnsi="Arial" w:cs="Arial"/>
          <w:b/>
          <w:color w:val="000000"/>
          <w:sz w:val="24"/>
          <w:szCs w:val="24"/>
        </w:rPr>
        <w:t>REGISTROS REFERENCIADOS.</w:t>
      </w:r>
    </w:p>
    <w:p w14:paraId="03D95731" w14:textId="77777777" w:rsidR="006A324D" w:rsidRDefault="003C7724">
      <w:pPr>
        <w:numPr>
          <w:ilvl w:val="1"/>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N/A</w:t>
      </w:r>
      <w:r>
        <w:rPr>
          <w:rFonts w:ascii="Arial" w:eastAsia="Arial" w:hAnsi="Arial" w:cs="Arial"/>
          <w:color w:val="000000"/>
          <w:sz w:val="24"/>
          <w:szCs w:val="24"/>
        </w:rPr>
        <w:t>.</w:t>
      </w:r>
    </w:p>
    <w:p w14:paraId="43F29BC9" w14:textId="77777777" w:rsidR="006A324D" w:rsidRDefault="006A324D">
      <w:pPr>
        <w:jc w:val="both"/>
        <w:rPr>
          <w:rFonts w:ascii="Arial" w:eastAsia="Arial" w:hAnsi="Arial" w:cs="Arial"/>
          <w:sz w:val="24"/>
          <w:szCs w:val="24"/>
        </w:rPr>
      </w:pPr>
    </w:p>
    <w:p w14:paraId="4D4F5592" w14:textId="77777777" w:rsidR="006A324D" w:rsidRDefault="003C7724">
      <w:pPr>
        <w:numPr>
          <w:ilvl w:val="0"/>
          <w:numId w:val="1"/>
        </w:numPr>
        <w:jc w:val="both"/>
        <w:rPr>
          <w:rFonts w:ascii="Arial" w:eastAsia="Arial" w:hAnsi="Arial" w:cs="Arial"/>
          <w:sz w:val="24"/>
          <w:szCs w:val="24"/>
        </w:rPr>
      </w:pPr>
      <w:r>
        <w:rPr>
          <w:rFonts w:ascii="Arial" w:eastAsia="Arial" w:hAnsi="Arial" w:cs="Arial"/>
          <w:b/>
          <w:sz w:val="24"/>
          <w:szCs w:val="24"/>
        </w:rPr>
        <w:t>CONTROL DE ACTUALIZACIONES.</w:t>
      </w:r>
    </w:p>
    <w:p w14:paraId="77929CED" w14:textId="77777777" w:rsidR="006A324D" w:rsidRDefault="006A324D">
      <w:pPr>
        <w:jc w:val="both"/>
        <w:rPr>
          <w:rFonts w:ascii="Arial" w:eastAsia="Arial" w:hAnsi="Arial" w:cs="Arial"/>
          <w:sz w:val="24"/>
          <w:szCs w:val="24"/>
        </w:rPr>
      </w:pPr>
    </w:p>
    <w:tbl>
      <w:tblPr>
        <w:tblStyle w:val="a1"/>
        <w:tblW w:w="92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8"/>
        <w:gridCol w:w="7187"/>
        <w:gridCol w:w="1006"/>
      </w:tblGrid>
      <w:tr w:rsidR="006A324D" w14:paraId="1D28DF8F" w14:textId="77777777">
        <w:tc>
          <w:tcPr>
            <w:tcW w:w="1088" w:type="dxa"/>
            <w:tcBorders>
              <w:top w:val="single" w:sz="4" w:space="0" w:color="000000"/>
              <w:left w:val="single" w:sz="4" w:space="0" w:color="000000"/>
              <w:bottom w:val="single" w:sz="4" w:space="0" w:color="000000"/>
              <w:right w:val="single" w:sz="4" w:space="0" w:color="000000"/>
            </w:tcBorders>
          </w:tcPr>
          <w:p w14:paraId="4E9B1699" w14:textId="77777777" w:rsidR="006A324D" w:rsidRDefault="003C7724">
            <w:pPr>
              <w:jc w:val="both"/>
              <w:rPr>
                <w:rFonts w:ascii="Arial" w:eastAsia="Arial" w:hAnsi="Arial" w:cs="Arial"/>
                <w:b/>
                <w:sz w:val="16"/>
                <w:szCs w:val="16"/>
              </w:rPr>
            </w:pPr>
            <w:r>
              <w:rPr>
                <w:rFonts w:ascii="Arial" w:eastAsia="Arial" w:hAnsi="Arial" w:cs="Arial"/>
                <w:b/>
                <w:sz w:val="16"/>
                <w:szCs w:val="16"/>
              </w:rPr>
              <w:t>FECHA</w:t>
            </w:r>
          </w:p>
        </w:tc>
        <w:tc>
          <w:tcPr>
            <w:tcW w:w="7187" w:type="dxa"/>
            <w:tcBorders>
              <w:top w:val="single" w:sz="4" w:space="0" w:color="000000"/>
              <w:left w:val="single" w:sz="4" w:space="0" w:color="000000"/>
              <w:bottom w:val="single" w:sz="4" w:space="0" w:color="000000"/>
              <w:right w:val="single" w:sz="4" w:space="0" w:color="000000"/>
            </w:tcBorders>
          </w:tcPr>
          <w:p w14:paraId="2EBED801" w14:textId="77777777" w:rsidR="006A324D" w:rsidRDefault="003C7724">
            <w:pPr>
              <w:jc w:val="both"/>
              <w:rPr>
                <w:rFonts w:ascii="Arial" w:eastAsia="Arial" w:hAnsi="Arial" w:cs="Arial"/>
                <w:b/>
                <w:sz w:val="16"/>
                <w:szCs w:val="16"/>
              </w:rPr>
            </w:pPr>
            <w:r>
              <w:rPr>
                <w:rFonts w:ascii="Arial" w:eastAsia="Arial" w:hAnsi="Arial" w:cs="Arial"/>
                <w:b/>
                <w:sz w:val="16"/>
                <w:szCs w:val="16"/>
              </w:rPr>
              <w:t>DESCRIPCIÓN</w:t>
            </w:r>
          </w:p>
        </w:tc>
        <w:tc>
          <w:tcPr>
            <w:tcW w:w="1006" w:type="dxa"/>
            <w:tcBorders>
              <w:top w:val="single" w:sz="4" w:space="0" w:color="000000"/>
              <w:left w:val="single" w:sz="4" w:space="0" w:color="000000"/>
              <w:bottom w:val="single" w:sz="4" w:space="0" w:color="000000"/>
              <w:right w:val="single" w:sz="4" w:space="0" w:color="000000"/>
            </w:tcBorders>
          </w:tcPr>
          <w:p w14:paraId="6A7171D5" w14:textId="77777777" w:rsidR="006A324D" w:rsidRDefault="003C7724">
            <w:pPr>
              <w:jc w:val="both"/>
              <w:rPr>
                <w:rFonts w:ascii="Arial" w:eastAsia="Arial" w:hAnsi="Arial" w:cs="Arial"/>
                <w:b/>
                <w:sz w:val="16"/>
                <w:szCs w:val="16"/>
              </w:rPr>
            </w:pPr>
            <w:r>
              <w:rPr>
                <w:rFonts w:ascii="Arial" w:eastAsia="Arial" w:hAnsi="Arial" w:cs="Arial"/>
                <w:b/>
                <w:sz w:val="16"/>
                <w:szCs w:val="16"/>
              </w:rPr>
              <w:t>VERSIÓN</w:t>
            </w:r>
          </w:p>
        </w:tc>
      </w:tr>
      <w:tr w:rsidR="006A324D" w14:paraId="1A123640" w14:textId="77777777">
        <w:tc>
          <w:tcPr>
            <w:tcW w:w="1088" w:type="dxa"/>
            <w:tcBorders>
              <w:top w:val="single" w:sz="4" w:space="0" w:color="000000"/>
              <w:left w:val="single" w:sz="4" w:space="0" w:color="000000"/>
              <w:bottom w:val="single" w:sz="4" w:space="0" w:color="000000"/>
              <w:right w:val="single" w:sz="4" w:space="0" w:color="000000"/>
            </w:tcBorders>
            <w:vAlign w:val="center"/>
          </w:tcPr>
          <w:p w14:paraId="441528FF" w14:textId="77777777" w:rsidR="006A324D" w:rsidRDefault="003C7724">
            <w:pPr>
              <w:jc w:val="center"/>
              <w:rPr>
                <w:rFonts w:ascii="Arial" w:eastAsia="Arial" w:hAnsi="Arial" w:cs="Arial"/>
                <w:sz w:val="16"/>
                <w:szCs w:val="16"/>
              </w:rPr>
            </w:pPr>
            <w:r>
              <w:rPr>
                <w:rFonts w:ascii="Arial" w:eastAsia="Arial" w:hAnsi="Arial" w:cs="Arial"/>
                <w:sz w:val="16"/>
                <w:szCs w:val="16"/>
              </w:rPr>
              <w:t>02/11/2018</w:t>
            </w:r>
          </w:p>
        </w:tc>
        <w:tc>
          <w:tcPr>
            <w:tcW w:w="7187" w:type="dxa"/>
            <w:tcBorders>
              <w:top w:val="single" w:sz="4" w:space="0" w:color="000000"/>
              <w:left w:val="single" w:sz="4" w:space="0" w:color="000000"/>
              <w:bottom w:val="single" w:sz="4" w:space="0" w:color="000000"/>
              <w:right w:val="single" w:sz="4" w:space="0" w:color="000000"/>
            </w:tcBorders>
          </w:tcPr>
          <w:p w14:paraId="7AD29361" w14:textId="77777777" w:rsidR="006A324D" w:rsidRDefault="003C7724">
            <w:pPr>
              <w:jc w:val="both"/>
              <w:rPr>
                <w:rFonts w:ascii="Arial" w:eastAsia="Arial" w:hAnsi="Arial" w:cs="Arial"/>
                <w:sz w:val="16"/>
                <w:szCs w:val="16"/>
              </w:rPr>
            </w:pPr>
            <w:r>
              <w:rPr>
                <w:rFonts w:ascii="Arial" w:eastAsia="Arial" w:hAnsi="Arial" w:cs="Arial"/>
                <w:sz w:val="16"/>
                <w:szCs w:val="16"/>
              </w:rPr>
              <w:t>Creación de documento</w:t>
            </w:r>
          </w:p>
        </w:tc>
        <w:tc>
          <w:tcPr>
            <w:tcW w:w="1006" w:type="dxa"/>
            <w:tcBorders>
              <w:top w:val="single" w:sz="4" w:space="0" w:color="000000"/>
              <w:left w:val="single" w:sz="4" w:space="0" w:color="000000"/>
              <w:bottom w:val="single" w:sz="4" w:space="0" w:color="000000"/>
              <w:right w:val="single" w:sz="4" w:space="0" w:color="000000"/>
            </w:tcBorders>
            <w:vAlign w:val="center"/>
          </w:tcPr>
          <w:p w14:paraId="7B6CDAC8" w14:textId="77777777" w:rsidR="006A324D" w:rsidRDefault="003C7724">
            <w:pPr>
              <w:jc w:val="center"/>
              <w:rPr>
                <w:rFonts w:ascii="Arial" w:eastAsia="Arial" w:hAnsi="Arial" w:cs="Arial"/>
                <w:sz w:val="16"/>
                <w:szCs w:val="16"/>
              </w:rPr>
            </w:pPr>
            <w:r>
              <w:rPr>
                <w:rFonts w:ascii="Arial" w:eastAsia="Arial" w:hAnsi="Arial" w:cs="Arial"/>
                <w:sz w:val="16"/>
                <w:szCs w:val="16"/>
              </w:rPr>
              <w:t>01</w:t>
            </w:r>
          </w:p>
        </w:tc>
      </w:tr>
      <w:tr w:rsidR="006A324D" w14:paraId="14B400AD" w14:textId="77777777">
        <w:tc>
          <w:tcPr>
            <w:tcW w:w="1088" w:type="dxa"/>
            <w:tcBorders>
              <w:top w:val="single" w:sz="4" w:space="0" w:color="000000"/>
              <w:left w:val="single" w:sz="4" w:space="0" w:color="000000"/>
              <w:bottom w:val="single" w:sz="4" w:space="0" w:color="000000"/>
              <w:right w:val="single" w:sz="4" w:space="0" w:color="000000"/>
            </w:tcBorders>
            <w:vAlign w:val="center"/>
          </w:tcPr>
          <w:p w14:paraId="47B7F803" w14:textId="77777777" w:rsidR="006A324D" w:rsidRDefault="003C7724">
            <w:pPr>
              <w:jc w:val="center"/>
              <w:rPr>
                <w:rFonts w:ascii="Arial" w:eastAsia="Arial" w:hAnsi="Arial" w:cs="Arial"/>
                <w:sz w:val="16"/>
                <w:szCs w:val="16"/>
              </w:rPr>
            </w:pPr>
            <w:r>
              <w:rPr>
                <w:rFonts w:ascii="Arial" w:eastAsia="Arial" w:hAnsi="Arial" w:cs="Arial"/>
                <w:sz w:val="16"/>
                <w:szCs w:val="16"/>
              </w:rPr>
              <w:t>29/09/2021</w:t>
            </w:r>
          </w:p>
        </w:tc>
        <w:tc>
          <w:tcPr>
            <w:tcW w:w="7187" w:type="dxa"/>
            <w:tcBorders>
              <w:top w:val="single" w:sz="4" w:space="0" w:color="000000"/>
              <w:left w:val="single" w:sz="4" w:space="0" w:color="000000"/>
              <w:bottom w:val="single" w:sz="4" w:space="0" w:color="000000"/>
              <w:right w:val="single" w:sz="4" w:space="0" w:color="000000"/>
            </w:tcBorders>
          </w:tcPr>
          <w:p w14:paraId="77B25EDB" w14:textId="77777777" w:rsidR="006A324D" w:rsidRDefault="003C7724">
            <w:pPr>
              <w:jc w:val="both"/>
              <w:rPr>
                <w:rFonts w:ascii="Arial" w:eastAsia="Arial" w:hAnsi="Arial" w:cs="Arial"/>
                <w:sz w:val="16"/>
                <w:szCs w:val="16"/>
              </w:rPr>
            </w:pPr>
            <w:r>
              <w:rPr>
                <w:rFonts w:ascii="Arial" w:eastAsia="Arial" w:hAnsi="Arial" w:cs="Arial"/>
                <w:sz w:val="16"/>
                <w:szCs w:val="16"/>
              </w:rPr>
              <w:t xml:space="preserve">Se ajusta según reglamento SARC: se modificó la codificación CA-P-007 a CAPR007. </w:t>
            </w:r>
          </w:p>
        </w:tc>
        <w:tc>
          <w:tcPr>
            <w:tcW w:w="1006" w:type="dxa"/>
            <w:tcBorders>
              <w:top w:val="single" w:sz="4" w:space="0" w:color="000000"/>
              <w:left w:val="single" w:sz="4" w:space="0" w:color="000000"/>
              <w:bottom w:val="single" w:sz="4" w:space="0" w:color="000000"/>
              <w:right w:val="single" w:sz="4" w:space="0" w:color="000000"/>
            </w:tcBorders>
            <w:vAlign w:val="center"/>
          </w:tcPr>
          <w:p w14:paraId="10EDFA9D" w14:textId="77777777" w:rsidR="006A324D" w:rsidRDefault="003C7724">
            <w:pPr>
              <w:jc w:val="center"/>
              <w:rPr>
                <w:rFonts w:ascii="Arial" w:eastAsia="Arial" w:hAnsi="Arial" w:cs="Arial"/>
                <w:sz w:val="16"/>
                <w:szCs w:val="16"/>
              </w:rPr>
            </w:pPr>
            <w:r>
              <w:rPr>
                <w:rFonts w:ascii="Arial" w:eastAsia="Arial" w:hAnsi="Arial" w:cs="Arial"/>
                <w:sz w:val="16"/>
                <w:szCs w:val="16"/>
              </w:rPr>
              <w:t>02</w:t>
            </w:r>
          </w:p>
        </w:tc>
      </w:tr>
    </w:tbl>
    <w:p w14:paraId="588AA3B2" w14:textId="77777777" w:rsidR="006A324D" w:rsidRDefault="006A324D">
      <w:pPr>
        <w:jc w:val="both"/>
        <w:rPr>
          <w:rFonts w:ascii="Arial" w:eastAsia="Arial" w:hAnsi="Arial" w:cs="Arial"/>
          <w:sz w:val="24"/>
          <w:szCs w:val="24"/>
        </w:rPr>
      </w:pPr>
    </w:p>
    <w:sectPr w:rsidR="006A324D" w:rsidSect="00105EEF">
      <w:headerReference w:type="even" r:id="rId8"/>
      <w:headerReference w:type="default" r:id="rId9"/>
      <w:footerReference w:type="even" r:id="rId10"/>
      <w:footerReference w:type="default" r:id="rId11"/>
      <w:headerReference w:type="first" r:id="rId12"/>
      <w:footerReference w:type="first" r:id="rId13"/>
      <w:pgSz w:w="12242" w:h="15842"/>
      <w:pgMar w:top="1440" w:right="1440" w:bottom="1440" w:left="1440" w:header="1440" w:footer="144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7CD65" w14:textId="77777777" w:rsidR="003C7724" w:rsidRDefault="003C7724">
      <w:r>
        <w:separator/>
      </w:r>
    </w:p>
  </w:endnote>
  <w:endnote w:type="continuationSeparator" w:id="0">
    <w:p w14:paraId="466DBD64" w14:textId="77777777" w:rsidR="003C7724" w:rsidRDefault="003C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F8B18" w14:textId="77777777" w:rsidR="00105EEF" w:rsidRDefault="00105EE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0905" w14:textId="77777777" w:rsidR="006A324D" w:rsidRDefault="003C7724">
    <w:pPr>
      <w:pBdr>
        <w:top w:val="nil"/>
        <w:left w:val="nil"/>
        <w:bottom w:val="nil"/>
        <w:right w:val="nil"/>
        <w:between w:val="nil"/>
      </w:pBdr>
      <w:tabs>
        <w:tab w:val="center" w:pos="4419"/>
        <w:tab w:val="right" w:pos="8838"/>
      </w:tabs>
      <w:jc w:val="center"/>
      <w:rPr>
        <w:rFonts w:ascii="Arial Narrow" w:eastAsia="Arial Narrow" w:hAnsi="Arial Narrow" w:cs="Arial Narrow"/>
        <w:color w:val="000000"/>
        <w:sz w:val="22"/>
        <w:szCs w:val="22"/>
      </w:rPr>
    </w:pPr>
    <w:bookmarkStart w:id="6" w:name="_heading=h.3dy6vkm" w:colFirst="0" w:colLast="0"/>
    <w:bookmarkEnd w:id="6"/>
    <w:r>
      <w:rPr>
        <w:rFonts w:ascii="Arial Narrow" w:eastAsia="Arial Narrow" w:hAnsi="Arial Narrow" w:cs="Arial Narrow"/>
        <w:color w:val="00000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w:t>
    </w:r>
    <w:r>
      <w:rPr>
        <w:rFonts w:ascii="Arial Narrow" w:eastAsia="Arial Narrow" w:hAnsi="Arial Narrow" w:cs="Arial Narrow"/>
        <w:color w:val="000000"/>
        <w:sz w:val="16"/>
        <w:szCs w:val="16"/>
      </w:rPr>
      <w:t>to no controlado y su uso indebido no es de responsabilidad de COOPEAIPE.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5FF99" w14:textId="77777777" w:rsidR="00105EEF" w:rsidRDefault="00105E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CD7D" w14:textId="77777777" w:rsidR="003C7724" w:rsidRDefault="003C7724">
      <w:r>
        <w:separator/>
      </w:r>
    </w:p>
  </w:footnote>
  <w:footnote w:type="continuationSeparator" w:id="0">
    <w:p w14:paraId="0D8CF833" w14:textId="77777777" w:rsidR="003C7724" w:rsidRDefault="003C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134C" w14:textId="77777777" w:rsidR="00105EEF" w:rsidRDefault="00105EE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2"/>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3"/>
      <w:gridCol w:w="818"/>
      <w:gridCol w:w="1073"/>
      <w:gridCol w:w="856"/>
      <w:gridCol w:w="314"/>
      <w:gridCol w:w="895"/>
      <w:gridCol w:w="1086"/>
      <w:gridCol w:w="779"/>
      <w:gridCol w:w="1028"/>
    </w:tblGrid>
    <w:tr w:rsidR="006A324D" w14:paraId="48854AEE" w14:textId="77777777">
      <w:trPr>
        <w:trHeight w:val="56"/>
      </w:trPr>
      <w:tc>
        <w:tcPr>
          <w:tcW w:w="2503" w:type="dxa"/>
          <w:vMerge w:val="restart"/>
          <w:vAlign w:val="center"/>
        </w:tcPr>
        <w:p w14:paraId="2DFC7B28" w14:textId="77777777" w:rsidR="006A324D" w:rsidRDefault="003C7724">
          <w:pPr>
            <w:rPr>
              <w:rFonts w:ascii="Arial Narrow" w:eastAsia="Arial Narrow" w:hAnsi="Arial Narrow" w:cs="Arial Narrow"/>
            </w:rPr>
          </w:pPr>
          <w:bookmarkStart w:id="5" w:name="_heading=h.tyjcwt" w:colFirst="0" w:colLast="0"/>
          <w:bookmarkEnd w:id="5"/>
          <w:r>
            <w:rPr>
              <w:noProof/>
            </w:rPr>
            <w:drawing>
              <wp:anchor distT="0" distB="0" distL="114300" distR="114300" simplePos="0" relativeHeight="251658240" behindDoc="0" locked="0" layoutInCell="1" hidden="0" allowOverlap="1" wp14:anchorId="45E6E37A" wp14:editId="45B1A6DF">
                <wp:simplePos x="0" y="0"/>
                <wp:positionH relativeFrom="column">
                  <wp:posOffset>51437</wp:posOffset>
                </wp:positionH>
                <wp:positionV relativeFrom="paragraph">
                  <wp:posOffset>-46989</wp:posOffset>
                </wp:positionV>
                <wp:extent cx="1387475" cy="349885"/>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87475" cy="349885"/>
                        </a:xfrm>
                        <a:prstGeom prst="rect">
                          <a:avLst/>
                        </a:prstGeom>
                        <a:ln/>
                      </pic:spPr>
                    </pic:pic>
                  </a:graphicData>
                </a:graphic>
              </wp:anchor>
            </w:drawing>
          </w:r>
        </w:p>
      </w:tc>
      <w:tc>
        <w:tcPr>
          <w:tcW w:w="1891" w:type="dxa"/>
          <w:gridSpan w:val="2"/>
          <w:vAlign w:val="center"/>
        </w:tcPr>
        <w:p w14:paraId="4A0D83A0" w14:textId="77777777" w:rsidR="006A324D" w:rsidRDefault="003C7724">
          <w:pPr>
            <w:rPr>
              <w:rFonts w:ascii="Arial Narrow" w:eastAsia="Arial Narrow" w:hAnsi="Arial Narrow" w:cs="Arial Narrow"/>
              <w:b/>
            </w:rPr>
          </w:pPr>
          <w:r>
            <w:rPr>
              <w:rFonts w:ascii="Arial Narrow" w:eastAsia="Arial Narrow" w:hAnsi="Arial Narrow" w:cs="Arial Narrow"/>
              <w:b/>
            </w:rPr>
            <w:t>PROCESO</w:t>
          </w:r>
        </w:p>
      </w:tc>
      <w:tc>
        <w:tcPr>
          <w:tcW w:w="4958" w:type="dxa"/>
          <w:gridSpan w:val="6"/>
          <w:vAlign w:val="center"/>
        </w:tcPr>
        <w:p w14:paraId="037F5FA7" w14:textId="77777777" w:rsidR="006A324D" w:rsidRDefault="003C7724">
          <w:pPr>
            <w:rPr>
              <w:rFonts w:ascii="Arial Narrow" w:eastAsia="Arial Narrow" w:hAnsi="Arial Narrow" w:cs="Arial Narrow"/>
              <w:b/>
            </w:rPr>
          </w:pPr>
          <w:r>
            <w:rPr>
              <w:rFonts w:ascii="Arial Narrow" w:eastAsia="Arial Narrow" w:hAnsi="Arial Narrow" w:cs="Arial Narrow"/>
              <w:b/>
            </w:rPr>
            <w:t>GESTIÓN DE CARTERA</w:t>
          </w:r>
        </w:p>
      </w:tc>
    </w:tr>
    <w:tr w:rsidR="006A324D" w14:paraId="636FE8CC" w14:textId="77777777">
      <w:trPr>
        <w:trHeight w:val="56"/>
      </w:trPr>
      <w:tc>
        <w:tcPr>
          <w:tcW w:w="2503" w:type="dxa"/>
          <w:vMerge/>
          <w:vAlign w:val="center"/>
        </w:tcPr>
        <w:p w14:paraId="3C986E51" w14:textId="77777777" w:rsidR="006A324D" w:rsidRDefault="006A324D">
          <w:pPr>
            <w:widowControl w:val="0"/>
            <w:pBdr>
              <w:top w:val="nil"/>
              <w:left w:val="nil"/>
              <w:bottom w:val="nil"/>
              <w:right w:val="nil"/>
              <w:between w:val="nil"/>
            </w:pBdr>
            <w:spacing w:line="276" w:lineRule="auto"/>
            <w:rPr>
              <w:rFonts w:ascii="Arial Narrow" w:eastAsia="Arial Narrow" w:hAnsi="Arial Narrow" w:cs="Arial Narrow"/>
              <w:b/>
            </w:rPr>
          </w:pPr>
        </w:p>
      </w:tc>
      <w:tc>
        <w:tcPr>
          <w:tcW w:w="1891" w:type="dxa"/>
          <w:gridSpan w:val="2"/>
          <w:vAlign w:val="center"/>
        </w:tcPr>
        <w:p w14:paraId="3ECCFBCF" w14:textId="77777777" w:rsidR="006A324D" w:rsidRDefault="003C7724">
          <w:pPr>
            <w:rPr>
              <w:rFonts w:ascii="Arial Narrow" w:eastAsia="Arial Narrow" w:hAnsi="Arial Narrow" w:cs="Arial Narrow"/>
              <w:b/>
            </w:rPr>
          </w:pPr>
          <w:r>
            <w:rPr>
              <w:rFonts w:ascii="Arial Narrow" w:eastAsia="Arial Narrow" w:hAnsi="Arial Narrow" w:cs="Arial Narrow"/>
              <w:b/>
            </w:rPr>
            <w:t>PROCEDIMIENTO</w:t>
          </w:r>
        </w:p>
      </w:tc>
      <w:tc>
        <w:tcPr>
          <w:tcW w:w="4958" w:type="dxa"/>
          <w:gridSpan w:val="6"/>
          <w:vAlign w:val="center"/>
        </w:tcPr>
        <w:p w14:paraId="58E4FAA1" w14:textId="77777777" w:rsidR="006A324D" w:rsidRDefault="003C7724">
          <w:pPr>
            <w:rPr>
              <w:rFonts w:ascii="Arial Narrow" w:eastAsia="Arial Narrow" w:hAnsi="Arial Narrow" w:cs="Arial Narrow"/>
              <w:b/>
            </w:rPr>
          </w:pPr>
          <w:r>
            <w:rPr>
              <w:rFonts w:ascii="Arial Narrow" w:eastAsia="Arial Narrow" w:hAnsi="Arial Narrow" w:cs="Arial Narrow"/>
              <w:b/>
            </w:rPr>
            <w:t>EVALUACIÓN DE LA CARTERA</w:t>
          </w:r>
        </w:p>
      </w:tc>
    </w:tr>
    <w:tr w:rsidR="006A324D" w14:paraId="55FC0FF2" w14:textId="77777777">
      <w:trPr>
        <w:trHeight w:val="56"/>
      </w:trPr>
      <w:tc>
        <w:tcPr>
          <w:tcW w:w="2503" w:type="dxa"/>
          <w:vMerge/>
          <w:vAlign w:val="center"/>
        </w:tcPr>
        <w:p w14:paraId="5742D30B" w14:textId="77777777" w:rsidR="006A324D" w:rsidRDefault="006A324D">
          <w:pPr>
            <w:widowControl w:val="0"/>
            <w:pBdr>
              <w:top w:val="nil"/>
              <w:left w:val="nil"/>
              <w:bottom w:val="nil"/>
              <w:right w:val="nil"/>
              <w:between w:val="nil"/>
            </w:pBdr>
            <w:spacing w:line="276" w:lineRule="auto"/>
            <w:rPr>
              <w:rFonts w:ascii="Arial Narrow" w:eastAsia="Arial Narrow" w:hAnsi="Arial Narrow" w:cs="Arial Narrow"/>
              <w:b/>
            </w:rPr>
          </w:pPr>
        </w:p>
      </w:tc>
      <w:tc>
        <w:tcPr>
          <w:tcW w:w="818" w:type="dxa"/>
          <w:vAlign w:val="center"/>
        </w:tcPr>
        <w:p w14:paraId="39A72D48" w14:textId="77777777" w:rsidR="006A324D" w:rsidRDefault="003C7724">
          <w:pPr>
            <w:rPr>
              <w:rFonts w:ascii="Arial Narrow" w:eastAsia="Arial Narrow" w:hAnsi="Arial Narrow" w:cs="Arial Narrow"/>
              <w:b/>
            </w:rPr>
          </w:pPr>
          <w:r>
            <w:rPr>
              <w:rFonts w:ascii="Arial Narrow" w:eastAsia="Arial Narrow" w:hAnsi="Arial Narrow" w:cs="Arial Narrow"/>
              <w:b/>
            </w:rPr>
            <w:t>Código</w:t>
          </w:r>
        </w:p>
      </w:tc>
      <w:tc>
        <w:tcPr>
          <w:tcW w:w="1073" w:type="dxa"/>
          <w:vAlign w:val="center"/>
        </w:tcPr>
        <w:p w14:paraId="5D80E64A" w14:textId="7058F535" w:rsidR="006A324D" w:rsidRDefault="003C7724">
          <w:pPr>
            <w:rPr>
              <w:rFonts w:ascii="Arial Narrow" w:eastAsia="Arial Narrow" w:hAnsi="Arial Narrow" w:cs="Arial Narrow"/>
              <w:b/>
            </w:rPr>
          </w:pPr>
          <w:r>
            <w:rPr>
              <w:rFonts w:ascii="Arial Narrow" w:eastAsia="Arial Narrow" w:hAnsi="Arial Narrow" w:cs="Arial Narrow"/>
              <w:b/>
            </w:rPr>
            <w:t>CA-PO-</w:t>
          </w:r>
          <w:r>
            <w:rPr>
              <w:rFonts w:ascii="Arial Narrow" w:eastAsia="Arial Narrow" w:hAnsi="Arial Narrow" w:cs="Arial Narrow"/>
              <w:b/>
            </w:rPr>
            <w:t>7</w:t>
          </w:r>
        </w:p>
      </w:tc>
      <w:tc>
        <w:tcPr>
          <w:tcW w:w="856" w:type="dxa"/>
          <w:vAlign w:val="center"/>
        </w:tcPr>
        <w:p w14:paraId="350F9B7F" w14:textId="77777777" w:rsidR="006A324D" w:rsidRDefault="003C7724">
          <w:pPr>
            <w:rPr>
              <w:rFonts w:ascii="Arial Narrow" w:eastAsia="Arial Narrow" w:hAnsi="Arial Narrow" w:cs="Arial Narrow"/>
              <w:b/>
            </w:rPr>
          </w:pPr>
          <w:r>
            <w:rPr>
              <w:rFonts w:ascii="Arial Narrow" w:eastAsia="Arial Narrow" w:hAnsi="Arial Narrow" w:cs="Arial Narrow"/>
              <w:b/>
            </w:rPr>
            <w:t>Versión</w:t>
          </w:r>
        </w:p>
      </w:tc>
      <w:tc>
        <w:tcPr>
          <w:tcW w:w="314" w:type="dxa"/>
          <w:vAlign w:val="center"/>
        </w:tcPr>
        <w:p w14:paraId="32CD1F38" w14:textId="77777777" w:rsidR="006A324D" w:rsidRDefault="003C7724">
          <w:pPr>
            <w:rPr>
              <w:rFonts w:ascii="Arial Narrow" w:eastAsia="Arial Narrow" w:hAnsi="Arial Narrow" w:cs="Arial Narrow"/>
              <w:b/>
            </w:rPr>
          </w:pPr>
          <w:r>
            <w:rPr>
              <w:rFonts w:ascii="Arial Narrow" w:eastAsia="Arial Narrow" w:hAnsi="Arial Narrow" w:cs="Arial Narrow"/>
              <w:b/>
            </w:rPr>
            <w:t>2</w:t>
          </w:r>
        </w:p>
      </w:tc>
      <w:tc>
        <w:tcPr>
          <w:tcW w:w="895" w:type="dxa"/>
          <w:vAlign w:val="center"/>
        </w:tcPr>
        <w:p w14:paraId="02337725" w14:textId="77777777" w:rsidR="006A324D" w:rsidRDefault="003C7724">
          <w:pPr>
            <w:rPr>
              <w:rFonts w:ascii="Arial Narrow" w:eastAsia="Arial Narrow" w:hAnsi="Arial Narrow" w:cs="Arial Narrow"/>
              <w:b/>
            </w:rPr>
          </w:pPr>
          <w:r>
            <w:rPr>
              <w:rFonts w:ascii="Arial Narrow" w:eastAsia="Arial Narrow" w:hAnsi="Arial Narrow" w:cs="Arial Narrow"/>
              <w:b/>
            </w:rPr>
            <w:t>Emisión</w:t>
          </w:r>
        </w:p>
      </w:tc>
      <w:tc>
        <w:tcPr>
          <w:tcW w:w="1086" w:type="dxa"/>
          <w:vAlign w:val="center"/>
        </w:tcPr>
        <w:p w14:paraId="0B6E8B14" w14:textId="77777777" w:rsidR="006A324D" w:rsidRDefault="003C7724">
          <w:pPr>
            <w:rPr>
              <w:rFonts w:ascii="Arial Narrow" w:eastAsia="Arial Narrow" w:hAnsi="Arial Narrow" w:cs="Arial Narrow"/>
              <w:b/>
            </w:rPr>
          </w:pPr>
          <w:r>
            <w:rPr>
              <w:rFonts w:ascii="Arial Narrow" w:eastAsia="Arial Narrow" w:hAnsi="Arial Narrow" w:cs="Arial Narrow"/>
              <w:b/>
            </w:rPr>
            <w:t>29/09/2021</w:t>
          </w:r>
        </w:p>
      </w:tc>
      <w:tc>
        <w:tcPr>
          <w:tcW w:w="779" w:type="dxa"/>
          <w:vAlign w:val="center"/>
        </w:tcPr>
        <w:p w14:paraId="2ADA406E" w14:textId="77777777" w:rsidR="006A324D" w:rsidRDefault="003C7724">
          <w:pPr>
            <w:rPr>
              <w:rFonts w:ascii="Arial Narrow" w:eastAsia="Arial Narrow" w:hAnsi="Arial Narrow" w:cs="Arial Narrow"/>
              <w:b/>
            </w:rPr>
          </w:pPr>
          <w:r>
            <w:rPr>
              <w:rFonts w:ascii="Arial Narrow" w:eastAsia="Arial Narrow" w:hAnsi="Arial Narrow" w:cs="Arial Narrow"/>
              <w:b/>
            </w:rPr>
            <w:t>pagina</w:t>
          </w:r>
        </w:p>
      </w:tc>
      <w:tc>
        <w:tcPr>
          <w:tcW w:w="1028" w:type="dxa"/>
          <w:vAlign w:val="center"/>
        </w:tcPr>
        <w:p w14:paraId="11E69558" w14:textId="77777777" w:rsidR="006A324D" w:rsidRDefault="003C7724">
          <w:pPr>
            <w:pBdr>
              <w:top w:val="nil"/>
              <w:left w:val="nil"/>
              <w:bottom w:val="nil"/>
              <w:right w:val="nil"/>
              <w:between w:val="nil"/>
            </w:pBdr>
            <w:tabs>
              <w:tab w:val="center" w:pos="4252"/>
              <w:tab w:val="right" w:pos="8504"/>
            </w:tabs>
            <w:rPr>
              <w:rFonts w:ascii="Arial Narrow" w:eastAsia="Arial Narrow" w:hAnsi="Arial Narrow" w:cs="Arial Narrow"/>
              <w:b/>
              <w:color w:val="000000"/>
            </w:rPr>
          </w:pPr>
          <w:r>
            <w:rPr>
              <w:rFonts w:ascii="Arial Narrow" w:eastAsia="Arial Narrow" w:hAnsi="Arial Narrow" w:cs="Arial Narrow"/>
              <w:b/>
              <w:color w:val="000000"/>
            </w:rPr>
            <w:t xml:space="preserve"> </w:t>
          </w:r>
          <w:r>
            <w:rPr>
              <w:rFonts w:ascii="Arial Narrow" w:eastAsia="Arial Narrow" w:hAnsi="Arial Narrow" w:cs="Arial Narrow"/>
              <w:b/>
              <w:color w:val="000000"/>
            </w:rPr>
            <w:fldChar w:fldCharType="begin"/>
          </w:r>
          <w:r>
            <w:rPr>
              <w:rFonts w:ascii="Arial Narrow" w:eastAsia="Arial Narrow" w:hAnsi="Arial Narrow" w:cs="Arial Narrow"/>
              <w:b/>
              <w:color w:val="000000"/>
            </w:rPr>
            <w:instrText>PAGE</w:instrText>
          </w:r>
          <w:r>
            <w:rPr>
              <w:rFonts w:ascii="Arial Narrow" w:eastAsia="Arial Narrow" w:hAnsi="Arial Narrow" w:cs="Arial Narrow"/>
              <w:b/>
              <w:color w:val="000000"/>
            </w:rPr>
            <w:fldChar w:fldCharType="separate"/>
          </w:r>
          <w:r w:rsidR="00105EEF">
            <w:rPr>
              <w:rFonts w:ascii="Arial Narrow" w:eastAsia="Arial Narrow" w:hAnsi="Arial Narrow" w:cs="Arial Narrow"/>
              <w:b/>
              <w:noProof/>
              <w:color w:val="000000"/>
            </w:rPr>
            <w:t>1</w:t>
          </w:r>
          <w:r>
            <w:rPr>
              <w:rFonts w:ascii="Arial Narrow" w:eastAsia="Arial Narrow" w:hAnsi="Arial Narrow" w:cs="Arial Narrow"/>
              <w:b/>
              <w:color w:val="000000"/>
            </w:rPr>
            <w:fldChar w:fldCharType="end"/>
          </w:r>
          <w:r>
            <w:rPr>
              <w:rFonts w:ascii="Arial Narrow" w:eastAsia="Arial Narrow" w:hAnsi="Arial Narrow" w:cs="Arial Narrow"/>
              <w:b/>
              <w:color w:val="000000"/>
            </w:rPr>
            <w:t xml:space="preserve"> de </w:t>
          </w:r>
          <w:r>
            <w:rPr>
              <w:rFonts w:ascii="Arial Narrow" w:eastAsia="Arial Narrow" w:hAnsi="Arial Narrow" w:cs="Arial Narrow"/>
              <w:b/>
              <w:color w:val="000000"/>
            </w:rPr>
            <w:fldChar w:fldCharType="begin"/>
          </w:r>
          <w:r>
            <w:rPr>
              <w:rFonts w:ascii="Arial Narrow" w:eastAsia="Arial Narrow" w:hAnsi="Arial Narrow" w:cs="Arial Narrow"/>
              <w:b/>
              <w:color w:val="000000"/>
            </w:rPr>
            <w:instrText>NUMPAGES</w:instrText>
          </w:r>
          <w:r>
            <w:rPr>
              <w:rFonts w:ascii="Arial Narrow" w:eastAsia="Arial Narrow" w:hAnsi="Arial Narrow" w:cs="Arial Narrow"/>
              <w:b/>
              <w:color w:val="000000"/>
            </w:rPr>
            <w:fldChar w:fldCharType="separate"/>
          </w:r>
          <w:r w:rsidR="00105EEF">
            <w:rPr>
              <w:rFonts w:ascii="Arial Narrow" w:eastAsia="Arial Narrow" w:hAnsi="Arial Narrow" w:cs="Arial Narrow"/>
              <w:b/>
              <w:noProof/>
              <w:color w:val="000000"/>
            </w:rPr>
            <w:t>2</w:t>
          </w:r>
          <w:r>
            <w:rPr>
              <w:rFonts w:ascii="Arial Narrow" w:eastAsia="Arial Narrow" w:hAnsi="Arial Narrow" w:cs="Arial Narrow"/>
              <w:b/>
              <w:color w:val="000000"/>
            </w:rPr>
            <w:fldChar w:fldCharType="end"/>
          </w:r>
        </w:p>
      </w:tc>
    </w:tr>
  </w:tbl>
  <w:p w14:paraId="41FC973C" w14:textId="77777777" w:rsidR="006A324D" w:rsidRDefault="006A324D">
    <w:pPr>
      <w:pBdr>
        <w:top w:val="nil"/>
        <w:left w:val="nil"/>
        <w:bottom w:val="nil"/>
        <w:right w:val="nil"/>
        <w:between w:val="nil"/>
      </w:pBdr>
      <w:tabs>
        <w:tab w:val="center" w:pos="4252"/>
        <w:tab w:val="right" w:pos="8504"/>
        <w:tab w:val="left" w:pos="3168"/>
      </w:tabs>
      <w:rPr>
        <w:rFonts w:ascii="Arial Narrow" w:eastAsia="Arial Narrow" w:hAnsi="Arial Narrow" w:cs="Arial Narrow"/>
        <w:b/>
        <w:color w:val="00008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E88F" w14:textId="77777777" w:rsidR="00105EEF" w:rsidRDefault="00105E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E6899"/>
    <w:multiLevelType w:val="multilevel"/>
    <w:tmpl w:val="26EEF4B2"/>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1" w15:restartNumberingAfterBreak="0">
    <w:nsid w:val="69053123"/>
    <w:multiLevelType w:val="multilevel"/>
    <w:tmpl w:val="A82C16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24D"/>
    <w:rsid w:val="00105EEF"/>
    <w:rsid w:val="003C7724"/>
    <w:rsid w:val="006A32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345C50F"/>
  <w15:docId w15:val="{9F4B1693-9765-42AF-9F11-D8835C70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B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uiPriority w:val="9"/>
    <w:semiHidden/>
    <w:unhideWhenUsed/>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styleId="Sinespaciado">
    <w:name w:val="No Spacing"/>
    <w:uiPriority w:val="1"/>
    <w:qFormat/>
    <w:rsid w:val="00113F54"/>
    <w:rPr>
      <w:rFonts w:asciiTheme="minorHAnsi" w:eastAsiaTheme="minorHAnsi" w:hAnsiTheme="minorHAnsi" w:cstheme="minorBidi"/>
      <w:sz w:val="22"/>
      <w:szCs w:val="22"/>
      <w:lang w:eastAsia="en-US"/>
    </w:rPr>
  </w:style>
  <w:style w:type="paragraph" w:customStyle="1" w:styleId="Piedepgina1">
    <w:name w:val="Pie de página1"/>
    <w:basedOn w:val="Normal"/>
    <w:next w:val="Piedepgina"/>
    <w:uiPriority w:val="99"/>
    <w:unhideWhenUsed/>
    <w:rsid w:val="00C5339F"/>
    <w:pPr>
      <w:tabs>
        <w:tab w:val="center" w:pos="4419"/>
        <w:tab w:val="right" w:pos="8838"/>
      </w:tabs>
      <w:jc w:val="both"/>
    </w:pPr>
    <w:rPr>
      <w:rFonts w:ascii="Arial Narrow" w:hAnsi="Arial Narrow" w:cs="Arial"/>
      <w:sz w:val="22"/>
      <w:szCs w:val="22"/>
      <w:lang w:val="es-419" w:eastAsia="en-US"/>
    </w:rPr>
  </w:style>
  <w:style w:type="paragraph" w:customStyle="1" w:styleId="Default">
    <w:name w:val="Default"/>
    <w:rsid w:val="000F7DCC"/>
    <w:pPr>
      <w:autoSpaceDE w:val="0"/>
      <w:autoSpaceDN w:val="0"/>
      <w:adjustRightInd w:val="0"/>
    </w:pPr>
    <w:rPr>
      <w:rFonts w:ascii="Arial" w:hAnsi="Arial" w:cs="Arial"/>
      <w:color w:val="00000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IZGOkeMQ7brlfxEk3UXccEn3g==">AMUW2mU4zwuvUkg5Ppz6f3hE1xQwXPNq6+RvTIL1lrtJs7RHZkooCCEOZwgOiArkA9WhRFcSLX7lAFI56Bn4RMUI8Mgc/XX3d8GLNF0XC3/RF18VE+CERHs2ghUsCse0wNE12glLj3xMzr/qwWbTX+gTgkNedX1tPuUjn1tN6tJ5vPcoaJS3xXm721o2ZX4+RmCZ5SAp6SoWJTlmTY/suN7No/6jPOHRTw==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1453</Words>
  <Characters>7995</Characters>
  <Application>Microsoft Office Word</Application>
  <DocSecurity>0</DocSecurity>
  <Lines>66</Lines>
  <Paragraphs>18</Paragraphs>
  <ScaleCrop>false</ScaleCrop>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dcterms:created xsi:type="dcterms:W3CDTF">2021-11-04T17:27:00Z</dcterms:created>
  <dcterms:modified xsi:type="dcterms:W3CDTF">2022-02-03T00:54:00Z</dcterms:modified>
</cp:coreProperties>
</file>