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E304E9" w:rsidRPr="00B42E08" w14:paraId="518A83CA" w14:textId="77777777" w:rsidTr="00C73D81">
        <w:trPr>
          <w:trHeight w:val="102"/>
        </w:trPr>
        <w:tc>
          <w:tcPr>
            <w:tcW w:w="1610" w:type="pct"/>
            <w:gridSpan w:val="2"/>
            <w:shd w:val="clear" w:color="auto" w:fill="auto"/>
            <w:hideMark/>
          </w:tcPr>
          <w:p w14:paraId="0A134D77" w14:textId="77777777" w:rsidR="00E304E9" w:rsidRPr="00B42E08" w:rsidRDefault="00E304E9" w:rsidP="00B42E08">
            <w:pPr>
              <w:ind w:left="1416" w:hanging="1416"/>
              <w:jc w:val="both"/>
              <w:rPr>
                <w:rFonts w:ascii="Arial" w:eastAsia="Calibri" w:hAnsi="Arial" w:cs="Arial"/>
                <w:b/>
                <w:bCs/>
                <w:sz w:val="14"/>
                <w:szCs w:val="14"/>
                <w:lang w:eastAsia="en-US"/>
              </w:rPr>
            </w:pPr>
            <w:bookmarkStart w:id="0" w:name="_Hlk54964152"/>
            <w:r w:rsidRPr="00B42E08">
              <w:rPr>
                <w:rFonts w:ascii="Arial" w:eastAsia="Calibri" w:hAnsi="Arial" w:cs="Arial"/>
                <w:b/>
                <w:bCs/>
                <w:sz w:val="14"/>
                <w:szCs w:val="14"/>
                <w:lang w:eastAsia="en-US"/>
              </w:rPr>
              <w:t>Elaboro:</w:t>
            </w:r>
          </w:p>
        </w:tc>
        <w:tc>
          <w:tcPr>
            <w:tcW w:w="1921" w:type="pct"/>
            <w:gridSpan w:val="2"/>
            <w:shd w:val="clear" w:color="auto" w:fill="auto"/>
            <w:hideMark/>
          </w:tcPr>
          <w:p w14:paraId="218F8C20" w14:textId="77777777" w:rsidR="00E304E9" w:rsidRPr="00B42E08" w:rsidRDefault="00E304E9" w:rsidP="00B42E08">
            <w:pPr>
              <w:jc w:val="both"/>
              <w:rPr>
                <w:rFonts w:ascii="Arial" w:eastAsia="Calibri" w:hAnsi="Arial" w:cs="Arial"/>
                <w:b/>
                <w:bCs/>
                <w:sz w:val="14"/>
                <w:szCs w:val="14"/>
                <w:lang w:eastAsia="en-US"/>
              </w:rPr>
            </w:pPr>
            <w:r w:rsidRPr="00B42E08">
              <w:rPr>
                <w:rFonts w:ascii="Arial" w:eastAsia="Calibri" w:hAnsi="Arial" w:cs="Arial"/>
                <w:b/>
                <w:bCs/>
                <w:sz w:val="14"/>
                <w:szCs w:val="14"/>
                <w:lang w:val="es-ES_tradnl"/>
              </w:rPr>
              <w:t>Reviso:</w:t>
            </w:r>
          </w:p>
        </w:tc>
        <w:tc>
          <w:tcPr>
            <w:tcW w:w="1469" w:type="pct"/>
            <w:gridSpan w:val="2"/>
            <w:shd w:val="clear" w:color="auto" w:fill="auto"/>
            <w:hideMark/>
          </w:tcPr>
          <w:p w14:paraId="1AFF5C74" w14:textId="77777777" w:rsidR="00E304E9" w:rsidRPr="00B42E08" w:rsidRDefault="00E304E9" w:rsidP="00B42E08">
            <w:pPr>
              <w:jc w:val="both"/>
              <w:rPr>
                <w:rFonts w:ascii="Arial" w:eastAsia="Calibri" w:hAnsi="Arial" w:cs="Arial"/>
                <w:b/>
                <w:sz w:val="14"/>
                <w:szCs w:val="14"/>
                <w:lang w:val="es-ES_tradnl"/>
              </w:rPr>
            </w:pPr>
            <w:r w:rsidRPr="00B42E08">
              <w:rPr>
                <w:rFonts w:ascii="Arial" w:eastAsia="Calibri" w:hAnsi="Arial" w:cs="Arial"/>
                <w:b/>
                <w:sz w:val="14"/>
                <w:szCs w:val="14"/>
                <w:lang w:val="es-ES_tradnl"/>
              </w:rPr>
              <w:t>Aprobó</w:t>
            </w:r>
            <w:r w:rsidRPr="00B42E08">
              <w:rPr>
                <w:rFonts w:ascii="Arial" w:eastAsia="Calibri" w:hAnsi="Arial" w:cs="Arial"/>
                <w:sz w:val="14"/>
                <w:szCs w:val="14"/>
                <w:lang w:val="es-ES_tradnl" w:eastAsia="en-US"/>
              </w:rPr>
              <w:t xml:space="preserve"> </w:t>
            </w:r>
          </w:p>
        </w:tc>
      </w:tr>
      <w:tr w:rsidR="00E304E9" w:rsidRPr="00B42E08" w14:paraId="66160815" w14:textId="77777777" w:rsidTr="00C73D81">
        <w:trPr>
          <w:trHeight w:val="64"/>
        </w:trPr>
        <w:tc>
          <w:tcPr>
            <w:tcW w:w="442" w:type="pct"/>
            <w:shd w:val="clear" w:color="auto" w:fill="auto"/>
            <w:hideMark/>
          </w:tcPr>
          <w:p w14:paraId="49EEB852"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Nombre:</w:t>
            </w:r>
          </w:p>
        </w:tc>
        <w:tc>
          <w:tcPr>
            <w:tcW w:w="1168" w:type="pct"/>
            <w:shd w:val="clear" w:color="auto" w:fill="auto"/>
          </w:tcPr>
          <w:p w14:paraId="6621F6C1"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Edward Izquierdo Arizmendi</w:t>
            </w:r>
          </w:p>
        </w:tc>
        <w:tc>
          <w:tcPr>
            <w:tcW w:w="444" w:type="pct"/>
            <w:shd w:val="clear" w:color="auto" w:fill="auto"/>
            <w:hideMark/>
          </w:tcPr>
          <w:p w14:paraId="40044991"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Nombre:</w:t>
            </w:r>
          </w:p>
        </w:tc>
        <w:tc>
          <w:tcPr>
            <w:tcW w:w="1477" w:type="pct"/>
            <w:shd w:val="clear" w:color="auto" w:fill="auto"/>
          </w:tcPr>
          <w:p w14:paraId="7F871863"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Jaime Cárdenas</w:t>
            </w:r>
          </w:p>
        </w:tc>
        <w:tc>
          <w:tcPr>
            <w:tcW w:w="441" w:type="pct"/>
            <w:shd w:val="clear" w:color="auto" w:fill="auto"/>
            <w:hideMark/>
          </w:tcPr>
          <w:p w14:paraId="7CBF9090"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Nombre:</w:t>
            </w:r>
          </w:p>
        </w:tc>
        <w:tc>
          <w:tcPr>
            <w:tcW w:w="1028" w:type="pct"/>
            <w:shd w:val="clear" w:color="auto" w:fill="auto"/>
          </w:tcPr>
          <w:p w14:paraId="5C19D53A"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Yina Cubillos Gutiérrez</w:t>
            </w:r>
          </w:p>
        </w:tc>
      </w:tr>
      <w:tr w:rsidR="00E304E9" w:rsidRPr="00B42E08" w14:paraId="08B040FB" w14:textId="77777777" w:rsidTr="00C73D81">
        <w:tc>
          <w:tcPr>
            <w:tcW w:w="442" w:type="pct"/>
            <w:shd w:val="clear" w:color="auto" w:fill="auto"/>
            <w:hideMark/>
          </w:tcPr>
          <w:p w14:paraId="7640EAB0"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Cargo:</w:t>
            </w:r>
          </w:p>
        </w:tc>
        <w:tc>
          <w:tcPr>
            <w:tcW w:w="1168" w:type="pct"/>
            <w:shd w:val="clear" w:color="auto" w:fill="auto"/>
          </w:tcPr>
          <w:p w14:paraId="337852B5"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Asesor externo de Procesos</w:t>
            </w:r>
          </w:p>
        </w:tc>
        <w:tc>
          <w:tcPr>
            <w:tcW w:w="444" w:type="pct"/>
            <w:shd w:val="clear" w:color="auto" w:fill="auto"/>
            <w:hideMark/>
          </w:tcPr>
          <w:p w14:paraId="2A09AB78"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Cargo:</w:t>
            </w:r>
          </w:p>
        </w:tc>
        <w:tc>
          <w:tcPr>
            <w:tcW w:w="1477" w:type="pct"/>
            <w:shd w:val="clear" w:color="auto" w:fill="auto"/>
          </w:tcPr>
          <w:p w14:paraId="5003D988"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Administrador de Riesgos</w:t>
            </w:r>
          </w:p>
        </w:tc>
        <w:tc>
          <w:tcPr>
            <w:tcW w:w="441" w:type="pct"/>
            <w:shd w:val="clear" w:color="auto" w:fill="auto"/>
            <w:hideMark/>
          </w:tcPr>
          <w:p w14:paraId="3EBD266D"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Cargo:</w:t>
            </w:r>
          </w:p>
        </w:tc>
        <w:tc>
          <w:tcPr>
            <w:tcW w:w="1028" w:type="pct"/>
            <w:shd w:val="clear" w:color="auto" w:fill="auto"/>
          </w:tcPr>
          <w:p w14:paraId="7977EC46"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Gerente</w:t>
            </w:r>
          </w:p>
        </w:tc>
      </w:tr>
      <w:tr w:rsidR="00E304E9" w:rsidRPr="00B42E08" w14:paraId="48CFAC18" w14:textId="77777777" w:rsidTr="00C73D81">
        <w:tc>
          <w:tcPr>
            <w:tcW w:w="442" w:type="pct"/>
            <w:shd w:val="clear" w:color="auto" w:fill="auto"/>
            <w:hideMark/>
          </w:tcPr>
          <w:p w14:paraId="6CB980EC"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Fecha:</w:t>
            </w:r>
          </w:p>
        </w:tc>
        <w:tc>
          <w:tcPr>
            <w:tcW w:w="1168" w:type="pct"/>
            <w:shd w:val="clear" w:color="auto" w:fill="auto"/>
          </w:tcPr>
          <w:p w14:paraId="2393D03A"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29/09/2021</w:t>
            </w:r>
          </w:p>
        </w:tc>
        <w:tc>
          <w:tcPr>
            <w:tcW w:w="444" w:type="pct"/>
            <w:shd w:val="clear" w:color="auto" w:fill="auto"/>
            <w:hideMark/>
          </w:tcPr>
          <w:p w14:paraId="78A80986"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Fecha:</w:t>
            </w:r>
          </w:p>
        </w:tc>
        <w:tc>
          <w:tcPr>
            <w:tcW w:w="1477" w:type="pct"/>
            <w:shd w:val="clear" w:color="auto" w:fill="auto"/>
          </w:tcPr>
          <w:p w14:paraId="61824C51"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29/09/2021</w:t>
            </w:r>
          </w:p>
        </w:tc>
        <w:tc>
          <w:tcPr>
            <w:tcW w:w="441" w:type="pct"/>
            <w:shd w:val="clear" w:color="auto" w:fill="auto"/>
            <w:hideMark/>
          </w:tcPr>
          <w:p w14:paraId="5EB6BC54" w14:textId="77777777" w:rsidR="00E304E9" w:rsidRPr="00B42E08" w:rsidRDefault="00E304E9" w:rsidP="00B42E08">
            <w:pPr>
              <w:jc w:val="both"/>
              <w:rPr>
                <w:rFonts w:ascii="Arial" w:eastAsia="Calibri" w:hAnsi="Arial" w:cs="Arial"/>
                <w:b/>
                <w:sz w:val="14"/>
                <w:szCs w:val="14"/>
                <w:lang w:eastAsia="en-US"/>
              </w:rPr>
            </w:pPr>
            <w:r w:rsidRPr="00B42E08">
              <w:rPr>
                <w:rFonts w:ascii="Arial" w:eastAsia="Calibri" w:hAnsi="Arial" w:cs="Arial"/>
                <w:b/>
                <w:sz w:val="14"/>
                <w:szCs w:val="14"/>
                <w:lang w:eastAsia="en-US"/>
              </w:rPr>
              <w:t>Fecha:</w:t>
            </w:r>
          </w:p>
        </w:tc>
        <w:tc>
          <w:tcPr>
            <w:tcW w:w="1028" w:type="pct"/>
            <w:shd w:val="clear" w:color="auto" w:fill="auto"/>
          </w:tcPr>
          <w:p w14:paraId="2363DADA" w14:textId="77777777" w:rsidR="00E304E9" w:rsidRPr="00B42E08" w:rsidRDefault="00E304E9" w:rsidP="00B42E08">
            <w:pPr>
              <w:jc w:val="both"/>
              <w:rPr>
                <w:rFonts w:ascii="Arial" w:eastAsia="Calibri" w:hAnsi="Arial" w:cs="Arial"/>
                <w:sz w:val="14"/>
                <w:szCs w:val="14"/>
                <w:lang w:eastAsia="en-US"/>
              </w:rPr>
            </w:pPr>
            <w:r w:rsidRPr="00B42E08">
              <w:rPr>
                <w:rFonts w:ascii="Arial" w:eastAsia="Calibri" w:hAnsi="Arial" w:cs="Arial"/>
                <w:sz w:val="14"/>
                <w:szCs w:val="14"/>
                <w:lang w:eastAsia="en-US"/>
              </w:rPr>
              <w:t>29/09/2021</w:t>
            </w:r>
          </w:p>
        </w:tc>
      </w:tr>
    </w:tbl>
    <w:bookmarkEnd w:id="0"/>
    <w:p w14:paraId="41E9CD15" w14:textId="7020192B" w:rsidR="00C72F7F" w:rsidRPr="00B42E08" w:rsidRDefault="00E304E9" w:rsidP="00B42E08">
      <w:pPr>
        <w:ind w:left="680" w:hanging="680"/>
        <w:jc w:val="both"/>
        <w:rPr>
          <w:rFonts w:ascii="Arial" w:hAnsi="Arial" w:cs="Arial"/>
          <w:sz w:val="24"/>
          <w:szCs w:val="24"/>
        </w:rPr>
      </w:pPr>
      <w:r w:rsidRPr="00B42E08">
        <w:rPr>
          <w:rFonts w:ascii="Arial" w:hAnsi="Arial" w:cs="Arial"/>
          <w:sz w:val="24"/>
          <w:szCs w:val="24"/>
        </w:rPr>
        <w:tab/>
      </w:r>
    </w:p>
    <w:p w14:paraId="1F1DEBFE" w14:textId="4AE4DC3B" w:rsidR="00430F5B" w:rsidRPr="00B42E08" w:rsidRDefault="003071AA" w:rsidP="00B42E08">
      <w:pPr>
        <w:numPr>
          <w:ilvl w:val="0"/>
          <w:numId w:val="32"/>
        </w:numPr>
        <w:ind w:left="708" w:hanging="708"/>
        <w:jc w:val="both"/>
        <w:rPr>
          <w:rFonts w:ascii="Arial" w:hAnsi="Arial" w:cs="Arial"/>
          <w:b/>
          <w:spacing w:val="-3"/>
          <w:sz w:val="24"/>
          <w:szCs w:val="24"/>
        </w:rPr>
      </w:pPr>
      <w:r w:rsidRPr="00B42E08">
        <w:rPr>
          <w:rFonts w:ascii="Arial" w:hAnsi="Arial" w:cs="Arial"/>
          <w:b/>
          <w:spacing w:val="-3"/>
          <w:sz w:val="24"/>
          <w:szCs w:val="24"/>
        </w:rPr>
        <w:t>OBJETIVO</w:t>
      </w:r>
      <w:r w:rsidR="00430F5B" w:rsidRPr="00B42E08">
        <w:rPr>
          <w:rFonts w:ascii="Arial" w:hAnsi="Arial" w:cs="Arial"/>
          <w:b/>
          <w:spacing w:val="-3"/>
          <w:sz w:val="24"/>
          <w:szCs w:val="24"/>
        </w:rPr>
        <w:t>.</w:t>
      </w:r>
    </w:p>
    <w:p w14:paraId="48E1A4EA" w14:textId="77777777" w:rsidR="00287C2C" w:rsidRPr="00B42E08" w:rsidRDefault="00287C2C" w:rsidP="00B42E08">
      <w:pPr>
        <w:jc w:val="both"/>
        <w:rPr>
          <w:rFonts w:ascii="Arial" w:hAnsi="Arial" w:cs="Arial"/>
          <w:b/>
          <w:spacing w:val="-3"/>
          <w:sz w:val="24"/>
          <w:szCs w:val="24"/>
        </w:rPr>
      </w:pPr>
    </w:p>
    <w:p w14:paraId="62D60B66" w14:textId="05972770" w:rsidR="003071AA" w:rsidRPr="00B42E08" w:rsidRDefault="00287C2C" w:rsidP="00B42E08">
      <w:pPr>
        <w:tabs>
          <w:tab w:val="left" w:pos="-720"/>
        </w:tabs>
        <w:suppressAutoHyphens/>
        <w:jc w:val="both"/>
        <w:rPr>
          <w:rFonts w:ascii="Arial" w:hAnsi="Arial" w:cs="Arial"/>
          <w:spacing w:val="-3"/>
          <w:sz w:val="24"/>
          <w:szCs w:val="24"/>
          <w:lang w:val="es-MX" w:eastAsia="es-MX"/>
        </w:rPr>
      </w:pPr>
      <w:r w:rsidRPr="00B42E08">
        <w:rPr>
          <w:rFonts w:ascii="Arial" w:hAnsi="Arial" w:cs="Arial"/>
          <w:spacing w:val="-3"/>
          <w:sz w:val="24"/>
          <w:szCs w:val="24"/>
          <w:lang w:val="es-MX" w:eastAsia="es-MX"/>
        </w:rPr>
        <w:t>El presente instrumento direcciona el cumplimiento de la política establecida en el reglamento SARC y facilita la comprensión de las condiciones, requisitos y características de las diferentes modalidades de crédito gracias a su información precisa y estructurada. Este documento es una herramienta fundamental para el buen desarrollo del SARC, especialmente para todos los funcionarios que se encuentran inherentes al proceso de otorgamiento de crédito.</w:t>
      </w:r>
    </w:p>
    <w:p w14:paraId="4831FDD9" w14:textId="77777777" w:rsidR="00287C2C" w:rsidRPr="00B42E08" w:rsidRDefault="00287C2C" w:rsidP="00B42E08">
      <w:pPr>
        <w:tabs>
          <w:tab w:val="left" w:pos="-720"/>
        </w:tabs>
        <w:suppressAutoHyphens/>
        <w:jc w:val="both"/>
        <w:rPr>
          <w:rFonts w:ascii="Arial" w:hAnsi="Arial" w:cs="Arial"/>
          <w:spacing w:val="-3"/>
          <w:sz w:val="24"/>
          <w:szCs w:val="24"/>
        </w:rPr>
      </w:pPr>
    </w:p>
    <w:p w14:paraId="4880317B" w14:textId="77777777" w:rsidR="003071AA" w:rsidRPr="00B42E08" w:rsidRDefault="00CE2FC3"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APLICA.</w:t>
      </w:r>
    </w:p>
    <w:p w14:paraId="78F704F6" w14:textId="77777777" w:rsidR="000C5AC4" w:rsidRPr="00B42E08" w:rsidRDefault="000C5AC4" w:rsidP="00B42E08">
      <w:pPr>
        <w:jc w:val="both"/>
        <w:rPr>
          <w:rFonts w:ascii="Arial" w:hAnsi="Arial" w:cs="Arial"/>
          <w:b/>
          <w:spacing w:val="-3"/>
          <w:sz w:val="24"/>
          <w:szCs w:val="24"/>
        </w:rPr>
      </w:pPr>
    </w:p>
    <w:p w14:paraId="34E8F753" w14:textId="11D4AC53" w:rsidR="003071AA" w:rsidRPr="00B42E08" w:rsidRDefault="00287C2C" w:rsidP="00B42E08">
      <w:pPr>
        <w:tabs>
          <w:tab w:val="left" w:pos="-720"/>
        </w:tabs>
        <w:suppressAutoHyphens/>
        <w:jc w:val="both"/>
        <w:rPr>
          <w:rFonts w:ascii="Arial" w:hAnsi="Arial" w:cs="Arial"/>
          <w:spacing w:val="-3"/>
          <w:sz w:val="24"/>
          <w:szCs w:val="24"/>
        </w:rPr>
      </w:pPr>
      <w:r w:rsidRPr="00B42E08">
        <w:rPr>
          <w:rFonts w:ascii="Arial" w:hAnsi="Arial" w:cs="Arial"/>
          <w:spacing w:val="-3"/>
          <w:sz w:val="24"/>
          <w:szCs w:val="24"/>
        </w:rPr>
        <w:t>Estandarizar y determinar los lineamientos y directrices en el otorgamiento de crédito, aplica a todos los funcionarios que intervienen en el proceso de otorgamiento de crédito por lo cual deben guiarse, acogerse y regirse a lo definido en este documento.</w:t>
      </w:r>
    </w:p>
    <w:p w14:paraId="6BE246D4" w14:textId="77777777" w:rsidR="00287C2C" w:rsidRPr="00B42E08" w:rsidRDefault="00287C2C" w:rsidP="00B42E08">
      <w:pPr>
        <w:tabs>
          <w:tab w:val="left" w:pos="-720"/>
        </w:tabs>
        <w:suppressAutoHyphens/>
        <w:jc w:val="both"/>
        <w:rPr>
          <w:rFonts w:ascii="Arial" w:hAnsi="Arial" w:cs="Arial"/>
          <w:spacing w:val="-3"/>
          <w:sz w:val="24"/>
          <w:szCs w:val="24"/>
        </w:rPr>
      </w:pPr>
    </w:p>
    <w:p w14:paraId="6864FA46" w14:textId="77777777" w:rsidR="00863F04" w:rsidRPr="00B42E08" w:rsidRDefault="00863F04" w:rsidP="00B42E08">
      <w:pPr>
        <w:numPr>
          <w:ilvl w:val="0"/>
          <w:numId w:val="32"/>
        </w:numPr>
        <w:jc w:val="both"/>
        <w:rPr>
          <w:rFonts w:ascii="Arial" w:hAnsi="Arial" w:cs="Arial"/>
          <w:spacing w:val="-3"/>
          <w:sz w:val="24"/>
          <w:szCs w:val="24"/>
        </w:rPr>
      </w:pPr>
      <w:r w:rsidRPr="00B42E08">
        <w:rPr>
          <w:rFonts w:ascii="Arial" w:hAnsi="Arial" w:cs="Arial"/>
          <w:b/>
          <w:spacing w:val="-3"/>
          <w:sz w:val="24"/>
          <w:szCs w:val="24"/>
        </w:rPr>
        <w:t>NORMATIVIDAD.</w:t>
      </w:r>
    </w:p>
    <w:p w14:paraId="04E24871" w14:textId="77777777" w:rsidR="00863F04" w:rsidRPr="00B42E08" w:rsidRDefault="00863F04" w:rsidP="00B42E08">
      <w:pPr>
        <w:jc w:val="both"/>
        <w:rPr>
          <w:rFonts w:ascii="Arial" w:hAnsi="Arial" w:cs="Arial"/>
          <w:spacing w:val="-3"/>
          <w:sz w:val="24"/>
          <w:szCs w:val="24"/>
        </w:rPr>
      </w:pPr>
    </w:p>
    <w:p w14:paraId="75DDC5FE" w14:textId="77777777" w:rsidR="00E304E9" w:rsidRPr="00B42E08" w:rsidRDefault="00E304E9" w:rsidP="00B42E08">
      <w:pPr>
        <w:pStyle w:val="Prrafodelista"/>
        <w:numPr>
          <w:ilvl w:val="1"/>
          <w:numId w:val="32"/>
        </w:numPr>
        <w:ind w:left="680" w:hanging="680"/>
        <w:rPr>
          <w:rFonts w:ascii="Arial" w:hAnsi="Arial" w:cs="Arial"/>
          <w:spacing w:val="-3"/>
          <w:sz w:val="24"/>
          <w:szCs w:val="24"/>
        </w:rPr>
      </w:pPr>
      <w:r w:rsidRPr="00B42E08">
        <w:rPr>
          <w:rFonts w:ascii="Arial" w:hAnsi="Arial" w:cs="Arial"/>
          <w:b/>
          <w:spacing w:val="-3"/>
          <w:sz w:val="24"/>
          <w:szCs w:val="24"/>
        </w:rPr>
        <w:t>INTERNA.</w:t>
      </w:r>
    </w:p>
    <w:p w14:paraId="58019FD4" w14:textId="77777777" w:rsidR="00E304E9" w:rsidRPr="00B42E08" w:rsidRDefault="00E304E9" w:rsidP="00B42E08">
      <w:pPr>
        <w:rPr>
          <w:rFonts w:ascii="Arial" w:hAnsi="Arial" w:cs="Arial"/>
          <w:spacing w:val="-3"/>
          <w:sz w:val="24"/>
          <w:szCs w:val="24"/>
        </w:rPr>
      </w:pPr>
    </w:p>
    <w:p w14:paraId="515D59E9" w14:textId="77777777" w:rsidR="00E304E9" w:rsidRPr="00B42E08" w:rsidRDefault="00E304E9" w:rsidP="00B42E08">
      <w:pPr>
        <w:pStyle w:val="Prrafodelista"/>
        <w:numPr>
          <w:ilvl w:val="2"/>
          <w:numId w:val="32"/>
        </w:numPr>
        <w:tabs>
          <w:tab w:val="num" w:pos="851"/>
        </w:tabs>
        <w:ind w:left="851" w:hanging="851"/>
        <w:rPr>
          <w:rFonts w:ascii="Arial" w:hAnsi="Arial" w:cs="Arial"/>
          <w:spacing w:val="-3"/>
          <w:sz w:val="24"/>
          <w:szCs w:val="24"/>
        </w:rPr>
      </w:pPr>
      <w:bookmarkStart w:id="1" w:name="_Hlk83828413"/>
      <w:r w:rsidRPr="00B42E08">
        <w:rPr>
          <w:rFonts w:ascii="Arial" w:hAnsi="Arial" w:cs="Arial"/>
          <w:spacing w:val="-3"/>
          <w:sz w:val="24"/>
          <w:szCs w:val="24"/>
        </w:rPr>
        <w:t>Reglamento SARC</w:t>
      </w:r>
    </w:p>
    <w:bookmarkEnd w:id="1"/>
    <w:p w14:paraId="054F2DF1" w14:textId="77777777" w:rsidR="00E304E9" w:rsidRPr="00B42E08" w:rsidRDefault="00E304E9" w:rsidP="00B42E08">
      <w:pPr>
        <w:pStyle w:val="Prrafodelista"/>
        <w:numPr>
          <w:ilvl w:val="2"/>
          <w:numId w:val="32"/>
        </w:numPr>
        <w:tabs>
          <w:tab w:val="num" w:pos="851"/>
        </w:tabs>
        <w:ind w:left="851" w:hanging="851"/>
        <w:rPr>
          <w:rFonts w:ascii="Arial" w:hAnsi="Arial" w:cs="Arial"/>
          <w:spacing w:val="-3"/>
          <w:sz w:val="24"/>
          <w:szCs w:val="24"/>
        </w:rPr>
      </w:pPr>
      <w:r w:rsidRPr="00B42E08">
        <w:rPr>
          <w:rFonts w:ascii="Arial" w:hAnsi="Arial" w:cs="Arial"/>
          <w:spacing w:val="-3"/>
          <w:sz w:val="24"/>
          <w:szCs w:val="24"/>
        </w:rPr>
        <w:t>Reglamento de Crédito</w:t>
      </w:r>
      <w:r w:rsidRPr="00B42E08">
        <w:rPr>
          <w:rFonts w:ascii="Arial" w:hAnsi="Arial" w:cs="Arial"/>
          <w:spacing w:val="-3"/>
          <w:sz w:val="24"/>
          <w:szCs w:val="24"/>
        </w:rPr>
        <w:tab/>
      </w:r>
    </w:p>
    <w:p w14:paraId="49A2386A" w14:textId="77777777" w:rsidR="00E304E9" w:rsidRPr="00B42E08" w:rsidRDefault="00E304E9" w:rsidP="00B42E08">
      <w:pPr>
        <w:pStyle w:val="Prrafodelista"/>
        <w:numPr>
          <w:ilvl w:val="2"/>
          <w:numId w:val="32"/>
        </w:numPr>
        <w:tabs>
          <w:tab w:val="num" w:pos="851"/>
        </w:tabs>
        <w:ind w:left="851" w:hanging="851"/>
        <w:rPr>
          <w:rFonts w:ascii="Arial" w:hAnsi="Arial" w:cs="Arial"/>
          <w:spacing w:val="-3"/>
          <w:sz w:val="24"/>
          <w:szCs w:val="24"/>
        </w:rPr>
      </w:pPr>
      <w:r w:rsidRPr="00B42E08">
        <w:rPr>
          <w:rFonts w:ascii="Arial" w:hAnsi="Arial" w:cs="Arial"/>
          <w:spacing w:val="-3"/>
          <w:sz w:val="24"/>
          <w:szCs w:val="24"/>
        </w:rPr>
        <w:t>Reglamento De Tasas.</w:t>
      </w:r>
    </w:p>
    <w:p w14:paraId="6F5B0762" w14:textId="77777777" w:rsidR="00E304E9" w:rsidRPr="00B42E08" w:rsidRDefault="00E304E9" w:rsidP="00B42E08">
      <w:pPr>
        <w:rPr>
          <w:rFonts w:ascii="Arial" w:hAnsi="Arial" w:cs="Arial"/>
          <w:spacing w:val="-3"/>
          <w:sz w:val="24"/>
          <w:szCs w:val="24"/>
        </w:rPr>
      </w:pPr>
    </w:p>
    <w:p w14:paraId="12372261" w14:textId="77777777" w:rsidR="00E304E9" w:rsidRPr="00B42E08" w:rsidRDefault="00E304E9" w:rsidP="00B42E08">
      <w:pPr>
        <w:pStyle w:val="Prrafodelista"/>
        <w:numPr>
          <w:ilvl w:val="1"/>
          <w:numId w:val="32"/>
        </w:numPr>
        <w:ind w:left="680" w:hanging="680"/>
        <w:rPr>
          <w:rFonts w:ascii="Arial" w:hAnsi="Arial" w:cs="Arial"/>
          <w:spacing w:val="-3"/>
          <w:sz w:val="24"/>
          <w:szCs w:val="24"/>
        </w:rPr>
      </w:pPr>
      <w:r w:rsidRPr="00B42E08">
        <w:rPr>
          <w:rFonts w:ascii="Arial" w:hAnsi="Arial" w:cs="Arial"/>
          <w:b/>
          <w:spacing w:val="-3"/>
          <w:sz w:val="24"/>
          <w:szCs w:val="24"/>
        </w:rPr>
        <w:t>EXTERNA.</w:t>
      </w:r>
    </w:p>
    <w:p w14:paraId="682EACBE" w14:textId="77777777" w:rsidR="00E304E9" w:rsidRPr="00B42E08" w:rsidRDefault="00E304E9" w:rsidP="00B42E08">
      <w:pPr>
        <w:pStyle w:val="Prrafodelista"/>
        <w:ind w:left="680"/>
        <w:rPr>
          <w:rFonts w:ascii="Arial" w:hAnsi="Arial" w:cs="Arial"/>
          <w:spacing w:val="-3"/>
          <w:sz w:val="24"/>
          <w:szCs w:val="24"/>
        </w:rPr>
      </w:pPr>
    </w:p>
    <w:p w14:paraId="61A5D621" w14:textId="77777777" w:rsidR="00E304E9" w:rsidRPr="00B42E08" w:rsidRDefault="00E304E9" w:rsidP="00B42E08">
      <w:pPr>
        <w:pStyle w:val="Prrafodelista"/>
        <w:numPr>
          <w:ilvl w:val="2"/>
          <w:numId w:val="32"/>
        </w:numPr>
        <w:tabs>
          <w:tab w:val="num" w:pos="851"/>
        </w:tabs>
        <w:ind w:left="851" w:hanging="851"/>
        <w:rPr>
          <w:rFonts w:ascii="Arial" w:hAnsi="Arial" w:cs="Arial"/>
          <w:bCs/>
          <w:spacing w:val="-3"/>
          <w:sz w:val="24"/>
          <w:szCs w:val="24"/>
        </w:rPr>
      </w:pPr>
      <w:r w:rsidRPr="00B42E08">
        <w:rPr>
          <w:rFonts w:ascii="Arial" w:hAnsi="Arial" w:cs="Arial"/>
          <w:bCs/>
          <w:spacing w:val="-3"/>
          <w:sz w:val="24"/>
          <w:szCs w:val="24"/>
        </w:rPr>
        <w:t>Circular Básica Contable y Financiera por medio de la Circular Externa 22 de 2020 – Supersolidaria</w:t>
      </w:r>
    </w:p>
    <w:p w14:paraId="6D1276FD" w14:textId="77777777" w:rsidR="00863F04" w:rsidRPr="00B42E08" w:rsidRDefault="00863F04" w:rsidP="00B42E08">
      <w:pPr>
        <w:rPr>
          <w:rFonts w:ascii="Arial" w:hAnsi="Arial" w:cs="Arial"/>
          <w:b/>
          <w:spacing w:val="-3"/>
          <w:sz w:val="24"/>
          <w:szCs w:val="24"/>
        </w:rPr>
      </w:pPr>
    </w:p>
    <w:p w14:paraId="786BBC32" w14:textId="77777777" w:rsidR="003071AA" w:rsidRPr="00B42E08" w:rsidRDefault="003071AA"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DEFINICIONES</w:t>
      </w:r>
      <w:r w:rsidR="002D0E0A" w:rsidRPr="00B42E08">
        <w:rPr>
          <w:rFonts w:ascii="Arial" w:hAnsi="Arial" w:cs="Arial"/>
          <w:b/>
          <w:spacing w:val="-3"/>
          <w:sz w:val="24"/>
          <w:szCs w:val="24"/>
        </w:rPr>
        <w:t>.</w:t>
      </w:r>
    </w:p>
    <w:p w14:paraId="581FC6C5" w14:textId="77777777" w:rsidR="0019500F" w:rsidRPr="00B42E08" w:rsidRDefault="0019500F" w:rsidP="00B42E08">
      <w:pPr>
        <w:ind w:left="680"/>
        <w:jc w:val="both"/>
        <w:rPr>
          <w:rFonts w:ascii="Arial" w:hAnsi="Arial" w:cs="Arial"/>
          <w:b/>
          <w:spacing w:val="-3"/>
          <w:sz w:val="24"/>
          <w:szCs w:val="24"/>
        </w:rPr>
      </w:pPr>
    </w:p>
    <w:p w14:paraId="3B807AEB" w14:textId="7CAD7029" w:rsidR="00C12B03" w:rsidRPr="00B42E08" w:rsidRDefault="00F41893" w:rsidP="00B42E08">
      <w:pPr>
        <w:numPr>
          <w:ilvl w:val="1"/>
          <w:numId w:val="32"/>
        </w:numPr>
        <w:jc w:val="both"/>
        <w:rPr>
          <w:rFonts w:ascii="Arial" w:hAnsi="Arial" w:cs="Arial"/>
          <w:bCs/>
          <w:spacing w:val="-3"/>
          <w:sz w:val="24"/>
          <w:szCs w:val="24"/>
        </w:rPr>
      </w:pPr>
      <w:r w:rsidRPr="00B42E08">
        <w:rPr>
          <w:rFonts w:ascii="Arial" w:hAnsi="Arial" w:cs="Arial"/>
          <w:b/>
          <w:spacing w:val="-3"/>
          <w:sz w:val="24"/>
          <w:szCs w:val="24"/>
        </w:rPr>
        <w:t xml:space="preserve">PERSONA NATURAL: </w:t>
      </w:r>
      <w:r w:rsidRPr="00B42E08">
        <w:rPr>
          <w:rFonts w:ascii="Arial" w:hAnsi="Arial" w:cs="Arial"/>
          <w:bCs/>
          <w:spacing w:val="-3"/>
          <w:sz w:val="24"/>
          <w:szCs w:val="24"/>
        </w:rPr>
        <w:t>Se entiende por persona natural mayor de edad cualquier individuo asociado a, capaz de contraer obligaciones y adquirir derechos</w:t>
      </w:r>
      <w:r w:rsidR="00C12B03" w:rsidRPr="00B42E08">
        <w:rPr>
          <w:rFonts w:ascii="Arial" w:hAnsi="Arial" w:cs="Arial"/>
          <w:bCs/>
          <w:spacing w:val="-3"/>
          <w:sz w:val="24"/>
          <w:szCs w:val="24"/>
        </w:rPr>
        <w:t xml:space="preserve"> y se dividen en :</w:t>
      </w:r>
    </w:p>
    <w:p w14:paraId="24B4BD6C" w14:textId="77777777" w:rsidR="000C3A19" w:rsidRPr="00B42E08" w:rsidRDefault="000C3A19" w:rsidP="00B42E08">
      <w:pPr>
        <w:jc w:val="both"/>
        <w:rPr>
          <w:rFonts w:ascii="Arial" w:hAnsi="Arial" w:cs="Arial"/>
          <w:bCs/>
          <w:spacing w:val="-3"/>
          <w:sz w:val="24"/>
          <w:szCs w:val="24"/>
        </w:rPr>
      </w:pPr>
    </w:p>
    <w:p w14:paraId="516BCFFB" w14:textId="3541C489" w:rsidR="00C12B03" w:rsidRPr="00B42E08" w:rsidRDefault="00C12B03"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t xml:space="preserve">Asalariados y Pensionados: Personas naturales cuyos ingresos provienen de una pensión o de una relación laboral con empresas privadas, públicas, o personas naturales. </w:t>
      </w:r>
    </w:p>
    <w:p w14:paraId="420381DD" w14:textId="011F5674" w:rsidR="00C12B03" w:rsidRPr="00B42E08" w:rsidRDefault="00C12B03"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lastRenderedPageBreak/>
        <w:t xml:space="preserve">Independientes: Personas naturales cuyos ingresos provienen de las actividades económicas como la industria, comercio, servicios, agricultura, ganadería, profesionales sin vínculo laboral y otros. Se clasifican en Formales, Informales y Agropecuarios. </w:t>
      </w:r>
    </w:p>
    <w:p w14:paraId="2A444EAC" w14:textId="77777777" w:rsidR="00E304E9" w:rsidRPr="00B42E08" w:rsidRDefault="00E304E9" w:rsidP="00B42E08">
      <w:pPr>
        <w:ind w:left="993"/>
        <w:jc w:val="both"/>
        <w:rPr>
          <w:rFonts w:ascii="Arial" w:hAnsi="Arial" w:cs="Arial"/>
          <w:bCs/>
          <w:spacing w:val="-3"/>
          <w:sz w:val="24"/>
          <w:szCs w:val="24"/>
        </w:rPr>
      </w:pPr>
    </w:p>
    <w:p w14:paraId="0082EA06" w14:textId="5C611DC5" w:rsidR="000C3A19" w:rsidRPr="00B42E08" w:rsidRDefault="00E304E9" w:rsidP="00B42E08">
      <w:pPr>
        <w:numPr>
          <w:ilvl w:val="1"/>
          <w:numId w:val="32"/>
        </w:numPr>
        <w:jc w:val="both"/>
        <w:rPr>
          <w:rFonts w:ascii="Arial" w:hAnsi="Arial" w:cs="Arial"/>
          <w:bCs/>
          <w:spacing w:val="-3"/>
          <w:sz w:val="24"/>
          <w:szCs w:val="24"/>
        </w:rPr>
      </w:pPr>
      <w:r w:rsidRPr="00B42E08">
        <w:rPr>
          <w:rFonts w:ascii="Arial" w:hAnsi="Arial" w:cs="Arial"/>
          <w:b/>
          <w:spacing w:val="-3"/>
          <w:sz w:val="24"/>
          <w:szCs w:val="24"/>
        </w:rPr>
        <w:t>Persona Jurídica</w:t>
      </w:r>
      <w:r w:rsidRPr="00B42E08">
        <w:rPr>
          <w:rFonts w:ascii="Arial" w:hAnsi="Arial" w:cs="Arial"/>
          <w:bCs/>
          <w:spacing w:val="-3"/>
          <w:sz w:val="24"/>
          <w:szCs w:val="24"/>
        </w:rPr>
        <w:t>: Se entiende por persona jurídica, cualquier empresa asociada a COOPEAIPE y que tiene derechos y obligaciones, que existe, pero no como individuo, sino como institución y que es creada por una o más personas físicas para cumplir un objetivo social que debe ser sin ánimo de lucro</w:t>
      </w:r>
    </w:p>
    <w:p w14:paraId="14C00375" w14:textId="77777777" w:rsidR="00EA6487" w:rsidRPr="00B42E08" w:rsidRDefault="00EA6487" w:rsidP="00B42E08">
      <w:pPr>
        <w:ind w:left="454"/>
        <w:jc w:val="both"/>
        <w:rPr>
          <w:rFonts w:ascii="Arial" w:hAnsi="Arial" w:cs="Arial"/>
          <w:bCs/>
          <w:spacing w:val="-3"/>
          <w:sz w:val="24"/>
          <w:szCs w:val="24"/>
        </w:rPr>
      </w:pPr>
    </w:p>
    <w:p w14:paraId="331C4A9C" w14:textId="77777777" w:rsidR="00EA6487" w:rsidRPr="00B42E08" w:rsidRDefault="00EA6487"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t xml:space="preserve">Sin Ánimo de Lucro: Personas jurídicas que buscan un bienestar físico, intelectual, moral, social o espiritual de los asociados: asociaciones, fundaciones, juntas de acción comunal, propiedad horizontal o conjunto residencial, fondos, entidades educativas, congregaciones religiosas, sindicatos y otras sin ánimo de lucro (clubes deportivos, clubes sociales, comités, hogares infantiles, organizaciones de alcohólicos anónimos, liga de consumidores, sociedades de mejoras públicas, etc.). </w:t>
      </w:r>
    </w:p>
    <w:p w14:paraId="39813D9D" w14:textId="77777777" w:rsidR="00EA6487" w:rsidRPr="00B42E08" w:rsidRDefault="00EA6487" w:rsidP="00B42E08">
      <w:pPr>
        <w:jc w:val="both"/>
        <w:rPr>
          <w:rFonts w:ascii="Arial" w:hAnsi="Arial" w:cs="Arial"/>
          <w:bCs/>
          <w:spacing w:val="-3"/>
          <w:sz w:val="24"/>
          <w:szCs w:val="24"/>
        </w:rPr>
      </w:pPr>
    </w:p>
    <w:p w14:paraId="7069DFF3" w14:textId="0ACD9FAB" w:rsidR="000C3A19" w:rsidRPr="00B42E08" w:rsidRDefault="0019500F" w:rsidP="00B42E08">
      <w:pPr>
        <w:numPr>
          <w:ilvl w:val="1"/>
          <w:numId w:val="32"/>
        </w:numPr>
        <w:jc w:val="both"/>
        <w:rPr>
          <w:rFonts w:ascii="Arial" w:hAnsi="Arial" w:cs="Arial"/>
          <w:bCs/>
          <w:spacing w:val="-3"/>
          <w:sz w:val="24"/>
          <w:szCs w:val="24"/>
        </w:rPr>
      </w:pPr>
      <w:r w:rsidRPr="00B42E08">
        <w:rPr>
          <w:rFonts w:ascii="Arial" w:hAnsi="Arial" w:cs="Arial"/>
          <w:b/>
          <w:spacing w:val="-3"/>
          <w:sz w:val="24"/>
          <w:szCs w:val="24"/>
        </w:rPr>
        <w:t xml:space="preserve">Créditos de Consumo: </w:t>
      </w:r>
      <w:r w:rsidRPr="00B42E08">
        <w:rPr>
          <w:rFonts w:ascii="Arial" w:hAnsi="Arial" w:cs="Arial"/>
          <w:bCs/>
          <w:spacing w:val="-3"/>
          <w:sz w:val="24"/>
          <w:szCs w:val="24"/>
        </w:rPr>
        <w:t>Se entienden como créditos de consumo las operaciones activas de crédito otorgadas a personas naturales, cuyo objeto sea financiar la adquisición de bienes de consumo o el pago de servicios para fines no comerciales o empresariales, independientemente de su monto. Dentro de los créditos de consumo se encuentran las operaciones de Consumo de Bajo Monto, de conformidad con las disposiciones legales vigentes.</w:t>
      </w:r>
    </w:p>
    <w:p w14:paraId="530B8B08" w14:textId="6FEA2782" w:rsidR="000C3A19" w:rsidRPr="00B42E08" w:rsidRDefault="0019500F" w:rsidP="00B42E08">
      <w:pPr>
        <w:pStyle w:val="Default"/>
        <w:numPr>
          <w:ilvl w:val="1"/>
          <w:numId w:val="32"/>
        </w:numPr>
        <w:jc w:val="both"/>
      </w:pPr>
      <w:r w:rsidRPr="00B42E08">
        <w:rPr>
          <w:b/>
          <w:bCs/>
        </w:rPr>
        <w:t xml:space="preserve">Créditos de Vivienda: </w:t>
      </w:r>
      <w:r w:rsidRPr="00B42E08">
        <w:t>Se entienden como créditos de vivienda las operaciones activas de crédito otorgadas a personas naturales, destinadas a la adquisición de vivienda nueva o usada, a la construcción de vivienda individual o liberación de gravamen hipotecario, independientemente de la cuantía y amparadas con garantía hipotecaria</w:t>
      </w:r>
      <w:r w:rsidR="000C3A19" w:rsidRPr="00B42E08">
        <w:t>.</w:t>
      </w:r>
    </w:p>
    <w:p w14:paraId="070573F7" w14:textId="6BACBCC9" w:rsidR="000C3A19" w:rsidRPr="00B42E08" w:rsidRDefault="0019500F" w:rsidP="00B42E08">
      <w:pPr>
        <w:pStyle w:val="Default"/>
        <w:numPr>
          <w:ilvl w:val="1"/>
          <w:numId w:val="32"/>
        </w:numPr>
        <w:jc w:val="both"/>
      </w:pPr>
      <w:r w:rsidRPr="00B42E08">
        <w:rPr>
          <w:b/>
          <w:bCs/>
        </w:rPr>
        <w:t>Microcrédito:</w:t>
      </w:r>
      <w:r w:rsidR="00351AB1" w:rsidRPr="00B42E08">
        <w:rPr>
          <w:b/>
          <w:bCs/>
        </w:rPr>
        <w:t xml:space="preserve"> </w:t>
      </w:r>
      <w:r w:rsidRPr="00B42E08">
        <w:t xml:space="preserve">se </w:t>
      </w:r>
      <w:r w:rsidR="00351AB1" w:rsidRPr="00B42E08">
        <w:t>entiende como</w:t>
      </w:r>
      <w:r w:rsidRPr="00B42E08">
        <w:t xml:space="preserve"> el constituido por las operaciones activas de crédito a las cuales se refiere el artículo 39 de la Ley 590 de 2000, o las normas que la modifiquen, sustituyan o adicionen, así como las realizadas con microempresas en las cuales la principal fuente de pago de la obligación provenga de los ingresos derivados de su actividad, el saldo de endeudamiento del deudor no podrá exceder de ciento veinte (120) salarios mínimos mensuales legales vigentes al momento de la aprobación de la respectiva operación activa de crédito. Se entiende por saldo de endeudamiento el monto de las obligaciones vigentes a cargo de la correspondiente microempresa con el sector financiero y otros sectores, que se encuentren en los registros de los operadores de bancos de datos consultados por el respectivo acreedor, excluyendo los créditos hipotecarios para financiación de vivienda y </w:t>
      </w:r>
      <w:r w:rsidRPr="00B42E08">
        <w:lastRenderedPageBreak/>
        <w:t xml:space="preserve">adicionando el valor de la nueva obligación. Se tendrá por definición de microempresa aquella consagrada en las disposiciones normativas vigentes. </w:t>
      </w:r>
    </w:p>
    <w:p w14:paraId="0D5A48E5" w14:textId="77777777" w:rsidR="00C12B03" w:rsidRPr="00B42E08" w:rsidRDefault="0019500F" w:rsidP="00B42E08">
      <w:pPr>
        <w:pStyle w:val="Default"/>
        <w:numPr>
          <w:ilvl w:val="1"/>
          <w:numId w:val="32"/>
        </w:numPr>
        <w:jc w:val="both"/>
      </w:pPr>
      <w:r w:rsidRPr="00B42E08">
        <w:rPr>
          <w:b/>
          <w:bCs/>
        </w:rPr>
        <w:t>Créditos Comerciales</w:t>
      </w:r>
      <w:r w:rsidRPr="00B42E08">
        <w:t>: Se entienden como créditos comerciales los otorgados a personas naturales para el desarrollo de actividades económicas organizadas, distintos a los otorgados bajo la modalidad de microcrédito, vivienda o consumo.</w:t>
      </w:r>
    </w:p>
    <w:p w14:paraId="28BFA1E4" w14:textId="77777777" w:rsidR="005F0CD3" w:rsidRPr="00B42E08" w:rsidRDefault="005F0CD3" w:rsidP="00B42E08">
      <w:pPr>
        <w:ind w:left="680"/>
        <w:jc w:val="both"/>
        <w:rPr>
          <w:rFonts w:ascii="Arial" w:hAnsi="Arial" w:cs="Arial"/>
          <w:b/>
          <w:spacing w:val="-3"/>
          <w:sz w:val="24"/>
          <w:szCs w:val="24"/>
        </w:rPr>
      </w:pPr>
    </w:p>
    <w:p w14:paraId="5AB266FE" w14:textId="77777777" w:rsidR="00863F04" w:rsidRPr="00B42E08" w:rsidRDefault="00863F04"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RESPONSABLES.</w:t>
      </w:r>
    </w:p>
    <w:p w14:paraId="0925FCD6" w14:textId="77777777" w:rsidR="00863F04" w:rsidRPr="00B42E08" w:rsidRDefault="00863F04" w:rsidP="00B42E08">
      <w:pPr>
        <w:jc w:val="both"/>
        <w:rPr>
          <w:rFonts w:ascii="Arial" w:hAnsi="Arial" w:cs="Arial"/>
          <w:b/>
          <w:spacing w:val="-3"/>
          <w:sz w:val="24"/>
          <w:szCs w:val="24"/>
        </w:rPr>
      </w:pPr>
    </w:p>
    <w:p w14:paraId="11615A10" w14:textId="38246621" w:rsidR="00863F04" w:rsidRPr="00B42E08" w:rsidRDefault="00EA6487" w:rsidP="00B42E08">
      <w:pPr>
        <w:numPr>
          <w:ilvl w:val="1"/>
          <w:numId w:val="32"/>
        </w:numPr>
        <w:jc w:val="both"/>
        <w:rPr>
          <w:rFonts w:ascii="Arial" w:hAnsi="Arial" w:cs="Arial"/>
          <w:spacing w:val="-3"/>
          <w:sz w:val="24"/>
          <w:szCs w:val="24"/>
        </w:rPr>
      </w:pPr>
      <w:r w:rsidRPr="00B42E08">
        <w:rPr>
          <w:rFonts w:ascii="Arial" w:hAnsi="Arial" w:cs="Arial"/>
          <w:spacing w:val="-3"/>
          <w:sz w:val="24"/>
          <w:szCs w:val="24"/>
        </w:rPr>
        <w:t>Coordinador de Créditos</w:t>
      </w:r>
      <w:r w:rsidR="00C12B03" w:rsidRPr="00B42E08">
        <w:rPr>
          <w:rFonts w:ascii="Arial" w:hAnsi="Arial" w:cs="Arial"/>
          <w:spacing w:val="-3"/>
          <w:sz w:val="24"/>
          <w:szCs w:val="24"/>
        </w:rPr>
        <w:t>.</w:t>
      </w:r>
    </w:p>
    <w:p w14:paraId="35A5D4B0" w14:textId="3AA87CBE" w:rsidR="00C12B03" w:rsidRPr="00B42E08" w:rsidRDefault="00EA6487" w:rsidP="00B42E08">
      <w:pPr>
        <w:numPr>
          <w:ilvl w:val="1"/>
          <w:numId w:val="32"/>
        </w:numPr>
        <w:jc w:val="both"/>
        <w:rPr>
          <w:rFonts w:ascii="Arial" w:hAnsi="Arial" w:cs="Arial"/>
          <w:spacing w:val="-3"/>
          <w:sz w:val="24"/>
          <w:szCs w:val="24"/>
        </w:rPr>
      </w:pPr>
      <w:r w:rsidRPr="00B42E08">
        <w:rPr>
          <w:rFonts w:ascii="Arial" w:hAnsi="Arial" w:cs="Arial"/>
          <w:spacing w:val="-3"/>
          <w:sz w:val="24"/>
          <w:szCs w:val="24"/>
        </w:rPr>
        <w:t>Administrador</w:t>
      </w:r>
      <w:r w:rsidR="00C12B03" w:rsidRPr="00B42E08">
        <w:rPr>
          <w:rFonts w:ascii="Arial" w:hAnsi="Arial" w:cs="Arial"/>
          <w:spacing w:val="-3"/>
          <w:sz w:val="24"/>
          <w:szCs w:val="24"/>
        </w:rPr>
        <w:t xml:space="preserve"> de Riesgos.</w:t>
      </w:r>
    </w:p>
    <w:p w14:paraId="5EC8D3C1" w14:textId="77777777" w:rsidR="00863F04" w:rsidRPr="00B42E08" w:rsidRDefault="00863F04" w:rsidP="00B42E08">
      <w:pPr>
        <w:numPr>
          <w:ilvl w:val="1"/>
          <w:numId w:val="32"/>
        </w:numPr>
        <w:jc w:val="both"/>
        <w:rPr>
          <w:rFonts w:ascii="Arial" w:hAnsi="Arial" w:cs="Arial"/>
          <w:spacing w:val="-3"/>
          <w:sz w:val="24"/>
          <w:szCs w:val="24"/>
        </w:rPr>
      </w:pPr>
      <w:r w:rsidRPr="00B42E08">
        <w:rPr>
          <w:rFonts w:ascii="Arial" w:hAnsi="Arial" w:cs="Arial"/>
          <w:spacing w:val="-3"/>
          <w:sz w:val="24"/>
          <w:szCs w:val="24"/>
        </w:rPr>
        <w:t>Gerente.</w:t>
      </w:r>
    </w:p>
    <w:p w14:paraId="597078F1" w14:textId="77777777" w:rsidR="00E75082" w:rsidRPr="00B42E08" w:rsidRDefault="00E75082" w:rsidP="00B42E08">
      <w:pPr>
        <w:numPr>
          <w:ilvl w:val="1"/>
          <w:numId w:val="32"/>
        </w:numPr>
        <w:jc w:val="both"/>
        <w:rPr>
          <w:rFonts w:ascii="Arial" w:hAnsi="Arial" w:cs="Arial"/>
          <w:spacing w:val="-3"/>
          <w:sz w:val="24"/>
          <w:szCs w:val="24"/>
        </w:rPr>
      </w:pPr>
      <w:r w:rsidRPr="00B42E08">
        <w:rPr>
          <w:rFonts w:ascii="Arial" w:hAnsi="Arial" w:cs="Arial"/>
          <w:spacing w:val="-3"/>
          <w:sz w:val="24"/>
          <w:szCs w:val="24"/>
        </w:rPr>
        <w:t>Ente de aprobación.</w:t>
      </w:r>
    </w:p>
    <w:p w14:paraId="4ADC899F" w14:textId="77777777" w:rsidR="00863F04" w:rsidRPr="00B42E08" w:rsidRDefault="00863F04" w:rsidP="00B42E08">
      <w:pPr>
        <w:jc w:val="both"/>
        <w:rPr>
          <w:rFonts w:ascii="Arial" w:hAnsi="Arial" w:cs="Arial"/>
          <w:spacing w:val="-3"/>
          <w:sz w:val="24"/>
          <w:szCs w:val="24"/>
        </w:rPr>
      </w:pPr>
    </w:p>
    <w:p w14:paraId="27BE3CE8" w14:textId="34513F5B" w:rsidR="00D61B2B" w:rsidRPr="00B42E08" w:rsidRDefault="003071AA"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CONDICIONES</w:t>
      </w:r>
      <w:r w:rsidR="00863F04" w:rsidRPr="00B42E08">
        <w:rPr>
          <w:rFonts w:ascii="Arial" w:hAnsi="Arial" w:cs="Arial"/>
          <w:b/>
          <w:spacing w:val="-3"/>
          <w:sz w:val="24"/>
          <w:szCs w:val="24"/>
        </w:rPr>
        <w:t xml:space="preserve"> DE OPERACIÓN</w:t>
      </w:r>
      <w:r w:rsidR="00AD25E3" w:rsidRPr="00B42E08">
        <w:rPr>
          <w:rFonts w:ascii="Arial" w:hAnsi="Arial" w:cs="Arial"/>
          <w:b/>
          <w:spacing w:val="-3"/>
          <w:sz w:val="24"/>
          <w:szCs w:val="24"/>
        </w:rPr>
        <w:t>.</w:t>
      </w:r>
      <w:r w:rsidR="00863F04" w:rsidRPr="00B42E08">
        <w:rPr>
          <w:rFonts w:ascii="Arial" w:hAnsi="Arial" w:cs="Arial"/>
          <w:b/>
          <w:spacing w:val="-3"/>
          <w:sz w:val="24"/>
          <w:szCs w:val="24"/>
        </w:rPr>
        <w:t xml:space="preserve"> </w:t>
      </w:r>
    </w:p>
    <w:p w14:paraId="2BF86166" w14:textId="77777777" w:rsidR="000C3A19" w:rsidRPr="00B42E08" w:rsidRDefault="000C3A19" w:rsidP="00B42E08">
      <w:pPr>
        <w:jc w:val="both"/>
        <w:rPr>
          <w:rFonts w:ascii="Arial" w:hAnsi="Arial" w:cs="Arial"/>
          <w:b/>
          <w:spacing w:val="-3"/>
          <w:sz w:val="24"/>
          <w:szCs w:val="24"/>
        </w:rPr>
      </w:pPr>
    </w:p>
    <w:p w14:paraId="5983D5A0" w14:textId="77777777" w:rsidR="000C3A19" w:rsidRPr="00B42E08" w:rsidRDefault="00D61B2B" w:rsidP="00B42E08">
      <w:pPr>
        <w:pStyle w:val="Default"/>
        <w:numPr>
          <w:ilvl w:val="1"/>
          <w:numId w:val="32"/>
        </w:numPr>
        <w:jc w:val="both"/>
      </w:pPr>
      <w:r w:rsidRPr="00B42E08">
        <w:rPr>
          <w:b/>
          <w:bCs/>
        </w:rPr>
        <w:t>PERSONAS NO SUJETAS DE CRÉDITO</w:t>
      </w:r>
    </w:p>
    <w:p w14:paraId="77DB4B90" w14:textId="77777777" w:rsidR="000C3A19" w:rsidRPr="00B42E08" w:rsidRDefault="000C3A19" w:rsidP="00B42E08">
      <w:pPr>
        <w:pStyle w:val="Default"/>
        <w:ind w:left="454"/>
        <w:jc w:val="both"/>
        <w:rPr>
          <w:b/>
          <w:bCs/>
        </w:rPr>
      </w:pPr>
    </w:p>
    <w:p w14:paraId="3EFB2C54" w14:textId="2A0E766B" w:rsidR="00D61B2B" w:rsidRPr="00B42E08" w:rsidRDefault="00EA6487" w:rsidP="00B42E08">
      <w:pPr>
        <w:pStyle w:val="Default"/>
        <w:jc w:val="both"/>
      </w:pPr>
      <w:r w:rsidRPr="00B42E08">
        <w:t>COOPEAIPE</w:t>
      </w:r>
      <w:r w:rsidR="00D61B2B" w:rsidRPr="00B42E08">
        <w:t xml:space="preserve"> no otorgará créditos a personas que se encuentren en sectores restringidos y que representen un alto riesgo crediticio. Por responsabilidad ética y social no se consideran sujetos de crédito los siguientes grupos, tanto para deudores como codeudores que representen posibles riesgos: </w:t>
      </w:r>
    </w:p>
    <w:p w14:paraId="44E0689C" w14:textId="77777777" w:rsidR="00D61B2B" w:rsidRPr="00B42E08" w:rsidRDefault="00D61B2B" w:rsidP="00B42E08">
      <w:pPr>
        <w:pStyle w:val="Default"/>
        <w:ind w:left="680"/>
        <w:jc w:val="both"/>
      </w:pPr>
    </w:p>
    <w:p w14:paraId="7019F732" w14:textId="77777777" w:rsidR="00D61B2B" w:rsidRPr="00B42E08" w:rsidRDefault="00D61B2B"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t xml:space="preserve">Casinos, juegos de azar y/o casas de apuestas. </w:t>
      </w:r>
    </w:p>
    <w:p w14:paraId="2F2D20CB" w14:textId="77777777" w:rsidR="00D61B2B" w:rsidRPr="00B42E08" w:rsidRDefault="00D61B2B"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t xml:space="preserve">Minería. </w:t>
      </w:r>
    </w:p>
    <w:p w14:paraId="714FC750" w14:textId="77777777" w:rsidR="00D61B2B" w:rsidRPr="00B42E08" w:rsidRDefault="00D61B2B" w:rsidP="00B42E08">
      <w:pPr>
        <w:numPr>
          <w:ilvl w:val="2"/>
          <w:numId w:val="37"/>
        </w:numPr>
        <w:ind w:left="993" w:hanging="284"/>
        <w:jc w:val="both"/>
        <w:rPr>
          <w:rFonts w:ascii="Arial" w:hAnsi="Arial" w:cs="Arial"/>
          <w:bCs/>
          <w:spacing w:val="-3"/>
          <w:sz w:val="24"/>
          <w:szCs w:val="24"/>
        </w:rPr>
      </w:pPr>
      <w:r w:rsidRPr="00B42E08">
        <w:rPr>
          <w:rFonts w:ascii="Arial" w:hAnsi="Arial" w:cs="Arial"/>
          <w:bCs/>
          <w:spacing w:val="-3"/>
          <w:sz w:val="24"/>
          <w:szCs w:val="24"/>
        </w:rPr>
        <w:t xml:space="preserve">Compraventas de vehículos. </w:t>
      </w:r>
    </w:p>
    <w:p w14:paraId="1C9E316A" w14:textId="77777777" w:rsidR="00D61B2B" w:rsidRPr="00B42E08" w:rsidRDefault="00D61B2B" w:rsidP="00B42E08">
      <w:pPr>
        <w:pStyle w:val="Default"/>
      </w:pPr>
    </w:p>
    <w:p w14:paraId="7BDA71F7" w14:textId="4D5BCA60" w:rsidR="00D61B2B" w:rsidRPr="00B42E08" w:rsidRDefault="00D61B2B" w:rsidP="00B42E08">
      <w:pPr>
        <w:pStyle w:val="Default"/>
        <w:jc w:val="both"/>
      </w:pPr>
      <w:r w:rsidRPr="00B42E08">
        <w:t xml:space="preserve">Las solicitudes de crédito que realicen los empleados pertenecientes a estas actividades podrán ser analizadas bajo restricciones de monto y se deberá valorar la experiencia crediticia del asociado tanto en la </w:t>
      </w:r>
      <w:r w:rsidR="00EA6487" w:rsidRPr="00B42E08">
        <w:t>Cooperativa</w:t>
      </w:r>
      <w:r w:rsidRPr="00B42E08">
        <w:t xml:space="preserve"> como en el sector.</w:t>
      </w:r>
    </w:p>
    <w:p w14:paraId="41D261B5" w14:textId="02DAC7CE" w:rsidR="00D61B2B" w:rsidRPr="00B42E08" w:rsidRDefault="00D61B2B" w:rsidP="00B42E08">
      <w:pPr>
        <w:jc w:val="both"/>
        <w:rPr>
          <w:rFonts w:ascii="Arial" w:hAnsi="Arial" w:cs="Arial"/>
          <w:b/>
          <w:spacing w:val="-3"/>
          <w:sz w:val="24"/>
          <w:szCs w:val="24"/>
        </w:rPr>
      </w:pPr>
    </w:p>
    <w:p w14:paraId="56ED5CDE" w14:textId="77777777" w:rsidR="00EA6487" w:rsidRPr="00B42E08" w:rsidRDefault="00EA6487" w:rsidP="00B42E08">
      <w:pPr>
        <w:pStyle w:val="Default"/>
        <w:numPr>
          <w:ilvl w:val="1"/>
          <w:numId w:val="32"/>
        </w:numPr>
        <w:jc w:val="both"/>
        <w:rPr>
          <w:b/>
          <w:bCs/>
        </w:rPr>
      </w:pPr>
      <w:r w:rsidRPr="00B42E08">
        <w:rPr>
          <w:b/>
          <w:bCs/>
        </w:rPr>
        <w:t xml:space="preserve">Sectores - subsectores restringidos por alto riesgo crediticio. </w:t>
      </w:r>
    </w:p>
    <w:p w14:paraId="732B8ADB" w14:textId="77777777" w:rsidR="00EA6487" w:rsidRPr="00B42E08" w:rsidRDefault="00EA6487" w:rsidP="00B42E08">
      <w:pPr>
        <w:pStyle w:val="Default"/>
        <w:jc w:val="both"/>
      </w:pPr>
    </w:p>
    <w:p w14:paraId="1E2FEE53" w14:textId="460FE069" w:rsidR="00EA6487" w:rsidRPr="00B42E08" w:rsidRDefault="00EA6487" w:rsidP="00B42E08">
      <w:pPr>
        <w:pStyle w:val="Default"/>
        <w:jc w:val="both"/>
      </w:pPr>
      <w:r w:rsidRPr="00B42E08">
        <w:t>Teniendo en cuenta la probabilidad de incumplimiento en el pago de las obligaciones y de la inestabilidad del sector, la Cooperativa podrá restringir temporalmente el otorgamiento de créditos a los sectores que presenten alteración negativa en sus principales indicadores, estos serán determinados y evaluados por el comité del Riesgos.</w:t>
      </w:r>
    </w:p>
    <w:p w14:paraId="39FE13E0" w14:textId="77777777" w:rsidR="00EA6487" w:rsidRPr="00B42E08" w:rsidRDefault="00EA6487" w:rsidP="00B42E08">
      <w:pPr>
        <w:jc w:val="both"/>
        <w:rPr>
          <w:rFonts w:ascii="Arial" w:hAnsi="Arial" w:cs="Arial"/>
          <w:b/>
          <w:spacing w:val="-3"/>
          <w:sz w:val="24"/>
          <w:szCs w:val="24"/>
        </w:rPr>
      </w:pPr>
    </w:p>
    <w:p w14:paraId="22CA229B" w14:textId="67813AD4" w:rsidR="0092336A" w:rsidRPr="00B42E08" w:rsidRDefault="00863F04"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DESCRIPCIÓN DE ACTIVIDADES.</w:t>
      </w:r>
    </w:p>
    <w:p w14:paraId="63BAB6C6" w14:textId="77777777" w:rsidR="0092336A" w:rsidRPr="00B42E08" w:rsidRDefault="0092336A" w:rsidP="00B42E08">
      <w:pPr>
        <w:ind w:left="680"/>
        <w:jc w:val="both"/>
        <w:rPr>
          <w:rFonts w:ascii="Arial" w:hAnsi="Arial" w:cs="Arial"/>
          <w:b/>
          <w:spacing w:val="-3"/>
          <w:sz w:val="24"/>
          <w:szCs w:val="24"/>
        </w:rPr>
      </w:pPr>
    </w:p>
    <w:p w14:paraId="2038592F" w14:textId="47EE3CFF" w:rsidR="0092336A" w:rsidRPr="00B42E08" w:rsidRDefault="0092336A" w:rsidP="00B42E08">
      <w:pPr>
        <w:numPr>
          <w:ilvl w:val="1"/>
          <w:numId w:val="32"/>
        </w:numPr>
        <w:jc w:val="both"/>
        <w:rPr>
          <w:rFonts w:ascii="Arial" w:hAnsi="Arial" w:cs="Arial"/>
          <w:b/>
          <w:bCs/>
          <w:spacing w:val="-3"/>
          <w:sz w:val="24"/>
          <w:szCs w:val="24"/>
        </w:rPr>
      </w:pPr>
      <w:r w:rsidRPr="00B42E08">
        <w:rPr>
          <w:rFonts w:ascii="Arial" w:hAnsi="Arial" w:cs="Arial"/>
          <w:b/>
          <w:bCs/>
          <w:sz w:val="24"/>
          <w:szCs w:val="24"/>
        </w:rPr>
        <w:t>NIVELES Y LÍMITES DE EXPOSICIÓN CREDITICIA</w:t>
      </w:r>
    </w:p>
    <w:p w14:paraId="19A6DEA7" w14:textId="77777777" w:rsidR="0092336A" w:rsidRPr="00B42E08" w:rsidRDefault="0092336A" w:rsidP="00B42E08">
      <w:pPr>
        <w:ind w:left="680"/>
        <w:jc w:val="both"/>
        <w:rPr>
          <w:rFonts w:ascii="Arial" w:hAnsi="Arial" w:cs="Arial"/>
          <w:b/>
          <w:bCs/>
          <w:spacing w:val="-3"/>
          <w:sz w:val="24"/>
          <w:szCs w:val="24"/>
        </w:rPr>
      </w:pPr>
    </w:p>
    <w:p w14:paraId="07C36D42" w14:textId="77777777" w:rsidR="000C3A19" w:rsidRPr="00B42E08" w:rsidRDefault="0092336A" w:rsidP="00B42E08">
      <w:pPr>
        <w:numPr>
          <w:ilvl w:val="2"/>
          <w:numId w:val="32"/>
        </w:numPr>
        <w:jc w:val="both"/>
        <w:rPr>
          <w:rFonts w:ascii="Arial" w:hAnsi="Arial" w:cs="Arial"/>
          <w:b/>
          <w:bCs/>
          <w:spacing w:val="-3"/>
          <w:sz w:val="24"/>
          <w:szCs w:val="24"/>
        </w:rPr>
      </w:pPr>
      <w:r w:rsidRPr="00B42E08">
        <w:rPr>
          <w:rFonts w:ascii="Arial" w:hAnsi="Arial" w:cs="Arial"/>
          <w:b/>
          <w:bCs/>
          <w:sz w:val="24"/>
          <w:szCs w:val="24"/>
        </w:rPr>
        <w:lastRenderedPageBreak/>
        <w:t>LIMITES DE EXPOSICIÓN CREDITICIA</w:t>
      </w:r>
    </w:p>
    <w:p w14:paraId="4024B4AB" w14:textId="77777777" w:rsidR="000C3A19" w:rsidRPr="00B42E08" w:rsidRDefault="000C3A19" w:rsidP="00B42E08">
      <w:pPr>
        <w:ind w:left="680"/>
        <w:jc w:val="both"/>
        <w:rPr>
          <w:rFonts w:ascii="Arial" w:hAnsi="Arial" w:cs="Arial"/>
          <w:sz w:val="24"/>
          <w:szCs w:val="24"/>
        </w:rPr>
      </w:pPr>
    </w:p>
    <w:p w14:paraId="591A5163" w14:textId="75DF6F02" w:rsidR="00B20E95" w:rsidRPr="00B42E08" w:rsidRDefault="00EA6487" w:rsidP="00B42E08">
      <w:pPr>
        <w:jc w:val="both"/>
        <w:rPr>
          <w:rFonts w:ascii="Arial" w:hAnsi="Arial" w:cs="Arial"/>
          <w:b/>
          <w:bCs/>
          <w:spacing w:val="-3"/>
          <w:sz w:val="24"/>
          <w:szCs w:val="24"/>
        </w:rPr>
      </w:pPr>
      <w:r w:rsidRPr="00B42E08">
        <w:rPr>
          <w:rFonts w:ascii="Arial" w:hAnsi="Arial" w:cs="Arial"/>
          <w:sz w:val="24"/>
          <w:szCs w:val="24"/>
        </w:rPr>
        <w:t>COOPEAIPE</w:t>
      </w:r>
      <w:r w:rsidR="0092336A" w:rsidRPr="00B42E08">
        <w:rPr>
          <w:rFonts w:ascii="Arial" w:hAnsi="Arial" w:cs="Arial"/>
          <w:sz w:val="24"/>
          <w:szCs w:val="24"/>
        </w:rPr>
        <w:t xml:space="preserve"> de acuerdo con un análisis económico y de riesgo, establece los límites por edad de los asociados deudores y los montos máximos de crédito por modalidades para personas naturales</w:t>
      </w:r>
      <w:r w:rsidR="0056231C" w:rsidRPr="00B42E08">
        <w:rPr>
          <w:rFonts w:ascii="Arial" w:hAnsi="Arial" w:cs="Arial"/>
          <w:sz w:val="24"/>
          <w:szCs w:val="24"/>
        </w:rPr>
        <w:t>.</w:t>
      </w:r>
    </w:p>
    <w:tbl>
      <w:tblPr>
        <w:tblStyle w:val="Tablaconcuadrcula"/>
        <w:tblpPr w:leftFromText="141" w:rightFromText="141" w:vertAnchor="text" w:horzAnchor="page" w:tblpX="3549" w:tblpY="162"/>
        <w:tblW w:w="0" w:type="auto"/>
        <w:tblLook w:val="04A0" w:firstRow="1" w:lastRow="0" w:firstColumn="1" w:lastColumn="0" w:noHBand="0" w:noVBand="1"/>
      </w:tblPr>
      <w:tblGrid>
        <w:gridCol w:w="1523"/>
        <w:gridCol w:w="4001"/>
      </w:tblGrid>
      <w:tr w:rsidR="00B20E95" w:rsidRPr="00B42E08" w14:paraId="625E5B00" w14:textId="77777777" w:rsidTr="00344E8D">
        <w:trPr>
          <w:trHeight w:val="56"/>
        </w:trPr>
        <w:tc>
          <w:tcPr>
            <w:tcW w:w="1523" w:type="dxa"/>
            <w:vAlign w:val="center"/>
          </w:tcPr>
          <w:p w14:paraId="0B839936" w14:textId="77777777" w:rsidR="00B20E95" w:rsidRPr="00B42E08" w:rsidRDefault="00B20E95" w:rsidP="00B42E08">
            <w:pPr>
              <w:jc w:val="center"/>
              <w:rPr>
                <w:rFonts w:ascii="Arial" w:hAnsi="Arial" w:cs="Arial"/>
                <w:b/>
                <w:spacing w:val="-3"/>
                <w:sz w:val="24"/>
                <w:szCs w:val="24"/>
              </w:rPr>
            </w:pPr>
            <w:r w:rsidRPr="00B42E08">
              <w:rPr>
                <w:rFonts w:ascii="Arial" w:hAnsi="Arial" w:cs="Arial"/>
                <w:b/>
                <w:bCs/>
                <w:sz w:val="24"/>
                <w:szCs w:val="24"/>
              </w:rPr>
              <w:t>Modalidad</w:t>
            </w:r>
          </w:p>
        </w:tc>
        <w:tc>
          <w:tcPr>
            <w:tcW w:w="4001" w:type="dxa"/>
            <w:vAlign w:val="center"/>
          </w:tcPr>
          <w:p w14:paraId="52996902" w14:textId="43A1311D" w:rsidR="00B20E95" w:rsidRPr="00B42E08" w:rsidRDefault="00B20E95" w:rsidP="00B42E08">
            <w:pPr>
              <w:pStyle w:val="Default"/>
              <w:jc w:val="center"/>
            </w:pPr>
            <w:r w:rsidRPr="00B42E08">
              <w:rPr>
                <w:b/>
                <w:bCs/>
              </w:rPr>
              <w:t>Edad</w:t>
            </w:r>
          </w:p>
        </w:tc>
      </w:tr>
      <w:tr w:rsidR="00B20E95" w:rsidRPr="00B42E08" w14:paraId="28F98734" w14:textId="77777777" w:rsidTr="00344E8D">
        <w:trPr>
          <w:trHeight w:val="56"/>
        </w:trPr>
        <w:tc>
          <w:tcPr>
            <w:tcW w:w="1523" w:type="dxa"/>
          </w:tcPr>
          <w:p w14:paraId="58D5F0B5" w14:textId="77777777" w:rsidR="00B20E95" w:rsidRPr="00B42E08" w:rsidRDefault="00B20E95" w:rsidP="00B42E08">
            <w:pPr>
              <w:pStyle w:val="Default"/>
              <w:jc w:val="both"/>
            </w:pPr>
            <w:r w:rsidRPr="00B42E08">
              <w:t xml:space="preserve">Consumo </w:t>
            </w:r>
          </w:p>
        </w:tc>
        <w:tc>
          <w:tcPr>
            <w:tcW w:w="4001" w:type="dxa"/>
          </w:tcPr>
          <w:p w14:paraId="22802433" w14:textId="03228063" w:rsidR="00B20E95" w:rsidRPr="00B42E08" w:rsidRDefault="00B20E95" w:rsidP="00B42E08">
            <w:pPr>
              <w:pStyle w:val="Default"/>
              <w:jc w:val="both"/>
            </w:pPr>
            <w:r w:rsidRPr="00B42E08">
              <w:t>Desde los 18 a 7</w:t>
            </w:r>
            <w:r w:rsidR="00344E8D" w:rsidRPr="00B42E08">
              <w:t>0</w:t>
            </w:r>
            <w:r w:rsidRPr="00B42E08">
              <w:t xml:space="preserve"> años</w:t>
            </w:r>
            <w:r w:rsidR="00344E8D" w:rsidRPr="00B42E08">
              <w:t xml:space="preserve"> y 364 días</w:t>
            </w:r>
          </w:p>
        </w:tc>
      </w:tr>
      <w:tr w:rsidR="00B20E95" w:rsidRPr="00B42E08" w14:paraId="3D75D939" w14:textId="77777777" w:rsidTr="00344E8D">
        <w:tc>
          <w:tcPr>
            <w:tcW w:w="1523" w:type="dxa"/>
          </w:tcPr>
          <w:p w14:paraId="07C4A518" w14:textId="77777777" w:rsidR="00B20E95" w:rsidRPr="00B42E08" w:rsidRDefault="00B20E95" w:rsidP="00B42E08">
            <w:pPr>
              <w:pStyle w:val="Default"/>
              <w:jc w:val="both"/>
            </w:pPr>
            <w:r w:rsidRPr="00B42E08">
              <w:t xml:space="preserve">Microcrédito </w:t>
            </w:r>
          </w:p>
        </w:tc>
        <w:tc>
          <w:tcPr>
            <w:tcW w:w="4001" w:type="dxa"/>
          </w:tcPr>
          <w:p w14:paraId="1DFE3CF9" w14:textId="11BC62AF" w:rsidR="00B20E95" w:rsidRPr="00B42E08" w:rsidRDefault="00B20E95" w:rsidP="00B42E08">
            <w:pPr>
              <w:pStyle w:val="Default"/>
              <w:jc w:val="both"/>
            </w:pPr>
            <w:r w:rsidRPr="00B42E08">
              <w:t>Desde los 18 a 7</w:t>
            </w:r>
            <w:r w:rsidR="00344E8D" w:rsidRPr="00B42E08">
              <w:t xml:space="preserve">0 años y 364 días </w:t>
            </w:r>
            <w:r w:rsidRPr="00B42E08">
              <w:t xml:space="preserve"> </w:t>
            </w:r>
          </w:p>
        </w:tc>
      </w:tr>
      <w:tr w:rsidR="00B20E95" w:rsidRPr="00B42E08" w14:paraId="42E0DC7C" w14:textId="77777777" w:rsidTr="00344E8D">
        <w:tc>
          <w:tcPr>
            <w:tcW w:w="1523" w:type="dxa"/>
          </w:tcPr>
          <w:p w14:paraId="6D1B4575" w14:textId="77777777" w:rsidR="00B20E95" w:rsidRPr="00B42E08" w:rsidRDefault="00B20E95" w:rsidP="00B42E08">
            <w:pPr>
              <w:pStyle w:val="Default"/>
              <w:jc w:val="both"/>
            </w:pPr>
            <w:r w:rsidRPr="00B42E08">
              <w:t xml:space="preserve">Vivienda </w:t>
            </w:r>
          </w:p>
        </w:tc>
        <w:tc>
          <w:tcPr>
            <w:tcW w:w="4001" w:type="dxa"/>
          </w:tcPr>
          <w:p w14:paraId="4A448CF8" w14:textId="585D636E" w:rsidR="00B20E95" w:rsidRPr="00B42E08" w:rsidRDefault="00B20E95" w:rsidP="00B42E08">
            <w:pPr>
              <w:pStyle w:val="Default"/>
              <w:jc w:val="both"/>
            </w:pPr>
            <w:r w:rsidRPr="00B42E08">
              <w:t>Desde los 18 a 7</w:t>
            </w:r>
            <w:r w:rsidR="00344E8D" w:rsidRPr="00B42E08">
              <w:t>0</w:t>
            </w:r>
            <w:r w:rsidRPr="00B42E08">
              <w:t xml:space="preserve"> años</w:t>
            </w:r>
            <w:r w:rsidR="00344E8D" w:rsidRPr="00B42E08">
              <w:t xml:space="preserve"> y 364 días </w:t>
            </w:r>
            <w:r w:rsidRPr="00B42E08">
              <w:t xml:space="preserve"> </w:t>
            </w:r>
          </w:p>
        </w:tc>
      </w:tr>
      <w:tr w:rsidR="00EA6487" w:rsidRPr="00B42E08" w14:paraId="6AF73353" w14:textId="77777777" w:rsidTr="00344E8D">
        <w:tc>
          <w:tcPr>
            <w:tcW w:w="1523" w:type="dxa"/>
          </w:tcPr>
          <w:p w14:paraId="381C1EDA" w14:textId="5A7035EA" w:rsidR="00EA6487" w:rsidRPr="00B42E08" w:rsidRDefault="00EA6487" w:rsidP="00B42E08">
            <w:pPr>
              <w:pStyle w:val="Default"/>
              <w:jc w:val="both"/>
            </w:pPr>
            <w:r w:rsidRPr="00B42E08">
              <w:t>Comercial</w:t>
            </w:r>
          </w:p>
        </w:tc>
        <w:tc>
          <w:tcPr>
            <w:tcW w:w="4001" w:type="dxa"/>
          </w:tcPr>
          <w:p w14:paraId="29D8530F" w14:textId="42B71F02" w:rsidR="00EA6487" w:rsidRPr="00B42E08" w:rsidRDefault="00EA6487" w:rsidP="00B42E08">
            <w:pPr>
              <w:pStyle w:val="Default"/>
              <w:jc w:val="both"/>
            </w:pPr>
            <w:r w:rsidRPr="00B42E08">
              <w:t xml:space="preserve">Desde los 18 a 70 años y 364 días  </w:t>
            </w:r>
          </w:p>
        </w:tc>
      </w:tr>
    </w:tbl>
    <w:p w14:paraId="12ACAA2C" w14:textId="733DB1C3" w:rsidR="00B20E95" w:rsidRPr="00B42E08" w:rsidRDefault="00B20E95" w:rsidP="00B42E08">
      <w:pPr>
        <w:ind w:left="680"/>
        <w:jc w:val="both"/>
        <w:rPr>
          <w:rFonts w:ascii="Arial" w:hAnsi="Arial" w:cs="Arial"/>
          <w:sz w:val="24"/>
          <w:szCs w:val="24"/>
        </w:rPr>
      </w:pPr>
    </w:p>
    <w:p w14:paraId="20D98E23" w14:textId="552E97C6" w:rsidR="00B20E95" w:rsidRPr="00B42E08" w:rsidRDefault="00B20E95" w:rsidP="00B42E08">
      <w:pPr>
        <w:ind w:left="680"/>
        <w:jc w:val="both"/>
        <w:rPr>
          <w:rFonts w:ascii="Arial" w:hAnsi="Arial" w:cs="Arial"/>
          <w:sz w:val="24"/>
          <w:szCs w:val="24"/>
        </w:rPr>
      </w:pPr>
    </w:p>
    <w:p w14:paraId="77817692" w14:textId="3CAEB19B" w:rsidR="00B20E95" w:rsidRPr="00B42E08" w:rsidRDefault="00B20E95" w:rsidP="00B42E08">
      <w:pPr>
        <w:ind w:left="680"/>
        <w:jc w:val="both"/>
        <w:rPr>
          <w:rFonts w:ascii="Arial" w:hAnsi="Arial" w:cs="Arial"/>
          <w:sz w:val="24"/>
          <w:szCs w:val="24"/>
        </w:rPr>
      </w:pPr>
    </w:p>
    <w:p w14:paraId="14E056CF" w14:textId="77777777" w:rsidR="00B20E95" w:rsidRPr="00B42E08" w:rsidRDefault="00B20E95" w:rsidP="00B42E08">
      <w:pPr>
        <w:ind w:left="680"/>
        <w:jc w:val="both"/>
        <w:rPr>
          <w:rFonts w:ascii="Arial" w:hAnsi="Arial" w:cs="Arial"/>
          <w:sz w:val="24"/>
          <w:szCs w:val="24"/>
        </w:rPr>
      </w:pPr>
    </w:p>
    <w:p w14:paraId="577F326A" w14:textId="45BDFF4C" w:rsidR="00344E8D" w:rsidRPr="00B42E08" w:rsidRDefault="00344E8D" w:rsidP="00B42E08">
      <w:pPr>
        <w:jc w:val="both"/>
        <w:rPr>
          <w:rFonts w:ascii="Arial" w:hAnsi="Arial" w:cs="Arial"/>
          <w:b/>
          <w:spacing w:val="-3"/>
          <w:sz w:val="24"/>
          <w:szCs w:val="24"/>
        </w:rPr>
      </w:pPr>
    </w:p>
    <w:p w14:paraId="03D86DA4" w14:textId="3FC4AF7D" w:rsidR="00B42E08" w:rsidRDefault="000972AD" w:rsidP="00B42E08">
      <w:pPr>
        <w:jc w:val="both"/>
        <w:rPr>
          <w:rFonts w:ascii="Arial" w:hAnsi="Arial" w:cs="Arial"/>
          <w:b/>
          <w:spacing w:val="-3"/>
          <w:sz w:val="24"/>
          <w:szCs w:val="24"/>
        </w:rPr>
      </w:pPr>
      <w:r w:rsidRPr="00B42E08">
        <w:rPr>
          <w:rFonts w:ascii="Arial" w:hAnsi="Arial" w:cs="Arial"/>
          <w:b/>
          <w:spacing w:val="-3"/>
          <w:sz w:val="24"/>
          <w:szCs w:val="24"/>
        </w:rPr>
        <w:tab/>
      </w:r>
    </w:p>
    <w:p w14:paraId="778D1477" w14:textId="77777777" w:rsidR="00B42E08" w:rsidRPr="00B42E08" w:rsidRDefault="00B42E08" w:rsidP="00B42E08">
      <w:pPr>
        <w:jc w:val="both"/>
        <w:rPr>
          <w:rFonts w:ascii="Arial" w:hAnsi="Arial" w:cs="Arial"/>
          <w:b/>
          <w:spacing w:val="-3"/>
          <w:sz w:val="24"/>
          <w:szCs w:val="24"/>
        </w:rPr>
      </w:pPr>
    </w:p>
    <w:p w14:paraId="746BA1B5" w14:textId="00689914" w:rsidR="003D431F" w:rsidRPr="00B42E08" w:rsidRDefault="003D431F" w:rsidP="00B42E08">
      <w:pPr>
        <w:numPr>
          <w:ilvl w:val="2"/>
          <w:numId w:val="32"/>
        </w:numPr>
        <w:jc w:val="both"/>
        <w:rPr>
          <w:rFonts w:ascii="Arial" w:hAnsi="Arial" w:cs="Arial"/>
          <w:b/>
          <w:bCs/>
          <w:sz w:val="24"/>
          <w:szCs w:val="24"/>
        </w:rPr>
      </w:pPr>
      <w:r w:rsidRPr="00B42E08">
        <w:rPr>
          <w:rFonts w:ascii="Arial" w:hAnsi="Arial" w:cs="Arial"/>
          <w:b/>
          <w:bCs/>
          <w:sz w:val="24"/>
          <w:szCs w:val="24"/>
        </w:rPr>
        <w:t>LÍMITE POR AMPAROS DE SEGUROS DE VIDA DEUDORES POR MONTO</w:t>
      </w:r>
    </w:p>
    <w:tbl>
      <w:tblPr>
        <w:tblStyle w:val="Tablaconcuadrcula"/>
        <w:tblpPr w:leftFromText="141" w:rightFromText="141" w:vertAnchor="text" w:horzAnchor="page" w:tblpX="3549" w:tblpY="162"/>
        <w:tblW w:w="0" w:type="auto"/>
        <w:tblLook w:val="04A0" w:firstRow="1" w:lastRow="0" w:firstColumn="1" w:lastColumn="0" w:noHBand="0" w:noVBand="1"/>
      </w:tblPr>
      <w:tblGrid>
        <w:gridCol w:w="1523"/>
        <w:gridCol w:w="3150"/>
      </w:tblGrid>
      <w:tr w:rsidR="003D431F" w:rsidRPr="00B42E08" w14:paraId="74418CF4" w14:textId="77777777" w:rsidTr="00C77BCA">
        <w:trPr>
          <w:trHeight w:val="56"/>
        </w:trPr>
        <w:tc>
          <w:tcPr>
            <w:tcW w:w="1523" w:type="dxa"/>
            <w:vAlign w:val="center"/>
          </w:tcPr>
          <w:p w14:paraId="625745F4" w14:textId="77777777" w:rsidR="003D431F" w:rsidRPr="00B42E08" w:rsidRDefault="003D431F" w:rsidP="00B42E08">
            <w:pPr>
              <w:jc w:val="center"/>
              <w:rPr>
                <w:rFonts w:ascii="Arial" w:hAnsi="Arial" w:cs="Arial"/>
                <w:b/>
                <w:spacing w:val="-3"/>
                <w:sz w:val="24"/>
                <w:szCs w:val="24"/>
              </w:rPr>
            </w:pPr>
            <w:r w:rsidRPr="00B42E08">
              <w:rPr>
                <w:rFonts w:ascii="Arial" w:hAnsi="Arial" w:cs="Arial"/>
                <w:b/>
                <w:bCs/>
                <w:sz w:val="24"/>
                <w:szCs w:val="24"/>
              </w:rPr>
              <w:t>Modalidad</w:t>
            </w:r>
          </w:p>
        </w:tc>
        <w:tc>
          <w:tcPr>
            <w:tcW w:w="3150" w:type="dxa"/>
            <w:vAlign w:val="center"/>
          </w:tcPr>
          <w:p w14:paraId="49238F69" w14:textId="258B3BD0" w:rsidR="003D431F" w:rsidRPr="00B42E08" w:rsidRDefault="003D431F" w:rsidP="00B42E08">
            <w:pPr>
              <w:pStyle w:val="Default"/>
              <w:jc w:val="center"/>
            </w:pPr>
            <w:r w:rsidRPr="00B42E08">
              <w:rPr>
                <w:b/>
                <w:bCs/>
              </w:rPr>
              <w:t>Monto Amparo</w:t>
            </w:r>
          </w:p>
        </w:tc>
      </w:tr>
      <w:tr w:rsidR="003D431F" w:rsidRPr="00B42E08" w14:paraId="34FD4324" w14:textId="77777777" w:rsidTr="00C77BCA">
        <w:trPr>
          <w:trHeight w:val="56"/>
        </w:trPr>
        <w:tc>
          <w:tcPr>
            <w:tcW w:w="1523" w:type="dxa"/>
          </w:tcPr>
          <w:p w14:paraId="11C9565E" w14:textId="77777777" w:rsidR="003D431F" w:rsidRPr="00B42E08" w:rsidRDefault="003D431F" w:rsidP="00B42E08">
            <w:pPr>
              <w:pStyle w:val="Default"/>
              <w:jc w:val="both"/>
            </w:pPr>
            <w:r w:rsidRPr="00B42E08">
              <w:t xml:space="preserve">Consumo </w:t>
            </w:r>
          </w:p>
        </w:tc>
        <w:tc>
          <w:tcPr>
            <w:tcW w:w="3150" w:type="dxa"/>
            <w:vAlign w:val="center"/>
          </w:tcPr>
          <w:p w14:paraId="74031303" w14:textId="12EEDF58" w:rsidR="003D431F" w:rsidRPr="00B42E08" w:rsidRDefault="00344E8D" w:rsidP="00B42E08">
            <w:pPr>
              <w:pStyle w:val="Default"/>
              <w:jc w:val="center"/>
              <w:rPr>
                <w:color w:val="4F81BD" w:themeColor="accent1"/>
              </w:rPr>
            </w:pPr>
            <w:r w:rsidRPr="00B42E08">
              <w:rPr>
                <w:color w:val="4F81BD" w:themeColor="accent1"/>
              </w:rPr>
              <w:t>$500.000.000*</w:t>
            </w:r>
          </w:p>
        </w:tc>
      </w:tr>
      <w:tr w:rsidR="003D431F" w:rsidRPr="00B42E08" w14:paraId="1EEB9C58" w14:textId="77777777" w:rsidTr="00C77BCA">
        <w:tc>
          <w:tcPr>
            <w:tcW w:w="1523" w:type="dxa"/>
          </w:tcPr>
          <w:p w14:paraId="73058907" w14:textId="77777777" w:rsidR="003D431F" w:rsidRPr="00B42E08" w:rsidRDefault="003D431F" w:rsidP="00B42E08">
            <w:pPr>
              <w:pStyle w:val="Default"/>
              <w:jc w:val="both"/>
            </w:pPr>
            <w:r w:rsidRPr="00B42E08">
              <w:t xml:space="preserve">Microcrédito </w:t>
            </w:r>
          </w:p>
        </w:tc>
        <w:tc>
          <w:tcPr>
            <w:tcW w:w="3150" w:type="dxa"/>
            <w:vAlign w:val="center"/>
          </w:tcPr>
          <w:p w14:paraId="3666C04A" w14:textId="5B6225EC" w:rsidR="003D431F" w:rsidRPr="00B42E08" w:rsidRDefault="00344E8D" w:rsidP="00B42E08">
            <w:pPr>
              <w:pStyle w:val="Default"/>
              <w:jc w:val="center"/>
              <w:rPr>
                <w:color w:val="4F81BD" w:themeColor="accent1"/>
              </w:rPr>
            </w:pPr>
            <w:r w:rsidRPr="00B42E08">
              <w:rPr>
                <w:color w:val="4F81BD" w:themeColor="accent1"/>
              </w:rPr>
              <w:t>$500.000.000*</w:t>
            </w:r>
          </w:p>
        </w:tc>
      </w:tr>
      <w:tr w:rsidR="003D431F" w:rsidRPr="00B42E08" w14:paraId="663E000F" w14:textId="77777777" w:rsidTr="00C77BCA">
        <w:tc>
          <w:tcPr>
            <w:tcW w:w="1523" w:type="dxa"/>
          </w:tcPr>
          <w:p w14:paraId="4FD99E0E" w14:textId="77777777" w:rsidR="003D431F" w:rsidRPr="00B42E08" w:rsidRDefault="003D431F" w:rsidP="00B42E08">
            <w:pPr>
              <w:pStyle w:val="Default"/>
              <w:jc w:val="both"/>
            </w:pPr>
            <w:r w:rsidRPr="00B42E08">
              <w:t xml:space="preserve">Vivienda </w:t>
            </w:r>
          </w:p>
        </w:tc>
        <w:tc>
          <w:tcPr>
            <w:tcW w:w="3150" w:type="dxa"/>
            <w:vAlign w:val="center"/>
          </w:tcPr>
          <w:p w14:paraId="6A9160DD" w14:textId="5F983197" w:rsidR="003D431F" w:rsidRPr="00B42E08" w:rsidRDefault="00344E8D" w:rsidP="00B42E08">
            <w:pPr>
              <w:pStyle w:val="Default"/>
              <w:jc w:val="center"/>
              <w:rPr>
                <w:color w:val="4F81BD" w:themeColor="accent1"/>
              </w:rPr>
            </w:pPr>
            <w:r w:rsidRPr="00B42E08">
              <w:rPr>
                <w:color w:val="4F81BD" w:themeColor="accent1"/>
              </w:rPr>
              <w:t>$500.000.000*</w:t>
            </w:r>
          </w:p>
        </w:tc>
      </w:tr>
      <w:tr w:rsidR="00EA6487" w:rsidRPr="00B42E08" w14:paraId="449AD195" w14:textId="77777777" w:rsidTr="00C77BCA">
        <w:tc>
          <w:tcPr>
            <w:tcW w:w="1523" w:type="dxa"/>
          </w:tcPr>
          <w:p w14:paraId="447D76DE" w14:textId="29054F70" w:rsidR="00EA6487" w:rsidRPr="00B42E08" w:rsidRDefault="00EA6487" w:rsidP="00B42E08">
            <w:pPr>
              <w:pStyle w:val="Default"/>
              <w:jc w:val="both"/>
            </w:pPr>
            <w:r w:rsidRPr="00B42E08">
              <w:t>Comercial</w:t>
            </w:r>
          </w:p>
        </w:tc>
        <w:tc>
          <w:tcPr>
            <w:tcW w:w="3150" w:type="dxa"/>
            <w:vAlign w:val="center"/>
          </w:tcPr>
          <w:p w14:paraId="1C4600D6" w14:textId="6BD97470" w:rsidR="00EA6487" w:rsidRPr="00B42E08" w:rsidRDefault="00EA6487" w:rsidP="00B42E08">
            <w:pPr>
              <w:pStyle w:val="Default"/>
              <w:jc w:val="center"/>
              <w:rPr>
                <w:color w:val="4F81BD" w:themeColor="accent1"/>
              </w:rPr>
            </w:pPr>
            <w:r w:rsidRPr="00B42E08">
              <w:rPr>
                <w:color w:val="4F81BD" w:themeColor="accent1"/>
              </w:rPr>
              <w:t>$500.000.000*</w:t>
            </w:r>
          </w:p>
        </w:tc>
      </w:tr>
    </w:tbl>
    <w:p w14:paraId="687B6ED1" w14:textId="06D44444" w:rsidR="003D431F" w:rsidRPr="00B42E08" w:rsidRDefault="003D431F" w:rsidP="00B42E08">
      <w:pPr>
        <w:jc w:val="both"/>
        <w:rPr>
          <w:rFonts w:ascii="Arial" w:hAnsi="Arial" w:cs="Arial"/>
          <w:b/>
          <w:spacing w:val="-3"/>
          <w:sz w:val="24"/>
          <w:szCs w:val="24"/>
        </w:rPr>
      </w:pPr>
    </w:p>
    <w:p w14:paraId="184B8E37" w14:textId="259B9F96" w:rsidR="003D431F" w:rsidRPr="00B42E08" w:rsidRDefault="003D431F" w:rsidP="00B42E08">
      <w:pPr>
        <w:ind w:left="680"/>
        <w:jc w:val="both"/>
        <w:rPr>
          <w:rFonts w:ascii="Arial" w:hAnsi="Arial" w:cs="Arial"/>
          <w:b/>
          <w:spacing w:val="-3"/>
          <w:sz w:val="24"/>
          <w:szCs w:val="24"/>
        </w:rPr>
      </w:pPr>
    </w:p>
    <w:p w14:paraId="37910373" w14:textId="513E1444" w:rsidR="000C3A19" w:rsidRPr="00B42E08" w:rsidRDefault="000C3A19" w:rsidP="00B42E08">
      <w:pPr>
        <w:ind w:left="680"/>
        <w:jc w:val="both"/>
        <w:rPr>
          <w:rFonts w:ascii="Arial" w:hAnsi="Arial" w:cs="Arial"/>
          <w:b/>
          <w:spacing w:val="-3"/>
          <w:sz w:val="24"/>
          <w:szCs w:val="24"/>
        </w:rPr>
      </w:pPr>
    </w:p>
    <w:p w14:paraId="559C451A" w14:textId="6713CC76" w:rsidR="000C3A19" w:rsidRPr="00B42E08" w:rsidRDefault="000C3A19" w:rsidP="00B42E08">
      <w:pPr>
        <w:ind w:left="680"/>
        <w:jc w:val="both"/>
        <w:rPr>
          <w:rFonts w:ascii="Arial" w:hAnsi="Arial" w:cs="Arial"/>
          <w:b/>
          <w:spacing w:val="-3"/>
          <w:sz w:val="24"/>
          <w:szCs w:val="24"/>
        </w:rPr>
      </w:pPr>
    </w:p>
    <w:p w14:paraId="7D97B8C9" w14:textId="4098E2C4" w:rsidR="000C3A19" w:rsidRPr="00B42E08" w:rsidRDefault="000C3A19" w:rsidP="00B42E08">
      <w:pPr>
        <w:ind w:left="680"/>
        <w:jc w:val="both"/>
        <w:rPr>
          <w:rFonts w:ascii="Arial" w:hAnsi="Arial" w:cs="Arial"/>
          <w:b/>
          <w:spacing w:val="-3"/>
          <w:sz w:val="24"/>
          <w:szCs w:val="24"/>
        </w:rPr>
      </w:pPr>
    </w:p>
    <w:p w14:paraId="1758127E" w14:textId="258F9399" w:rsidR="00344E8D" w:rsidRPr="00B42E08" w:rsidRDefault="00344E8D" w:rsidP="00B42E08">
      <w:pPr>
        <w:jc w:val="both"/>
        <w:rPr>
          <w:rFonts w:ascii="Arial" w:hAnsi="Arial" w:cs="Arial"/>
          <w:b/>
          <w:spacing w:val="-3"/>
          <w:sz w:val="24"/>
          <w:szCs w:val="24"/>
        </w:rPr>
      </w:pPr>
    </w:p>
    <w:p w14:paraId="101E19BE" w14:textId="77777777" w:rsidR="00EA6487" w:rsidRPr="00B42E08" w:rsidRDefault="00EA6487" w:rsidP="00B42E08">
      <w:pPr>
        <w:jc w:val="both"/>
        <w:rPr>
          <w:rFonts w:ascii="Arial" w:hAnsi="Arial" w:cs="Arial"/>
          <w:b/>
          <w:spacing w:val="-3"/>
          <w:sz w:val="24"/>
          <w:szCs w:val="24"/>
        </w:rPr>
      </w:pPr>
    </w:p>
    <w:p w14:paraId="44405AD6" w14:textId="61D3C011" w:rsidR="000C3A19" w:rsidRPr="00B42E08" w:rsidRDefault="00344E8D" w:rsidP="00B42E08">
      <w:pPr>
        <w:jc w:val="both"/>
        <w:rPr>
          <w:rFonts w:ascii="Arial" w:hAnsi="Arial" w:cs="Arial"/>
          <w:bCs/>
          <w:spacing w:val="-3"/>
          <w:sz w:val="24"/>
          <w:szCs w:val="24"/>
        </w:rPr>
      </w:pPr>
      <w:r w:rsidRPr="00B42E08">
        <w:rPr>
          <w:rFonts w:ascii="Arial" w:hAnsi="Arial" w:cs="Arial"/>
          <w:bCs/>
          <w:spacing w:val="-3"/>
          <w:sz w:val="24"/>
          <w:szCs w:val="24"/>
        </w:rPr>
        <w:t xml:space="preserve">*Montos superiores a $500.000.000 previa autorización de la compañía y estudio de documentos exigidos </w:t>
      </w:r>
    </w:p>
    <w:p w14:paraId="21DEC489" w14:textId="161238C8" w:rsidR="00344E8D" w:rsidRPr="00B42E08" w:rsidRDefault="00344E8D" w:rsidP="00B42E08">
      <w:pPr>
        <w:jc w:val="both"/>
        <w:rPr>
          <w:rFonts w:ascii="Arial" w:hAnsi="Arial" w:cs="Arial"/>
          <w:b/>
          <w:spacing w:val="-3"/>
          <w:sz w:val="24"/>
          <w:szCs w:val="24"/>
        </w:rPr>
      </w:pPr>
    </w:p>
    <w:p w14:paraId="2224227A" w14:textId="4719182B" w:rsidR="00EA6487" w:rsidRPr="00B42E08" w:rsidRDefault="00EA6487" w:rsidP="00B42E08">
      <w:pPr>
        <w:jc w:val="both"/>
        <w:rPr>
          <w:rFonts w:ascii="Arial" w:hAnsi="Arial" w:cs="Arial"/>
          <w:bCs/>
          <w:spacing w:val="-3"/>
          <w:sz w:val="24"/>
          <w:szCs w:val="24"/>
        </w:rPr>
      </w:pPr>
      <w:r w:rsidRPr="00B42E08">
        <w:rPr>
          <w:rFonts w:ascii="Arial" w:hAnsi="Arial" w:cs="Arial"/>
          <w:bCs/>
          <w:spacing w:val="-3"/>
          <w:sz w:val="24"/>
          <w:szCs w:val="24"/>
        </w:rPr>
        <w:t>Nota: Los amparos con la aseguradora La Equidad no cubren personas jurídicas.</w:t>
      </w:r>
    </w:p>
    <w:p w14:paraId="5B9E2F3C" w14:textId="77777777" w:rsidR="00EA22E2" w:rsidRPr="00B42E08" w:rsidRDefault="00EA22E2" w:rsidP="00B42E08">
      <w:pPr>
        <w:jc w:val="both"/>
        <w:rPr>
          <w:rFonts w:ascii="Arial" w:hAnsi="Arial" w:cs="Arial"/>
          <w:color w:val="4F81BD" w:themeColor="accent1"/>
          <w:sz w:val="24"/>
          <w:szCs w:val="24"/>
        </w:rPr>
      </w:pPr>
    </w:p>
    <w:p w14:paraId="5E86E6AA" w14:textId="77777777"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 xml:space="preserve">Teniendo en cuenta lo anterior, la edad máxima de los asociados para adquirir créditos en la Cooperativa es de 71 años, pero la edad máxima que cubre el seguro de vida deudores es de 85 años. Dada la cobertura de la póliza, se realizará la excepción a la edad límite del asociado deudor para adquirir créditos siempre y cuando éste posea una antigüedad mínima de 12 meses en la Cooperativa. </w:t>
      </w:r>
    </w:p>
    <w:p w14:paraId="784BE7BD" w14:textId="77777777" w:rsidR="00EA22E2" w:rsidRPr="00B42E08" w:rsidRDefault="00EA22E2" w:rsidP="00B42E08">
      <w:pPr>
        <w:jc w:val="both"/>
        <w:rPr>
          <w:rFonts w:ascii="Arial" w:hAnsi="Arial" w:cs="Arial"/>
          <w:bCs/>
          <w:spacing w:val="-3"/>
          <w:sz w:val="24"/>
          <w:szCs w:val="24"/>
        </w:rPr>
      </w:pPr>
    </w:p>
    <w:p w14:paraId="130631A7" w14:textId="77777777"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Cuando un asociado con edad superior a 70 años solicite un crédito que supere los $30.000.000 o la sumatoria de las obligaciones vigentes que posea en la Cooperativa sea mayor a dicho valor, la nueva solicitud deberá enviarse a la Equidad Seguros con el objetivo de determinar la viabilidad de su asegurabilidad teniendo en cuenta las condiciones establecidas en la póliza.</w:t>
      </w:r>
    </w:p>
    <w:p w14:paraId="28193F0E" w14:textId="77777777" w:rsidR="00EA22E2" w:rsidRPr="00B42E08" w:rsidRDefault="00EA22E2" w:rsidP="00B42E08">
      <w:pPr>
        <w:jc w:val="both"/>
        <w:rPr>
          <w:rFonts w:ascii="Arial" w:hAnsi="Arial" w:cs="Arial"/>
          <w:b/>
          <w:spacing w:val="-3"/>
          <w:sz w:val="24"/>
          <w:szCs w:val="24"/>
        </w:rPr>
      </w:pPr>
    </w:p>
    <w:p w14:paraId="2B4D49C3" w14:textId="7C4374A7" w:rsidR="003D431F" w:rsidRPr="00B42E08" w:rsidRDefault="003D431F" w:rsidP="00B42E08">
      <w:pPr>
        <w:numPr>
          <w:ilvl w:val="2"/>
          <w:numId w:val="32"/>
        </w:numPr>
        <w:jc w:val="both"/>
        <w:rPr>
          <w:rFonts w:ascii="Arial" w:hAnsi="Arial" w:cs="Arial"/>
          <w:b/>
          <w:bCs/>
          <w:sz w:val="24"/>
          <w:szCs w:val="24"/>
        </w:rPr>
      </w:pPr>
      <w:r w:rsidRPr="00B42E08">
        <w:rPr>
          <w:rFonts w:ascii="Arial" w:hAnsi="Arial" w:cs="Arial"/>
          <w:b/>
          <w:bCs/>
          <w:sz w:val="24"/>
          <w:szCs w:val="24"/>
        </w:rPr>
        <w:t>LÍMITE POR AMPAROS DE SEGUROS DE VIDA DEUDORES POR EDAD</w:t>
      </w:r>
    </w:p>
    <w:tbl>
      <w:tblPr>
        <w:tblStyle w:val="Tablaconcuadrcula"/>
        <w:tblpPr w:leftFromText="141" w:rightFromText="141" w:vertAnchor="text" w:horzAnchor="margin" w:tblpXSpec="center" w:tblpY="162"/>
        <w:tblW w:w="0" w:type="auto"/>
        <w:tblLook w:val="04A0" w:firstRow="1" w:lastRow="0" w:firstColumn="1" w:lastColumn="0" w:noHBand="0" w:noVBand="1"/>
      </w:tblPr>
      <w:tblGrid>
        <w:gridCol w:w="1523"/>
        <w:gridCol w:w="3150"/>
      </w:tblGrid>
      <w:tr w:rsidR="000972AD" w:rsidRPr="00B42E08" w14:paraId="1D224355" w14:textId="77777777" w:rsidTr="000972AD">
        <w:trPr>
          <w:trHeight w:val="56"/>
        </w:trPr>
        <w:tc>
          <w:tcPr>
            <w:tcW w:w="1523" w:type="dxa"/>
            <w:vAlign w:val="center"/>
          </w:tcPr>
          <w:p w14:paraId="68903346" w14:textId="77777777" w:rsidR="000972AD" w:rsidRPr="00B42E08" w:rsidRDefault="000972AD" w:rsidP="00B42E08">
            <w:pPr>
              <w:jc w:val="center"/>
              <w:rPr>
                <w:rFonts w:ascii="Arial" w:hAnsi="Arial" w:cs="Arial"/>
                <w:b/>
                <w:spacing w:val="-3"/>
                <w:sz w:val="24"/>
                <w:szCs w:val="24"/>
              </w:rPr>
            </w:pPr>
            <w:r w:rsidRPr="00B42E08">
              <w:rPr>
                <w:rFonts w:ascii="Arial" w:hAnsi="Arial" w:cs="Arial"/>
                <w:b/>
                <w:bCs/>
                <w:sz w:val="24"/>
                <w:szCs w:val="24"/>
              </w:rPr>
              <w:t>Modalidad</w:t>
            </w:r>
          </w:p>
        </w:tc>
        <w:tc>
          <w:tcPr>
            <w:tcW w:w="3150" w:type="dxa"/>
            <w:vAlign w:val="center"/>
          </w:tcPr>
          <w:p w14:paraId="7F0BE875" w14:textId="77777777" w:rsidR="000972AD" w:rsidRPr="00B42E08" w:rsidRDefault="000972AD" w:rsidP="00B42E08">
            <w:pPr>
              <w:pStyle w:val="Default"/>
              <w:jc w:val="center"/>
              <w:rPr>
                <w:b/>
                <w:bCs/>
              </w:rPr>
            </w:pPr>
            <w:r w:rsidRPr="00B42E08">
              <w:rPr>
                <w:b/>
                <w:bCs/>
              </w:rPr>
              <w:t>EDAD MÁXIMA</w:t>
            </w:r>
          </w:p>
        </w:tc>
      </w:tr>
      <w:tr w:rsidR="000972AD" w:rsidRPr="00B42E08" w14:paraId="1EB490BB" w14:textId="77777777" w:rsidTr="000972AD">
        <w:trPr>
          <w:trHeight w:val="56"/>
        </w:trPr>
        <w:tc>
          <w:tcPr>
            <w:tcW w:w="1523" w:type="dxa"/>
          </w:tcPr>
          <w:p w14:paraId="467DD644" w14:textId="77777777" w:rsidR="000972AD" w:rsidRPr="00B42E08" w:rsidRDefault="000972AD" w:rsidP="00B42E08">
            <w:pPr>
              <w:pStyle w:val="Default"/>
              <w:jc w:val="both"/>
            </w:pPr>
            <w:r w:rsidRPr="00B42E08">
              <w:t xml:space="preserve">Consumo </w:t>
            </w:r>
          </w:p>
        </w:tc>
        <w:tc>
          <w:tcPr>
            <w:tcW w:w="3150" w:type="dxa"/>
            <w:vAlign w:val="center"/>
          </w:tcPr>
          <w:p w14:paraId="6491C5FE" w14:textId="77777777" w:rsidR="000972AD" w:rsidRPr="00B42E08" w:rsidRDefault="000972AD" w:rsidP="00B42E08">
            <w:pPr>
              <w:pStyle w:val="Default"/>
              <w:jc w:val="center"/>
              <w:rPr>
                <w:color w:val="4F81BD" w:themeColor="accent1"/>
              </w:rPr>
            </w:pPr>
            <w:r w:rsidRPr="00B42E08">
              <w:t>70 años y 364 días</w:t>
            </w:r>
          </w:p>
        </w:tc>
      </w:tr>
      <w:tr w:rsidR="000972AD" w:rsidRPr="00B42E08" w14:paraId="0C760892" w14:textId="77777777" w:rsidTr="000972AD">
        <w:tc>
          <w:tcPr>
            <w:tcW w:w="1523" w:type="dxa"/>
          </w:tcPr>
          <w:p w14:paraId="1021176D" w14:textId="77777777" w:rsidR="000972AD" w:rsidRPr="00B42E08" w:rsidRDefault="000972AD" w:rsidP="00B42E08">
            <w:pPr>
              <w:pStyle w:val="Default"/>
              <w:jc w:val="both"/>
            </w:pPr>
            <w:r w:rsidRPr="00B42E08">
              <w:lastRenderedPageBreak/>
              <w:t xml:space="preserve">Microcrédito </w:t>
            </w:r>
          </w:p>
        </w:tc>
        <w:tc>
          <w:tcPr>
            <w:tcW w:w="3150" w:type="dxa"/>
            <w:vAlign w:val="center"/>
          </w:tcPr>
          <w:p w14:paraId="608C5AA1" w14:textId="77777777" w:rsidR="000972AD" w:rsidRPr="00B42E08" w:rsidRDefault="000972AD" w:rsidP="00B42E08">
            <w:pPr>
              <w:pStyle w:val="Default"/>
              <w:jc w:val="center"/>
              <w:rPr>
                <w:color w:val="4F81BD" w:themeColor="accent1"/>
              </w:rPr>
            </w:pPr>
            <w:r w:rsidRPr="00B42E08">
              <w:t>70 años y 364 días</w:t>
            </w:r>
          </w:p>
        </w:tc>
      </w:tr>
      <w:tr w:rsidR="000972AD" w:rsidRPr="00B42E08" w14:paraId="3880AAA4" w14:textId="77777777" w:rsidTr="000972AD">
        <w:tc>
          <w:tcPr>
            <w:tcW w:w="1523" w:type="dxa"/>
          </w:tcPr>
          <w:p w14:paraId="27338E6D" w14:textId="77777777" w:rsidR="000972AD" w:rsidRPr="00B42E08" w:rsidRDefault="000972AD" w:rsidP="00B42E08">
            <w:pPr>
              <w:pStyle w:val="Default"/>
              <w:jc w:val="both"/>
            </w:pPr>
            <w:r w:rsidRPr="00B42E08">
              <w:t xml:space="preserve">Vivienda </w:t>
            </w:r>
          </w:p>
        </w:tc>
        <w:tc>
          <w:tcPr>
            <w:tcW w:w="3150" w:type="dxa"/>
            <w:vAlign w:val="center"/>
          </w:tcPr>
          <w:p w14:paraId="7FEBA6B6" w14:textId="77777777" w:rsidR="000972AD" w:rsidRPr="00B42E08" w:rsidRDefault="000972AD" w:rsidP="00B42E08">
            <w:pPr>
              <w:pStyle w:val="Default"/>
              <w:jc w:val="center"/>
              <w:rPr>
                <w:color w:val="4F81BD" w:themeColor="accent1"/>
              </w:rPr>
            </w:pPr>
            <w:r w:rsidRPr="00B42E08">
              <w:t>70 años y 364 días</w:t>
            </w:r>
          </w:p>
        </w:tc>
      </w:tr>
      <w:tr w:rsidR="00EA6487" w:rsidRPr="00B42E08" w14:paraId="4CD286B4" w14:textId="77777777" w:rsidTr="000972AD">
        <w:tc>
          <w:tcPr>
            <w:tcW w:w="1523" w:type="dxa"/>
          </w:tcPr>
          <w:p w14:paraId="7FC60BD1" w14:textId="1D7A6393" w:rsidR="00EA6487" w:rsidRPr="00B42E08" w:rsidRDefault="00EA6487" w:rsidP="00B42E08">
            <w:pPr>
              <w:pStyle w:val="Default"/>
              <w:jc w:val="both"/>
            </w:pPr>
            <w:r w:rsidRPr="00B42E08">
              <w:t>Comercial</w:t>
            </w:r>
          </w:p>
        </w:tc>
        <w:tc>
          <w:tcPr>
            <w:tcW w:w="3150" w:type="dxa"/>
            <w:vAlign w:val="center"/>
          </w:tcPr>
          <w:p w14:paraId="6BC056E5" w14:textId="0D389A7D" w:rsidR="00EA6487" w:rsidRPr="00B42E08" w:rsidRDefault="00EA6487" w:rsidP="00B42E08">
            <w:pPr>
              <w:pStyle w:val="Default"/>
              <w:jc w:val="center"/>
            </w:pPr>
            <w:r w:rsidRPr="00B42E08">
              <w:t>70 años y 364 días</w:t>
            </w:r>
          </w:p>
        </w:tc>
      </w:tr>
    </w:tbl>
    <w:p w14:paraId="3BDBA4E6" w14:textId="17F4ECD2" w:rsidR="003D431F" w:rsidRPr="00B42E08" w:rsidRDefault="003D431F" w:rsidP="00B42E08">
      <w:pPr>
        <w:ind w:left="680"/>
        <w:jc w:val="both"/>
        <w:rPr>
          <w:rFonts w:ascii="Arial" w:hAnsi="Arial" w:cs="Arial"/>
          <w:b/>
          <w:spacing w:val="-3"/>
          <w:sz w:val="24"/>
          <w:szCs w:val="24"/>
        </w:rPr>
      </w:pPr>
    </w:p>
    <w:p w14:paraId="2A2DEA04" w14:textId="3E7757FF" w:rsidR="003D431F" w:rsidRPr="00B42E08" w:rsidRDefault="003D431F" w:rsidP="00B42E08">
      <w:pPr>
        <w:ind w:left="680"/>
        <w:jc w:val="both"/>
        <w:rPr>
          <w:rFonts w:ascii="Arial" w:hAnsi="Arial" w:cs="Arial"/>
          <w:b/>
          <w:spacing w:val="-3"/>
          <w:sz w:val="24"/>
          <w:szCs w:val="24"/>
        </w:rPr>
      </w:pPr>
    </w:p>
    <w:p w14:paraId="549BF192" w14:textId="7A571310" w:rsidR="00344E8D" w:rsidRDefault="00344E8D" w:rsidP="00B42E08">
      <w:pPr>
        <w:jc w:val="both"/>
        <w:rPr>
          <w:rFonts w:ascii="Arial" w:hAnsi="Arial" w:cs="Arial"/>
          <w:b/>
          <w:spacing w:val="-3"/>
          <w:sz w:val="24"/>
          <w:szCs w:val="24"/>
        </w:rPr>
      </w:pPr>
    </w:p>
    <w:p w14:paraId="79833423" w14:textId="77777777" w:rsidR="00B42E08" w:rsidRPr="00B42E08" w:rsidRDefault="00B42E08" w:rsidP="00B42E08">
      <w:pPr>
        <w:jc w:val="both"/>
        <w:rPr>
          <w:rFonts w:ascii="Arial" w:hAnsi="Arial" w:cs="Arial"/>
          <w:b/>
          <w:spacing w:val="-3"/>
          <w:sz w:val="24"/>
          <w:szCs w:val="24"/>
        </w:rPr>
      </w:pPr>
    </w:p>
    <w:p w14:paraId="3ED8F100" w14:textId="77777777" w:rsidR="00EA6487" w:rsidRPr="00B42E08" w:rsidRDefault="00EA6487" w:rsidP="00B42E08">
      <w:pPr>
        <w:jc w:val="both"/>
        <w:rPr>
          <w:rFonts w:ascii="Arial" w:hAnsi="Arial" w:cs="Arial"/>
          <w:bCs/>
          <w:spacing w:val="-3"/>
          <w:sz w:val="24"/>
          <w:szCs w:val="24"/>
        </w:rPr>
      </w:pPr>
      <w:r w:rsidRPr="00B42E08">
        <w:rPr>
          <w:rFonts w:ascii="Arial" w:hAnsi="Arial" w:cs="Arial"/>
          <w:bCs/>
          <w:spacing w:val="-3"/>
          <w:sz w:val="24"/>
          <w:szCs w:val="24"/>
        </w:rPr>
        <w:t>Nota: Los amparos con la aseguradora La Equidad no cubren personas jurídicas.</w:t>
      </w:r>
    </w:p>
    <w:p w14:paraId="381498E1" w14:textId="50EE412D" w:rsidR="00FA16AE" w:rsidRPr="00B42E08" w:rsidRDefault="00FA16AE" w:rsidP="00B42E08">
      <w:pPr>
        <w:jc w:val="both"/>
        <w:rPr>
          <w:rFonts w:ascii="Arial" w:hAnsi="Arial" w:cs="Arial"/>
          <w:color w:val="4F81BD" w:themeColor="accent1"/>
          <w:sz w:val="24"/>
          <w:szCs w:val="24"/>
        </w:rPr>
      </w:pPr>
    </w:p>
    <w:p w14:paraId="4B949C9A" w14:textId="776C724B"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 xml:space="preserve">Teniendo en cuenta lo anterior, la edad máxima de los asociados para adquirir créditos en la Cooperativa es de 71 años, pero la edad máxima que cubre el seguro de vida deudores es de 85 años. Dada la cobertura de la póliza, se realizará la excepción a la edad límite del asociado deudor para adquirir créditos siempre y cuando éste posea una antigüedad mínima de 12 meses en la Cooperativa. </w:t>
      </w:r>
    </w:p>
    <w:p w14:paraId="7D7DB9C3" w14:textId="77777777" w:rsidR="00EA22E2" w:rsidRPr="00B42E08" w:rsidRDefault="00EA22E2" w:rsidP="00B42E08">
      <w:pPr>
        <w:jc w:val="both"/>
        <w:rPr>
          <w:rFonts w:ascii="Arial" w:hAnsi="Arial" w:cs="Arial"/>
          <w:bCs/>
          <w:spacing w:val="-3"/>
          <w:sz w:val="24"/>
          <w:szCs w:val="24"/>
        </w:rPr>
      </w:pPr>
    </w:p>
    <w:p w14:paraId="5F4744EC" w14:textId="11913A72"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Cuando un asociado con edad superior a 70 años solicite un crédito que supere los $30.000.000 o la sumatoria de las obligaciones vigentes que posea en la Cooperativa sea mayor a dicho valor, la nueva solicitud deberá enviarse a la Equidad Seguros con el objetivo de determinar la viabilidad de su asegurabilidad teniendo en cuenta las condiciones establecidas en la póliza.</w:t>
      </w:r>
    </w:p>
    <w:p w14:paraId="3C1820EA" w14:textId="77777777" w:rsidR="00EA22E2" w:rsidRPr="00B42E08" w:rsidRDefault="00EA22E2" w:rsidP="00B42E08">
      <w:pPr>
        <w:jc w:val="both"/>
        <w:rPr>
          <w:rFonts w:ascii="Arial" w:hAnsi="Arial" w:cs="Arial"/>
          <w:bCs/>
          <w:spacing w:val="-3"/>
          <w:sz w:val="24"/>
          <w:szCs w:val="24"/>
        </w:rPr>
      </w:pPr>
    </w:p>
    <w:p w14:paraId="346B323A" w14:textId="421CA251" w:rsidR="00EF61DD" w:rsidRPr="00B42E08" w:rsidRDefault="009424BB" w:rsidP="00B42E08">
      <w:pPr>
        <w:numPr>
          <w:ilvl w:val="2"/>
          <w:numId w:val="32"/>
        </w:numPr>
        <w:jc w:val="both"/>
        <w:rPr>
          <w:rFonts w:ascii="Arial" w:hAnsi="Arial" w:cs="Arial"/>
          <w:color w:val="4F81BD" w:themeColor="accent1"/>
          <w:sz w:val="24"/>
          <w:szCs w:val="24"/>
        </w:rPr>
      </w:pPr>
      <w:bookmarkStart w:id="2" w:name="_Ref83832153"/>
      <w:r w:rsidRPr="00B42E08">
        <w:rPr>
          <w:rFonts w:ascii="Arial" w:hAnsi="Arial" w:cs="Arial"/>
          <w:b/>
          <w:bCs/>
          <w:sz w:val="24"/>
          <w:szCs w:val="24"/>
        </w:rPr>
        <w:t>ENDEUDAMIENTO MÁXIMO POR TIPO DE ASOCIADO</w:t>
      </w:r>
      <w:r w:rsidRPr="00B42E08">
        <w:rPr>
          <w:rFonts w:ascii="Arial" w:hAnsi="Arial" w:cs="Arial"/>
          <w:color w:val="4F81BD" w:themeColor="accent1"/>
          <w:sz w:val="24"/>
          <w:szCs w:val="24"/>
        </w:rPr>
        <w:t>.</w:t>
      </w:r>
      <w:bookmarkEnd w:id="2"/>
    </w:p>
    <w:p w14:paraId="402EC9F5" w14:textId="77777777" w:rsidR="00EF61DD" w:rsidRPr="00B42E08" w:rsidRDefault="00EF61DD" w:rsidP="00B42E08">
      <w:pPr>
        <w:jc w:val="both"/>
        <w:rPr>
          <w:rFonts w:ascii="Arial" w:hAnsi="Arial" w:cs="Arial"/>
          <w:color w:val="4F81BD" w:themeColor="accent1"/>
          <w:sz w:val="24"/>
          <w:szCs w:val="24"/>
        </w:rPr>
      </w:pPr>
    </w:p>
    <w:p w14:paraId="44B3474D" w14:textId="0E033913" w:rsidR="00EF61DD" w:rsidRPr="00B42E08" w:rsidRDefault="00EF61DD" w:rsidP="00B42E08">
      <w:pPr>
        <w:jc w:val="both"/>
        <w:rPr>
          <w:rFonts w:ascii="Arial" w:hAnsi="Arial" w:cs="Arial"/>
          <w:color w:val="4F81BD" w:themeColor="accent1"/>
          <w:sz w:val="24"/>
          <w:szCs w:val="24"/>
        </w:rPr>
      </w:pPr>
      <w:r w:rsidRPr="00B42E08">
        <w:rPr>
          <w:rFonts w:ascii="Arial" w:hAnsi="Arial" w:cs="Arial"/>
          <w:sz w:val="24"/>
          <w:szCs w:val="24"/>
        </w:rPr>
        <w:t xml:space="preserve">El valor máximo acumulado, teniendo en cuenta todas las líneas y destinos de crédito que tengan en </w:t>
      </w:r>
      <w:r w:rsidR="00EA6487" w:rsidRPr="00B42E08">
        <w:rPr>
          <w:rFonts w:ascii="Arial" w:hAnsi="Arial" w:cs="Arial"/>
          <w:sz w:val="24"/>
          <w:szCs w:val="24"/>
        </w:rPr>
        <w:t>COOPEAIPE</w:t>
      </w:r>
      <w:r w:rsidRPr="00B42E08">
        <w:rPr>
          <w:rFonts w:ascii="Arial" w:hAnsi="Arial" w:cs="Arial"/>
          <w:sz w:val="24"/>
          <w:szCs w:val="24"/>
        </w:rPr>
        <w:t>, se establece de acuerdo con la cobertura de la póliza de vida deudores</w:t>
      </w:r>
      <w:r w:rsidRPr="00B42E08">
        <w:rPr>
          <w:rFonts w:ascii="Arial" w:hAnsi="Arial" w:cs="Arial"/>
          <w:color w:val="4F81BD" w:themeColor="accent1"/>
          <w:sz w:val="24"/>
          <w:szCs w:val="24"/>
        </w:rPr>
        <w:t>:</w:t>
      </w:r>
    </w:p>
    <w:tbl>
      <w:tblPr>
        <w:tblStyle w:val="Tablaconcuadrcula"/>
        <w:tblpPr w:leftFromText="141" w:rightFromText="141" w:vertAnchor="text" w:horzAnchor="margin" w:tblpXSpec="center" w:tblpY="220"/>
        <w:tblW w:w="0" w:type="auto"/>
        <w:tblLook w:val="04A0" w:firstRow="1" w:lastRow="0" w:firstColumn="1" w:lastColumn="0" w:noHBand="0" w:noVBand="1"/>
      </w:tblPr>
      <w:tblGrid>
        <w:gridCol w:w="1523"/>
        <w:gridCol w:w="3150"/>
      </w:tblGrid>
      <w:tr w:rsidR="00EF61DD" w:rsidRPr="00B42E08" w14:paraId="37BDE27A" w14:textId="77777777" w:rsidTr="00C77BCA">
        <w:trPr>
          <w:trHeight w:val="56"/>
        </w:trPr>
        <w:tc>
          <w:tcPr>
            <w:tcW w:w="1523" w:type="dxa"/>
            <w:vAlign w:val="center"/>
          </w:tcPr>
          <w:p w14:paraId="6210608D" w14:textId="77777777" w:rsidR="00EF61DD" w:rsidRPr="00B42E08" w:rsidRDefault="00EF61DD" w:rsidP="00B42E08">
            <w:pPr>
              <w:jc w:val="center"/>
              <w:rPr>
                <w:rFonts w:ascii="Arial" w:hAnsi="Arial" w:cs="Arial"/>
                <w:b/>
                <w:spacing w:val="-3"/>
                <w:sz w:val="24"/>
                <w:szCs w:val="24"/>
              </w:rPr>
            </w:pPr>
            <w:r w:rsidRPr="00B42E08">
              <w:rPr>
                <w:rFonts w:ascii="Arial" w:hAnsi="Arial" w:cs="Arial"/>
                <w:b/>
                <w:bCs/>
                <w:sz w:val="24"/>
                <w:szCs w:val="24"/>
              </w:rPr>
              <w:t>Modalidad</w:t>
            </w:r>
          </w:p>
        </w:tc>
        <w:tc>
          <w:tcPr>
            <w:tcW w:w="3150" w:type="dxa"/>
            <w:vAlign w:val="center"/>
          </w:tcPr>
          <w:p w14:paraId="2954DD63" w14:textId="602D68A6" w:rsidR="00EF61DD" w:rsidRPr="00B42E08" w:rsidRDefault="00EF61DD" w:rsidP="00B42E08">
            <w:pPr>
              <w:pStyle w:val="Default"/>
              <w:jc w:val="center"/>
            </w:pPr>
            <w:r w:rsidRPr="00B42E08">
              <w:rPr>
                <w:b/>
                <w:bCs/>
              </w:rPr>
              <w:t>Monto Máximo de endeudamiento (SMMLV)</w:t>
            </w:r>
          </w:p>
        </w:tc>
      </w:tr>
      <w:tr w:rsidR="00EF61DD" w:rsidRPr="00B42E08" w14:paraId="3A38AB33" w14:textId="77777777" w:rsidTr="00C77BCA">
        <w:trPr>
          <w:trHeight w:val="56"/>
        </w:trPr>
        <w:tc>
          <w:tcPr>
            <w:tcW w:w="1523" w:type="dxa"/>
          </w:tcPr>
          <w:p w14:paraId="0AA62F0D" w14:textId="77777777" w:rsidR="00EF61DD" w:rsidRPr="00B42E08" w:rsidRDefault="00EF61DD" w:rsidP="00B42E08">
            <w:pPr>
              <w:pStyle w:val="Default"/>
              <w:jc w:val="both"/>
            </w:pPr>
            <w:r w:rsidRPr="00B42E08">
              <w:t xml:space="preserve">Consumo </w:t>
            </w:r>
          </w:p>
        </w:tc>
        <w:tc>
          <w:tcPr>
            <w:tcW w:w="3150" w:type="dxa"/>
            <w:vAlign w:val="center"/>
          </w:tcPr>
          <w:p w14:paraId="2467B933" w14:textId="03B5FDF3" w:rsidR="00EF61DD" w:rsidRPr="00B42E08" w:rsidRDefault="000972AD" w:rsidP="00B42E08">
            <w:pPr>
              <w:pStyle w:val="Default"/>
              <w:jc w:val="center"/>
              <w:rPr>
                <w:color w:val="4F81BD" w:themeColor="accent1"/>
              </w:rPr>
            </w:pPr>
            <w:r w:rsidRPr="00B42E08">
              <w:rPr>
                <w:color w:val="4F81BD" w:themeColor="accent1"/>
              </w:rPr>
              <w:t>$</w:t>
            </w:r>
            <w:r w:rsidR="009424BB" w:rsidRPr="00B42E08">
              <w:t xml:space="preserve"> </w:t>
            </w:r>
            <w:r w:rsidR="009424BB" w:rsidRPr="00B42E08">
              <w:rPr>
                <w:color w:val="4F81BD" w:themeColor="accent1"/>
              </w:rPr>
              <w:t>518.529.022</w:t>
            </w:r>
          </w:p>
        </w:tc>
      </w:tr>
      <w:tr w:rsidR="00EF61DD" w:rsidRPr="00B42E08" w14:paraId="1C660656" w14:textId="77777777" w:rsidTr="00C77BCA">
        <w:tc>
          <w:tcPr>
            <w:tcW w:w="1523" w:type="dxa"/>
          </w:tcPr>
          <w:p w14:paraId="2B0C9CEB" w14:textId="77777777" w:rsidR="00EF61DD" w:rsidRPr="00B42E08" w:rsidRDefault="00EF61DD" w:rsidP="00B42E08">
            <w:pPr>
              <w:pStyle w:val="Default"/>
              <w:jc w:val="both"/>
            </w:pPr>
            <w:r w:rsidRPr="00B42E08">
              <w:t xml:space="preserve">Microcrédito </w:t>
            </w:r>
          </w:p>
        </w:tc>
        <w:tc>
          <w:tcPr>
            <w:tcW w:w="3150" w:type="dxa"/>
            <w:vAlign w:val="center"/>
          </w:tcPr>
          <w:p w14:paraId="1DECB199" w14:textId="3BA14570" w:rsidR="00EF61DD" w:rsidRPr="00B42E08" w:rsidRDefault="000972AD" w:rsidP="00B42E08">
            <w:pPr>
              <w:pStyle w:val="Default"/>
              <w:jc w:val="center"/>
              <w:rPr>
                <w:color w:val="4F81BD" w:themeColor="accent1"/>
              </w:rPr>
            </w:pPr>
            <w:r w:rsidRPr="00B42E08">
              <w:rPr>
                <w:color w:val="4F81BD" w:themeColor="accent1"/>
              </w:rPr>
              <w:t>$</w:t>
            </w:r>
            <w:r w:rsidR="009424BB" w:rsidRPr="00B42E08">
              <w:t xml:space="preserve"> </w:t>
            </w:r>
            <w:r w:rsidR="009424BB" w:rsidRPr="00B42E08">
              <w:rPr>
                <w:color w:val="4F81BD" w:themeColor="accent1"/>
              </w:rPr>
              <w:t>518.529.022</w:t>
            </w:r>
          </w:p>
        </w:tc>
      </w:tr>
      <w:tr w:rsidR="00EF61DD" w:rsidRPr="00B42E08" w14:paraId="1D191B98" w14:textId="77777777" w:rsidTr="00C77BCA">
        <w:tc>
          <w:tcPr>
            <w:tcW w:w="1523" w:type="dxa"/>
          </w:tcPr>
          <w:p w14:paraId="110DDD39" w14:textId="77777777" w:rsidR="00EF61DD" w:rsidRPr="00B42E08" w:rsidRDefault="00EF61DD" w:rsidP="00B42E08">
            <w:pPr>
              <w:pStyle w:val="Default"/>
              <w:jc w:val="both"/>
            </w:pPr>
            <w:r w:rsidRPr="00B42E08">
              <w:t xml:space="preserve">Vivienda </w:t>
            </w:r>
          </w:p>
        </w:tc>
        <w:tc>
          <w:tcPr>
            <w:tcW w:w="3150" w:type="dxa"/>
            <w:vAlign w:val="center"/>
          </w:tcPr>
          <w:p w14:paraId="5BEC8E3A" w14:textId="21E71A8D" w:rsidR="00EF61DD" w:rsidRPr="00B42E08" w:rsidRDefault="000972AD" w:rsidP="00B42E08">
            <w:pPr>
              <w:pStyle w:val="Default"/>
              <w:jc w:val="center"/>
              <w:rPr>
                <w:color w:val="4F81BD" w:themeColor="accent1"/>
              </w:rPr>
            </w:pPr>
            <w:r w:rsidRPr="00B42E08">
              <w:rPr>
                <w:color w:val="4F81BD" w:themeColor="accent1"/>
              </w:rPr>
              <w:t>$</w:t>
            </w:r>
            <w:r w:rsidR="009424BB" w:rsidRPr="00B42E08">
              <w:t xml:space="preserve"> </w:t>
            </w:r>
            <w:r w:rsidR="009424BB" w:rsidRPr="00B42E08">
              <w:rPr>
                <w:color w:val="4F81BD" w:themeColor="accent1"/>
              </w:rPr>
              <w:t>518.529.022</w:t>
            </w:r>
          </w:p>
        </w:tc>
      </w:tr>
      <w:tr w:rsidR="00B42E08" w:rsidRPr="00B42E08" w14:paraId="4C287DFA" w14:textId="77777777" w:rsidTr="00C77BCA">
        <w:tc>
          <w:tcPr>
            <w:tcW w:w="1523" w:type="dxa"/>
          </w:tcPr>
          <w:p w14:paraId="66F76905" w14:textId="1C0180C3" w:rsidR="00B42E08" w:rsidRPr="00B42E08" w:rsidRDefault="00B42E08" w:rsidP="00B42E08">
            <w:pPr>
              <w:pStyle w:val="Default"/>
              <w:jc w:val="both"/>
            </w:pPr>
            <w:r>
              <w:t>Comercial</w:t>
            </w:r>
          </w:p>
        </w:tc>
        <w:tc>
          <w:tcPr>
            <w:tcW w:w="3150" w:type="dxa"/>
            <w:vAlign w:val="center"/>
          </w:tcPr>
          <w:p w14:paraId="3C84C28D" w14:textId="23F71F5D" w:rsidR="00B42E08" w:rsidRPr="00B42E08" w:rsidRDefault="00B42E08" w:rsidP="00B42E08">
            <w:pPr>
              <w:pStyle w:val="Default"/>
              <w:jc w:val="center"/>
              <w:rPr>
                <w:color w:val="4F81BD" w:themeColor="accent1"/>
              </w:rPr>
            </w:pPr>
            <w:r w:rsidRPr="00B42E08">
              <w:rPr>
                <w:color w:val="4F81BD" w:themeColor="accent1"/>
              </w:rPr>
              <w:t>$</w:t>
            </w:r>
            <w:r w:rsidRPr="00B42E08">
              <w:t xml:space="preserve"> </w:t>
            </w:r>
            <w:r w:rsidRPr="00B42E08">
              <w:rPr>
                <w:color w:val="4F81BD" w:themeColor="accent1"/>
              </w:rPr>
              <w:t>518.529.022</w:t>
            </w:r>
          </w:p>
        </w:tc>
      </w:tr>
    </w:tbl>
    <w:p w14:paraId="4FA92D9A" w14:textId="3FBB9B70" w:rsidR="00EF61DD" w:rsidRPr="00B42E08" w:rsidRDefault="00EF61DD" w:rsidP="00B42E08">
      <w:pPr>
        <w:jc w:val="both"/>
        <w:rPr>
          <w:rFonts w:ascii="Arial" w:hAnsi="Arial" w:cs="Arial"/>
          <w:color w:val="4F81BD" w:themeColor="accent1"/>
          <w:sz w:val="24"/>
          <w:szCs w:val="24"/>
        </w:rPr>
      </w:pPr>
    </w:p>
    <w:p w14:paraId="1B46F2A7" w14:textId="0BD7B7C7" w:rsidR="00EF61DD" w:rsidRPr="00B42E08" w:rsidRDefault="00EF61DD" w:rsidP="00B42E08">
      <w:pPr>
        <w:jc w:val="both"/>
        <w:rPr>
          <w:rFonts w:ascii="Arial" w:hAnsi="Arial" w:cs="Arial"/>
          <w:color w:val="4F81BD" w:themeColor="accent1"/>
          <w:sz w:val="24"/>
          <w:szCs w:val="24"/>
        </w:rPr>
      </w:pPr>
    </w:p>
    <w:p w14:paraId="6DB20F3A" w14:textId="62FF1E47" w:rsidR="00EF61DD" w:rsidRPr="00B42E08" w:rsidRDefault="00EF61DD" w:rsidP="00B42E08">
      <w:pPr>
        <w:jc w:val="both"/>
        <w:rPr>
          <w:rFonts w:ascii="Arial" w:hAnsi="Arial" w:cs="Arial"/>
          <w:color w:val="4F81BD" w:themeColor="accent1"/>
          <w:sz w:val="24"/>
          <w:szCs w:val="24"/>
        </w:rPr>
      </w:pPr>
    </w:p>
    <w:p w14:paraId="70396D85" w14:textId="77777777" w:rsidR="00EF61DD" w:rsidRPr="00B42E08" w:rsidRDefault="00EF61DD" w:rsidP="00B42E08">
      <w:pPr>
        <w:jc w:val="both"/>
        <w:rPr>
          <w:rFonts w:ascii="Arial" w:hAnsi="Arial" w:cs="Arial"/>
          <w:color w:val="4F81BD" w:themeColor="accent1"/>
          <w:sz w:val="24"/>
          <w:szCs w:val="24"/>
        </w:rPr>
      </w:pPr>
    </w:p>
    <w:p w14:paraId="54647CCF" w14:textId="77777777" w:rsidR="00EF61DD" w:rsidRPr="00B42E08" w:rsidRDefault="00EF61DD" w:rsidP="00B42E08">
      <w:pPr>
        <w:jc w:val="both"/>
        <w:rPr>
          <w:rFonts w:ascii="Arial" w:hAnsi="Arial" w:cs="Arial"/>
          <w:color w:val="4F81BD" w:themeColor="accent1"/>
          <w:sz w:val="24"/>
          <w:szCs w:val="24"/>
        </w:rPr>
      </w:pPr>
    </w:p>
    <w:p w14:paraId="3EF9E245" w14:textId="49149327" w:rsidR="00EF61DD" w:rsidRPr="00B42E08" w:rsidRDefault="00EF61DD" w:rsidP="00B42E08">
      <w:pPr>
        <w:jc w:val="both"/>
        <w:rPr>
          <w:rFonts w:ascii="Arial" w:hAnsi="Arial" w:cs="Arial"/>
          <w:color w:val="4F81BD" w:themeColor="accent1"/>
          <w:sz w:val="24"/>
          <w:szCs w:val="24"/>
        </w:rPr>
      </w:pPr>
    </w:p>
    <w:p w14:paraId="355E19C2" w14:textId="77A7AEF9" w:rsidR="00EF61DD" w:rsidRDefault="00EF61DD" w:rsidP="00B42E08">
      <w:pPr>
        <w:jc w:val="both"/>
        <w:rPr>
          <w:rFonts w:ascii="Arial" w:hAnsi="Arial" w:cs="Arial"/>
          <w:color w:val="4F81BD" w:themeColor="accent1"/>
          <w:sz w:val="24"/>
          <w:szCs w:val="24"/>
        </w:rPr>
      </w:pPr>
    </w:p>
    <w:p w14:paraId="76F08874" w14:textId="77777777" w:rsidR="00B42E08" w:rsidRPr="00B42E08" w:rsidRDefault="00B42E08" w:rsidP="00B42E08">
      <w:pPr>
        <w:jc w:val="both"/>
        <w:rPr>
          <w:rFonts w:ascii="Arial" w:hAnsi="Arial" w:cs="Arial"/>
          <w:color w:val="4F81BD" w:themeColor="accent1"/>
          <w:sz w:val="24"/>
          <w:szCs w:val="24"/>
        </w:rPr>
      </w:pPr>
    </w:p>
    <w:p w14:paraId="36ACBEDA" w14:textId="77777777"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Nota: Los amparos con la aseguradora La Equidad no cubren personas jurídicas.</w:t>
      </w:r>
    </w:p>
    <w:p w14:paraId="1C227F59" w14:textId="77777777" w:rsidR="00EA22E2" w:rsidRPr="00B42E08" w:rsidRDefault="00EA22E2" w:rsidP="00B42E08">
      <w:pPr>
        <w:jc w:val="both"/>
        <w:rPr>
          <w:rFonts w:ascii="Arial" w:hAnsi="Arial" w:cs="Arial"/>
          <w:color w:val="4F81BD" w:themeColor="accent1"/>
          <w:sz w:val="24"/>
          <w:szCs w:val="24"/>
        </w:rPr>
      </w:pPr>
    </w:p>
    <w:p w14:paraId="727C3E1D" w14:textId="77777777"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 xml:space="preserve">Teniendo en cuenta lo anterior, la edad máxima de los asociados para adquirir créditos en la Cooperativa es de 71 años, pero la edad máxima que cubre el seguro de vida deudores es de 85 años. Dada la cobertura de la póliza, se realizará la excepción a la edad límite del asociado deudor para adquirir créditos siempre y cuando éste posea una antigüedad mínima de 12 meses en la Cooperativa. </w:t>
      </w:r>
    </w:p>
    <w:p w14:paraId="2367D500" w14:textId="77777777" w:rsidR="00EA22E2" w:rsidRPr="00B42E08" w:rsidRDefault="00EA22E2" w:rsidP="00B42E08">
      <w:pPr>
        <w:jc w:val="both"/>
        <w:rPr>
          <w:rFonts w:ascii="Arial" w:hAnsi="Arial" w:cs="Arial"/>
          <w:bCs/>
          <w:spacing w:val="-3"/>
          <w:sz w:val="24"/>
          <w:szCs w:val="24"/>
        </w:rPr>
      </w:pPr>
    </w:p>
    <w:p w14:paraId="61631B38" w14:textId="77777777" w:rsidR="00EA22E2" w:rsidRPr="00B42E08" w:rsidRDefault="00EA22E2" w:rsidP="00B42E08">
      <w:pPr>
        <w:jc w:val="both"/>
        <w:rPr>
          <w:rFonts w:ascii="Arial" w:hAnsi="Arial" w:cs="Arial"/>
          <w:bCs/>
          <w:spacing w:val="-3"/>
          <w:sz w:val="24"/>
          <w:szCs w:val="24"/>
        </w:rPr>
      </w:pPr>
      <w:r w:rsidRPr="00B42E08">
        <w:rPr>
          <w:rFonts w:ascii="Arial" w:hAnsi="Arial" w:cs="Arial"/>
          <w:bCs/>
          <w:spacing w:val="-3"/>
          <w:sz w:val="24"/>
          <w:szCs w:val="24"/>
        </w:rPr>
        <w:t xml:space="preserve">Cuando un asociado con edad superior a 70 años solicite un crédito que supere los $30.000.000 o la sumatoria de las obligaciones vigentes que posea en la Cooperativa sea </w:t>
      </w:r>
      <w:r w:rsidRPr="00B42E08">
        <w:rPr>
          <w:rFonts w:ascii="Arial" w:hAnsi="Arial" w:cs="Arial"/>
          <w:bCs/>
          <w:spacing w:val="-3"/>
          <w:sz w:val="24"/>
          <w:szCs w:val="24"/>
        </w:rPr>
        <w:lastRenderedPageBreak/>
        <w:t>mayor a dicho valor, la nueva solicitud deberá enviarse a la Equidad Seguros con el objetivo de determinar la viabilidad de su asegurabilidad teniendo en cuenta las condiciones establecidas en la póliza.</w:t>
      </w:r>
    </w:p>
    <w:p w14:paraId="47D98201" w14:textId="77777777" w:rsidR="00EA22E2" w:rsidRPr="00B42E08" w:rsidRDefault="00EA22E2" w:rsidP="00B42E08">
      <w:pPr>
        <w:jc w:val="both"/>
        <w:rPr>
          <w:rFonts w:ascii="Arial" w:hAnsi="Arial" w:cs="Arial"/>
          <w:color w:val="4F81BD" w:themeColor="accent1"/>
          <w:sz w:val="24"/>
          <w:szCs w:val="24"/>
        </w:rPr>
      </w:pPr>
    </w:p>
    <w:p w14:paraId="06E05C7F" w14:textId="2828EA5A" w:rsidR="00FA16AE" w:rsidRPr="00B42E08" w:rsidRDefault="00EF61DD" w:rsidP="00B42E08">
      <w:pPr>
        <w:numPr>
          <w:ilvl w:val="2"/>
          <w:numId w:val="32"/>
        </w:numPr>
        <w:jc w:val="both"/>
        <w:rPr>
          <w:rFonts w:ascii="Arial" w:hAnsi="Arial" w:cs="Arial"/>
          <w:color w:val="4F81BD" w:themeColor="accent1"/>
          <w:sz w:val="24"/>
          <w:szCs w:val="24"/>
        </w:rPr>
      </w:pPr>
      <w:r w:rsidRPr="00B42E08">
        <w:rPr>
          <w:rFonts w:ascii="Arial" w:hAnsi="Arial" w:cs="Arial"/>
          <w:b/>
          <w:bCs/>
          <w:sz w:val="24"/>
          <w:szCs w:val="24"/>
        </w:rPr>
        <w:t>NÚMERO DE CRÉDITOS POR DEUDOR Y CODEUDOR</w:t>
      </w:r>
    </w:p>
    <w:p w14:paraId="02D5E458" w14:textId="62A5AA7B" w:rsidR="00FA16AE" w:rsidRPr="00B42E08" w:rsidRDefault="00FA16AE" w:rsidP="00B42E08">
      <w:pPr>
        <w:jc w:val="both"/>
        <w:rPr>
          <w:rFonts w:ascii="Arial" w:hAnsi="Arial" w:cs="Arial"/>
          <w:sz w:val="24"/>
          <w:szCs w:val="24"/>
        </w:rPr>
      </w:pPr>
    </w:p>
    <w:p w14:paraId="660318E0" w14:textId="0DC31CD0" w:rsidR="00C73169" w:rsidRPr="00B42E08" w:rsidRDefault="006004E5" w:rsidP="00B42E08">
      <w:pPr>
        <w:jc w:val="both"/>
        <w:rPr>
          <w:rFonts w:ascii="Arial" w:hAnsi="Arial" w:cs="Arial"/>
          <w:sz w:val="24"/>
          <w:szCs w:val="24"/>
        </w:rPr>
      </w:pPr>
      <w:r w:rsidRPr="00B42E08">
        <w:rPr>
          <w:rFonts w:ascii="Arial" w:hAnsi="Arial" w:cs="Arial"/>
          <w:sz w:val="24"/>
          <w:szCs w:val="24"/>
        </w:rPr>
        <w:t>Un deudor podrá tener un número indeterminado de líneas de créditos en diferentes modalidades, hasta que su nivel de solvencia, endeudamiento y capacidad de pago se lo permita, además de cumplir con las condiciones de este documento técnico y sin sobre pasar la capacidad máxima instalada de la entidad, determinada por los limites individuales de acuerdo a la solvencia establecida.</w:t>
      </w:r>
    </w:p>
    <w:p w14:paraId="1BA928EB" w14:textId="77777777" w:rsidR="006004E5" w:rsidRPr="00B42E08" w:rsidRDefault="006004E5" w:rsidP="00B42E08">
      <w:pPr>
        <w:jc w:val="both"/>
        <w:rPr>
          <w:rFonts w:ascii="Arial" w:hAnsi="Arial" w:cs="Arial"/>
          <w:sz w:val="24"/>
          <w:szCs w:val="24"/>
        </w:rPr>
      </w:pPr>
    </w:p>
    <w:p w14:paraId="29B472BD" w14:textId="39DC68B9" w:rsidR="00C73169" w:rsidRPr="00B42E08" w:rsidRDefault="00C73169" w:rsidP="00B42E08">
      <w:pPr>
        <w:jc w:val="both"/>
        <w:rPr>
          <w:rFonts w:ascii="Arial" w:hAnsi="Arial" w:cs="Arial"/>
          <w:sz w:val="24"/>
          <w:szCs w:val="24"/>
        </w:rPr>
      </w:pPr>
      <w:r w:rsidRPr="00B42E08">
        <w:rPr>
          <w:rFonts w:ascii="Arial" w:hAnsi="Arial" w:cs="Arial"/>
          <w:sz w:val="24"/>
          <w:szCs w:val="24"/>
        </w:rPr>
        <w:t xml:space="preserve">Se exceptúa la modalidad anticipos en la cual el asociado solo puede tener </w:t>
      </w:r>
      <w:r w:rsidR="00EA6487" w:rsidRPr="00B42E08">
        <w:rPr>
          <w:rFonts w:ascii="Arial" w:hAnsi="Arial" w:cs="Arial"/>
          <w:sz w:val="24"/>
          <w:szCs w:val="24"/>
        </w:rPr>
        <w:t>2</w:t>
      </w:r>
      <w:r w:rsidRPr="00B42E08">
        <w:rPr>
          <w:rFonts w:ascii="Arial" w:hAnsi="Arial" w:cs="Arial"/>
          <w:sz w:val="24"/>
          <w:szCs w:val="24"/>
        </w:rPr>
        <w:t xml:space="preserve"> líneas de crédito bajo esta modalidad</w:t>
      </w:r>
      <w:r w:rsidR="000972AD" w:rsidRPr="00B42E08">
        <w:rPr>
          <w:rFonts w:ascii="Arial" w:hAnsi="Arial" w:cs="Arial"/>
          <w:sz w:val="24"/>
          <w:szCs w:val="24"/>
        </w:rPr>
        <w:t>.</w:t>
      </w:r>
    </w:p>
    <w:p w14:paraId="236D036B" w14:textId="77777777" w:rsidR="00EF61DD" w:rsidRPr="00B42E08" w:rsidRDefault="00EF61DD" w:rsidP="00B42E08">
      <w:pPr>
        <w:pStyle w:val="Default"/>
        <w:rPr>
          <w:color w:val="auto"/>
          <w:lang w:eastAsia="es-ES"/>
        </w:rPr>
      </w:pPr>
    </w:p>
    <w:p w14:paraId="59522D4D" w14:textId="0EA2EEDB" w:rsidR="00EF61DD" w:rsidRPr="00B42E08" w:rsidRDefault="00EF61DD" w:rsidP="00B42E08">
      <w:pPr>
        <w:jc w:val="both"/>
        <w:rPr>
          <w:rFonts w:ascii="Arial" w:hAnsi="Arial" w:cs="Arial"/>
          <w:sz w:val="24"/>
          <w:szCs w:val="24"/>
        </w:rPr>
      </w:pPr>
      <w:r w:rsidRPr="00B42E08">
        <w:rPr>
          <w:rFonts w:ascii="Arial" w:hAnsi="Arial" w:cs="Arial"/>
          <w:sz w:val="24"/>
          <w:szCs w:val="24"/>
        </w:rPr>
        <w:t xml:space="preserve">Los asociados podrán ser codeudores hasta un máximo de </w:t>
      </w:r>
      <w:r w:rsidR="00EA6487" w:rsidRPr="00B42E08">
        <w:rPr>
          <w:rFonts w:ascii="Arial" w:hAnsi="Arial" w:cs="Arial"/>
          <w:sz w:val="24"/>
          <w:szCs w:val="24"/>
        </w:rPr>
        <w:t>dos</w:t>
      </w:r>
      <w:r w:rsidRPr="00B42E08">
        <w:rPr>
          <w:rFonts w:ascii="Arial" w:hAnsi="Arial" w:cs="Arial"/>
          <w:sz w:val="24"/>
          <w:szCs w:val="24"/>
        </w:rPr>
        <w:t xml:space="preserve"> (</w:t>
      </w:r>
      <w:r w:rsidR="00EA6487" w:rsidRPr="00B42E08">
        <w:rPr>
          <w:rFonts w:ascii="Arial" w:hAnsi="Arial" w:cs="Arial"/>
          <w:sz w:val="24"/>
          <w:szCs w:val="24"/>
        </w:rPr>
        <w:t>2</w:t>
      </w:r>
      <w:r w:rsidRPr="00B42E08">
        <w:rPr>
          <w:rFonts w:ascii="Arial" w:hAnsi="Arial" w:cs="Arial"/>
          <w:sz w:val="24"/>
          <w:szCs w:val="24"/>
        </w:rPr>
        <w:t xml:space="preserve">) obligaciones. </w:t>
      </w:r>
    </w:p>
    <w:p w14:paraId="6CF784B9" w14:textId="47D8F858" w:rsidR="00EF61DD" w:rsidRPr="00B42E08" w:rsidRDefault="00EF61DD" w:rsidP="00B42E08">
      <w:pPr>
        <w:jc w:val="both"/>
        <w:rPr>
          <w:rFonts w:ascii="Arial" w:hAnsi="Arial" w:cs="Arial"/>
          <w:sz w:val="24"/>
          <w:szCs w:val="24"/>
        </w:rPr>
      </w:pPr>
    </w:p>
    <w:p w14:paraId="69BC3476" w14:textId="311DEED7" w:rsidR="000C3A19" w:rsidRPr="00B42E08" w:rsidRDefault="000C3A19" w:rsidP="00B42E08">
      <w:pPr>
        <w:numPr>
          <w:ilvl w:val="1"/>
          <w:numId w:val="32"/>
        </w:numPr>
        <w:jc w:val="both"/>
        <w:rPr>
          <w:rFonts w:ascii="Arial" w:hAnsi="Arial" w:cs="Arial"/>
          <w:b/>
          <w:bCs/>
          <w:sz w:val="24"/>
          <w:szCs w:val="24"/>
        </w:rPr>
      </w:pPr>
      <w:r w:rsidRPr="00B42E08">
        <w:rPr>
          <w:rFonts w:ascii="Arial" w:hAnsi="Arial" w:cs="Arial"/>
          <w:b/>
          <w:bCs/>
          <w:sz w:val="24"/>
          <w:szCs w:val="24"/>
        </w:rPr>
        <w:t>COMPORTAMIENTO DE PAGO</w:t>
      </w:r>
    </w:p>
    <w:p w14:paraId="64606E78" w14:textId="69B51C31" w:rsidR="000C3A19" w:rsidRPr="00B42E08" w:rsidRDefault="000C3A19" w:rsidP="00B42E08">
      <w:pPr>
        <w:jc w:val="both"/>
        <w:rPr>
          <w:rFonts w:ascii="Arial" w:hAnsi="Arial" w:cs="Arial"/>
          <w:b/>
          <w:spacing w:val="-3"/>
          <w:sz w:val="24"/>
          <w:szCs w:val="24"/>
        </w:rPr>
      </w:pPr>
    </w:p>
    <w:p w14:paraId="64076CD9" w14:textId="71CEA5BA" w:rsidR="00095BF7" w:rsidRPr="00B42E08" w:rsidRDefault="002967DC" w:rsidP="00B42E08">
      <w:pPr>
        <w:numPr>
          <w:ilvl w:val="2"/>
          <w:numId w:val="32"/>
        </w:numPr>
        <w:jc w:val="both"/>
        <w:rPr>
          <w:rFonts w:ascii="Arial" w:hAnsi="Arial" w:cs="Arial"/>
          <w:b/>
          <w:spacing w:val="-3"/>
          <w:sz w:val="24"/>
          <w:szCs w:val="24"/>
        </w:rPr>
      </w:pPr>
      <w:r w:rsidRPr="00B42E08">
        <w:rPr>
          <w:rFonts w:ascii="Arial" w:hAnsi="Arial" w:cs="Arial"/>
          <w:b/>
          <w:spacing w:val="-3"/>
          <w:sz w:val="24"/>
          <w:szCs w:val="24"/>
        </w:rPr>
        <w:t>PUNTAJE EN LAS CENTRALES DE INFORMACIÓN FINANCIERA</w:t>
      </w:r>
    </w:p>
    <w:p w14:paraId="1FB8CF47" w14:textId="5F66254D" w:rsidR="002967DC" w:rsidRPr="00B42E08" w:rsidRDefault="002967DC" w:rsidP="00B42E08">
      <w:pPr>
        <w:jc w:val="both"/>
        <w:rPr>
          <w:rFonts w:ascii="Arial" w:hAnsi="Arial" w:cs="Arial"/>
          <w:b/>
          <w:spacing w:val="-3"/>
          <w:sz w:val="24"/>
          <w:szCs w:val="24"/>
        </w:rPr>
      </w:pPr>
    </w:p>
    <w:p w14:paraId="08280759" w14:textId="50673FA1" w:rsidR="002967DC" w:rsidRPr="00B42E08" w:rsidRDefault="002967DC" w:rsidP="00B42E08">
      <w:pPr>
        <w:jc w:val="both"/>
        <w:rPr>
          <w:rFonts w:ascii="Arial" w:hAnsi="Arial" w:cs="Arial"/>
          <w:sz w:val="24"/>
          <w:szCs w:val="24"/>
        </w:rPr>
      </w:pPr>
      <w:r w:rsidRPr="00B42E08">
        <w:rPr>
          <w:rFonts w:ascii="Arial" w:hAnsi="Arial" w:cs="Arial"/>
          <w:sz w:val="24"/>
          <w:szCs w:val="24"/>
        </w:rPr>
        <w:t xml:space="preserve">Los asociados calificados en las Centrales de Información Financiera, con un puntaje inferior a 500 se les debe realizar un análisis detallado y efectuar las verificaciones necesarias, para precisar la causalidad de la calificación, y es potestad del ente aprobador su respectiva negación o aprobación. </w:t>
      </w:r>
    </w:p>
    <w:p w14:paraId="46727386" w14:textId="77777777" w:rsidR="002967DC" w:rsidRPr="00B42E08" w:rsidRDefault="002967DC" w:rsidP="00B42E08">
      <w:pPr>
        <w:jc w:val="both"/>
        <w:rPr>
          <w:rFonts w:ascii="Arial" w:hAnsi="Arial" w:cs="Arial"/>
          <w:sz w:val="24"/>
          <w:szCs w:val="24"/>
        </w:rPr>
      </w:pPr>
    </w:p>
    <w:p w14:paraId="02AE939D" w14:textId="53451910" w:rsidR="002967DC" w:rsidRPr="00B42E08" w:rsidRDefault="002967DC" w:rsidP="00B42E08">
      <w:pPr>
        <w:jc w:val="both"/>
        <w:rPr>
          <w:rFonts w:ascii="Arial" w:hAnsi="Arial" w:cs="Arial"/>
          <w:sz w:val="24"/>
          <w:szCs w:val="24"/>
        </w:rPr>
      </w:pPr>
      <w:r w:rsidRPr="00B42E08">
        <w:rPr>
          <w:rFonts w:ascii="Arial" w:hAnsi="Arial" w:cs="Arial"/>
          <w:sz w:val="24"/>
          <w:szCs w:val="24"/>
        </w:rPr>
        <w:t xml:space="preserve">Los asociados que no demuestren calificación en centrales de información financiera por no presentar vida crediticia se les aprueba hasta 1 SMMLV, según capacidad de pago y aplica tabla de montos, plazos y garantías. </w:t>
      </w:r>
    </w:p>
    <w:p w14:paraId="12C16C39" w14:textId="77777777" w:rsidR="00EA22E2" w:rsidRPr="00B42E08" w:rsidRDefault="00EA22E2" w:rsidP="00B42E08">
      <w:pPr>
        <w:pStyle w:val="Default"/>
      </w:pPr>
    </w:p>
    <w:p w14:paraId="21617132" w14:textId="671D450F" w:rsidR="00EA22E2" w:rsidRPr="00B42E08" w:rsidRDefault="00EA22E2" w:rsidP="00B42E08">
      <w:pPr>
        <w:jc w:val="both"/>
        <w:rPr>
          <w:rFonts w:ascii="Arial" w:hAnsi="Arial" w:cs="Arial"/>
          <w:sz w:val="24"/>
          <w:szCs w:val="24"/>
        </w:rPr>
      </w:pPr>
      <w:r w:rsidRPr="00B42E08">
        <w:rPr>
          <w:rFonts w:ascii="Arial" w:hAnsi="Arial" w:cs="Arial"/>
          <w:sz w:val="24"/>
          <w:szCs w:val="24"/>
        </w:rPr>
        <w:t xml:space="preserve">Los asociados que tengan entre las dos centrales de información financiera (CIFIN y DATACREDITO), un puntaje promedio mínimo de 800 puntos, podrán adquirir sin codeudor la línea de crédito rotativo de acuerdo con la capacidad de pago. </w:t>
      </w:r>
    </w:p>
    <w:p w14:paraId="5EE08AED" w14:textId="77777777" w:rsidR="00EA22E2" w:rsidRPr="00B42E08" w:rsidRDefault="00EA22E2" w:rsidP="00B42E08">
      <w:pPr>
        <w:jc w:val="both"/>
        <w:rPr>
          <w:rFonts w:ascii="Arial" w:hAnsi="Arial" w:cs="Arial"/>
          <w:sz w:val="24"/>
          <w:szCs w:val="24"/>
        </w:rPr>
      </w:pPr>
    </w:p>
    <w:p w14:paraId="1C7CEB90" w14:textId="0FCE884B" w:rsidR="00EA22E2" w:rsidRPr="00B42E08" w:rsidRDefault="00EA22E2" w:rsidP="00B42E08">
      <w:pPr>
        <w:jc w:val="both"/>
        <w:rPr>
          <w:rFonts w:ascii="Arial" w:hAnsi="Arial" w:cs="Arial"/>
          <w:sz w:val="24"/>
          <w:szCs w:val="24"/>
        </w:rPr>
      </w:pPr>
      <w:r w:rsidRPr="00B42E08">
        <w:rPr>
          <w:rFonts w:ascii="Arial" w:hAnsi="Arial" w:cs="Arial"/>
          <w:sz w:val="24"/>
          <w:szCs w:val="24"/>
        </w:rPr>
        <w:t xml:space="preserve">Nota: Se aclara que un asociado puede tener solo UNA línea de crédito sin codeudor, es decir que podrá acogerse solamente a una de las políticas mencionadas anteriormente. </w:t>
      </w:r>
    </w:p>
    <w:p w14:paraId="0FCD5C3D" w14:textId="5F351198" w:rsidR="00EA22E2" w:rsidRPr="00B42E08" w:rsidRDefault="00EA22E2" w:rsidP="00B42E08">
      <w:pPr>
        <w:jc w:val="both"/>
        <w:rPr>
          <w:rFonts w:ascii="Arial" w:hAnsi="Arial" w:cs="Arial"/>
          <w:sz w:val="24"/>
          <w:szCs w:val="24"/>
        </w:rPr>
      </w:pPr>
    </w:p>
    <w:p w14:paraId="11F0CF8F" w14:textId="55CCF705" w:rsidR="00B53E61" w:rsidRPr="00B42E08" w:rsidRDefault="00B53E61" w:rsidP="00B42E08">
      <w:pPr>
        <w:jc w:val="both"/>
        <w:rPr>
          <w:rFonts w:ascii="Arial" w:hAnsi="Arial" w:cs="Arial"/>
          <w:sz w:val="24"/>
          <w:szCs w:val="24"/>
        </w:rPr>
      </w:pPr>
      <w:r w:rsidRPr="00B42E08">
        <w:rPr>
          <w:rFonts w:ascii="Arial" w:hAnsi="Arial" w:cs="Arial"/>
          <w:sz w:val="24"/>
          <w:szCs w:val="24"/>
        </w:rPr>
        <w:t xml:space="preserve">En caso de que los asociados a quienes se les otorgó créditos sin codeudor con la política del puntaje promedio en centrales de información financiera deseen novar dichos créditos, podrán hacerlo continuando con este beneficio siempre y cuando al cierre de </w:t>
      </w:r>
      <w:r w:rsidRPr="00B42E08">
        <w:rPr>
          <w:rFonts w:ascii="Arial" w:hAnsi="Arial" w:cs="Arial"/>
          <w:sz w:val="24"/>
          <w:szCs w:val="24"/>
        </w:rPr>
        <w:lastRenderedPageBreak/>
        <w:t>mes hayan pasado con cero (0) días de mora además de que conserven el puntaje promedio mínimo de 800 puntos.</w:t>
      </w:r>
    </w:p>
    <w:p w14:paraId="332D5ACD" w14:textId="77777777" w:rsidR="00B53E61" w:rsidRPr="00B42E08" w:rsidRDefault="00B53E61" w:rsidP="00B42E08">
      <w:pPr>
        <w:jc w:val="both"/>
        <w:rPr>
          <w:rFonts w:ascii="Arial" w:hAnsi="Arial" w:cs="Arial"/>
          <w:sz w:val="24"/>
          <w:szCs w:val="24"/>
        </w:rPr>
      </w:pPr>
    </w:p>
    <w:p w14:paraId="6DAFEF66" w14:textId="2BD11989" w:rsidR="002967DC" w:rsidRPr="00B42E08" w:rsidRDefault="002967DC" w:rsidP="00B42E08">
      <w:pPr>
        <w:jc w:val="both"/>
        <w:rPr>
          <w:rFonts w:ascii="Arial" w:hAnsi="Arial" w:cs="Arial"/>
          <w:sz w:val="24"/>
          <w:szCs w:val="24"/>
        </w:rPr>
      </w:pPr>
      <w:r w:rsidRPr="00B42E08">
        <w:rPr>
          <w:rFonts w:ascii="Arial" w:hAnsi="Arial" w:cs="Arial"/>
          <w:sz w:val="24"/>
          <w:szCs w:val="24"/>
        </w:rPr>
        <w:t xml:space="preserve">Si el asociado se encuentra reportado en las centrales de información financiera, debe presentar certificados al día si la obligación aparece en mora, y paz y salvo si presenta cartera castigada, pero en caso de no contar con estos documentos en el momento, se permite que presente los recibos de pago con el fin de verificar que el número de la obligación y el valor cancelado coincidan con la información que se muestra en la consulta en centrales de información financiera. </w:t>
      </w:r>
    </w:p>
    <w:p w14:paraId="48770D0A" w14:textId="1A3C21C3" w:rsidR="005F3BE2" w:rsidRPr="00B42E08" w:rsidRDefault="005F3BE2" w:rsidP="00B42E08">
      <w:pPr>
        <w:jc w:val="both"/>
        <w:rPr>
          <w:rFonts w:ascii="Arial" w:hAnsi="Arial" w:cs="Arial"/>
          <w:sz w:val="24"/>
          <w:szCs w:val="24"/>
        </w:rPr>
      </w:pPr>
    </w:p>
    <w:p w14:paraId="6CB1E72B" w14:textId="05F477F9" w:rsidR="002967DC" w:rsidRPr="00B42E08" w:rsidRDefault="002967DC" w:rsidP="00B42E08">
      <w:pPr>
        <w:jc w:val="both"/>
        <w:rPr>
          <w:rFonts w:ascii="Arial" w:hAnsi="Arial" w:cs="Arial"/>
          <w:sz w:val="24"/>
          <w:szCs w:val="24"/>
        </w:rPr>
      </w:pPr>
      <w:r w:rsidRPr="00B42E08">
        <w:rPr>
          <w:rFonts w:ascii="Arial" w:hAnsi="Arial" w:cs="Arial"/>
          <w:sz w:val="24"/>
          <w:szCs w:val="24"/>
        </w:rPr>
        <w:t>El historial del comportamiento de pago de las obligaciones como deudor tanto vigentes y canceladas en</w:t>
      </w:r>
      <w:r w:rsidR="00E304E9" w:rsidRPr="00B42E08">
        <w:rPr>
          <w:rFonts w:ascii="Arial" w:hAnsi="Arial" w:cs="Arial"/>
          <w:sz w:val="24"/>
          <w:szCs w:val="24"/>
        </w:rPr>
        <w:t xml:space="preserve"> la Cooperativa</w:t>
      </w:r>
      <w:r w:rsidRPr="00B42E08">
        <w:rPr>
          <w:rFonts w:ascii="Arial" w:hAnsi="Arial" w:cs="Arial"/>
          <w:sz w:val="24"/>
          <w:szCs w:val="24"/>
        </w:rPr>
        <w:t>, es un soporte de análisis para nuevas aprobaciones de créditos.</w:t>
      </w:r>
    </w:p>
    <w:p w14:paraId="79A19B93" w14:textId="329E2AB3" w:rsidR="005F3BE2" w:rsidRPr="00B42E08" w:rsidRDefault="005F3BE2" w:rsidP="00B42E08">
      <w:pPr>
        <w:jc w:val="both"/>
        <w:rPr>
          <w:rFonts w:ascii="Arial" w:hAnsi="Arial" w:cs="Arial"/>
          <w:sz w:val="24"/>
          <w:szCs w:val="24"/>
        </w:rPr>
      </w:pPr>
    </w:p>
    <w:p w14:paraId="357C7A1A" w14:textId="77777777" w:rsidR="009B30CF" w:rsidRPr="00B42E08" w:rsidRDefault="009B30CF"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CAPACIDAD DE PAGO </w:t>
      </w:r>
    </w:p>
    <w:p w14:paraId="0F6B7ED5" w14:textId="77777777" w:rsidR="009B30CF" w:rsidRPr="00B42E08" w:rsidRDefault="009B30CF" w:rsidP="00B42E08">
      <w:pPr>
        <w:jc w:val="both"/>
        <w:rPr>
          <w:rFonts w:ascii="Arial" w:hAnsi="Arial" w:cs="Arial"/>
          <w:sz w:val="24"/>
          <w:szCs w:val="24"/>
        </w:rPr>
      </w:pPr>
    </w:p>
    <w:p w14:paraId="78D8E4AC" w14:textId="546D5107" w:rsidR="009B30CF" w:rsidRPr="00B42E08" w:rsidRDefault="009B30CF" w:rsidP="00B42E08">
      <w:pPr>
        <w:jc w:val="both"/>
        <w:rPr>
          <w:rFonts w:ascii="Arial" w:hAnsi="Arial" w:cs="Arial"/>
          <w:sz w:val="24"/>
          <w:szCs w:val="24"/>
        </w:rPr>
      </w:pPr>
      <w:r w:rsidRPr="00B42E08">
        <w:rPr>
          <w:rFonts w:ascii="Arial" w:hAnsi="Arial" w:cs="Arial"/>
          <w:sz w:val="24"/>
          <w:szCs w:val="24"/>
        </w:rPr>
        <w:t>Este indicador busca minimizar el riesgo de la operación de crédito, determinando si el solicitante cuenta con ingresos suficientes para atender adecuadamente las obligaciones actuales y propuestas; de igual manera sirve para determinar el monto máximo de crédito que se podrá otorgar.</w:t>
      </w:r>
    </w:p>
    <w:p w14:paraId="00CA6884" w14:textId="701843CD" w:rsidR="009B30CF" w:rsidRPr="00B42E08" w:rsidRDefault="009B30CF" w:rsidP="00B42E08">
      <w:pPr>
        <w:jc w:val="both"/>
        <w:rPr>
          <w:rFonts w:ascii="Arial" w:hAnsi="Arial" w:cs="Arial"/>
          <w:sz w:val="24"/>
          <w:szCs w:val="24"/>
        </w:rPr>
      </w:pPr>
    </w:p>
    <w:p w14:paraId="6DEE03FC" w14:textId="6D2DEA41" w:rsidR="009B30CF" w:rsidRPr="00B42E08" w:rsidRDefault="009B30CF" w:rsidP="00B42E08">
      <w:pPr>
        <w:numPr>
          <w:ilvl w:val="2"/>
          <w:numId w:val="32"/>
        </w:numPr>
        <w:jc w:val="both"/>
        <w:rPr>
          <w:rFonts w:ascii="Arial" w:hAnsi="Arial" w:cs="Arial"/>
          <w:sz w:val="24"/>
          <w:szCs w:val="24"/>
        </w:rPr>
      </w:pPr>
      <w:r w:rsidRPr="00B42E08">
        <w:rPr>
          <w:rFonts w:ascii="Arial" w:hAnsi="Arial" w:cs="Arial"/>
          <w:b/>
          <w:bCs/>
          <w:sz w:val="24"/>
          <w:szCs w:val="24"/>
        </w:rPr>
        <w:t>DESCUENTO NÓMINA</w:t>
      </w:r>
    </w:p>
    <w:p w14:paraId="1EB4E492" w14:textId="6A2A1865" w:rsidR="005F3BE2" w:rsidRPr="00B42E08" w:rsidRDefault="005F3BE2" w:rsidP="00B42E08">
      <w:pPr>
        <w:jc w:val="both"/>
        <w:rPr>
          <w:rFonts w:ascii="Arial" w:hAnsi="Arial" w:cs="Arial"/>
          <w:sz w:val="24"/>
          <w:szCs w:val="24"/>
        </w:rPr>
      </w:pPr>
    </w:p>
    <w:p w14:paraId="05700071" w14:textId="518DB8C5" w:rsidR="009B30CF" w:rsidRPr="00B42E08" w:rsidRDefault="009B30CF" w:rsidP="00B42E08">
      <w:pPr>
        <w:jc w:val="both"/>
        <w:rPr>
          <w:rFonts w:ascii="Arial" w:hAnsi="Arial" w:cs="Arial"/>
          <w:sz w:val="24"/>
          <w:szCs w:val="24"/>
        </w:rPr>
      </w:pPr>
      <w:r w:rsidRPr="00B42E08">
        <w:rPr>
          <w:rFonts w:ascii="Arial" w:hAnsi="Arial" w:cs="Arial"/>
          <w:sz w:val="24"/>
          <w:szCs w:val="24"/>
        </w:rPr>
        <w:t>CP = ((Ingresos totales certificados - Descuentos de Ley) / 2) – valor de cuotas descontadas por nómina + valor de las cuotas a recoger</w:t>
      </w:r>
    </w:p>
    <w:p w14:paraId="4789728E" w14:textId="7EFC965C" w:rsidR="009B30CF" w:rsidRPr="00B42E08" w:rsidRDefault="009B30CF" w:rsidP="00B42E08">
      <w:pPr>
        <w:jc w:val="both"/>
        <w:rPr>
          <w:rFonts w:ascii="Arial" w:hAnsi="Arial" w:cs="Arial"/>
          <w:sz w:val="24"/>
          <w:szCs w:val="24"/>
        </w:rPr>
      </w:pPr>
      <w:r w:rsidRPr="00B42E08">
        <w:rPr>
          <w:rFonts w:ascii="Arial" w:hAnsi="Arial" w:cs="Arial"/>
          <w:sz w:val="24"/>
          <w:szCs w:val="24"/>
        </w:rPr>
        <w:t>La diferencia anterior debe dar como mínimo resultado el valor de la cuota del crédito en trámite.</w:t>
      </w:r>
    </w:p>
    <w:p w14:paraId="3E64580E" w14:textId="1E3D730E" w:rsidR="009B30CF" w:rsidRPr="00B42E08" w:rsidRDefault="009B30CF" w:rsidP="00B42E08">
      <w:pPr>
        <w:jc w:val="both"/>
        <w:rPr>
          <w:rFonts w:ascii="Arial" w:hAnsi="Arial" w:cs="Arial"/>
          <w:sz w:val="24"/>
          <w:szCs w:val="24"/>
        </w:rPr>
      </w:pPr>
    </w:p>
    <w:p w14:paraId="2C19ADAF" w14:textId="6098B4D6" w:rsidR="002B0503" w:rsidRPr="00B42E08" w:rsidRDefault="002B0503" w:rsidP="00B42E08">
      <w:pPr>
        <w:numPr>
          <w:ilvl w:val="2"/>
          <w:numId w:val="32"/>
        </w:numPr>
        <w:jc w:val="both"/>
        <w:rPr>
          <w:rFonts w:ascii="Arial" w:hAnsi="Arial" w:cs="Arial"/>
          <w:b/>
          <w:bCs/>
          <w:sz w:val="24"/>
          <w:szCs w:val="24"/>
        </w:rPr>
      </w:pPr>
      <w:r w:rsidRPr="00B42E08">
        <w:rPr>
          <w:rFonts w:ascii="Arial" w:hAnsi="Arial" w:cs="Arial"/>
          <w:b/>
          <w:bCs/>
          <w:sz w:val="24"/>
          <w:szCs w:val="24"/>
        </w:rPr>
        <w:t xml:space="preserve">PAGO POR VENTANILLA </w:t>
      </w:r>
    </w:p>
    <w:p w14:paraId="03EAC51E" w14:textId="41A46652" w:rsidR="002B0503" w:rsidRPr="00B42E08" w:rsidRDefault="002B0503" w:rsidP="00B42E08">
      <w:pPr>
        <w:jc w:val="both"/>
        <w:rPr>
          <w:rFonts w:ascii="Arial" w:hAnsi="Arial" w:cs="Arial"/>
          <w:b/>
          <w:bCs/>
          <w:sz w:val="24"/>
          <w:szCs w:val="24"/>
        </w:rPr>
      </w:pPr>
    </w:p>
    <w:p w14:paraId="4F6AA844" w14:textId="7AC90D83" w:rsidR="002B0503" w:rsidRPr="00B42E08" w:rsidRDefault="002B0503" w:rsidP="00B42E08">
      <w:pPr>
        <w:jc w:val="both"/>
        <w:rPr>
          <w:rFonts w:ascii="Arial" w:hAnsi="Arial" w:cs="Arial"/>
          <w:sz w:val="24"/>
          <w:szCs w:val="24"/>
        </w:rPr>
      </w:pPr>
      <w:r w:rsidRPr="00B42E08">
        <w:rPr>
          <w:rFonts w:ascii="Arial" w:hAnsi="Arial" w:cs="Arial"/>
          <w:sz w:val="24"/>
          <w:szCs w:val="24"/>
        </w:rPr>
        <w:t xml:space="preserve">CP = Ingresos totales comprobados – </w:t>
      </w:r>
      <w:r w:rsidR="0047345C" w:rsidRPr="00B42E08">
        <w:rPr>
          <w:rFonts w:ascii="Arial" w:hAnsi="Arial" w:cs="Arial"/>
          <w:sz w:val="24"/>
          <w:szCs w:val="24"/>
        </w:rPr>
        <w:t>(</w:t>
      </w:r>
      <w:r w:rsidRPr="00B42E08">
        <w:rPr>
          <w:rFonts w:ascii="Arial" w:hAnsi="Arial" w:cs="Arial"/>
          <w:sz w:val="24"/>
          <w:szCs w:val="24"/>
        </w:rPr>
        <w:t>SMMLV + valor de cuotas de créditos vigentes - valor de cuota (s) crédito (s) a recoger)</w:t>
      </w:r>
    </w:p>
    <w:p w14:paraId="0037547E" w14:textId="77777777" w:rsidR="001B78C5" w:rsidRPr="00B42E08" w:rsidRDefault="001B78C5" w:rsidP="00B42E08">
      <w:pPr>
        <w:jc w:val="both"/>
        <w:rPr>
          <w:rFonts w:ascii="Arial" w:hAnsi="Arial" w:cs="Arial"/>
          <w:sz w:val="24"/>
          <w:szCs w:val="24"/>
        </w:rPr>
      </w:pPr>
    </w:p>
    <w:p w14:paraId="65B116A0" w14:textId="77777777" w:rsidR="001B78C5" w:rsidRPr="00B42E08" w:rsidRDefault="001B78C5"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PERSONA JURÍDICA SIN ANIMO DE LUCRO </w:t>
      </w:r>
    </w:p>
    <w:p w14:paraId="55BDE273" w14:textId="77777777" w:rsidR="001B78C5" w:rsidRPr="00B42E08" w:rsidRDefault="001B78C5" w:rsidP="00B42E08">
      <w:pPr>
        <w:pStyle w:val="Default"/>
      </w:pPr>
    </w:p>
    <w:p w14:paraId="70A53456"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 xml:space="preserve">El cálculo de la capacidad de pago para las personas jurídicas se medirá a través del flujo de caja que presente la entidad, el cual deberá contar con un periodo igual o superior al plazo del crédito y demostrar flujo de caja suficiente para respaldar la obligación financiera solicitada. </w:t>
      </w:r>
    </w:p>
    <w:p w14:paraId="0CD5A9ED" w14:textId="77777777" w:rsidR="001B78C5" w:rsidRPr="00B42E08" w:rsidRDefault="001B78C5" w:rsidP="00B42E08">
      <w:pPr>
        <w:jc w:val="both"/>
        <w:rPr>
          <w:rFonts w:ascii="Arial" w:hAnsi="Arial" w:cs="Arial"/>
          <w:sz w:val="24"/>
          <w:szCs w:val="24"/>
        </w:rPr>
      </w:pPr>
    </w:p>
    <w:p w14:paraId="7BE4A51D"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Adicionalmente se tendrá en cuenta dentro del análisis los siguientes indicadores.</w:t>
      </w:r>
    </w:p>
    <w:p w14:paraId="0D9F3656" w14:textId="77777777" w:rsidR="001B78C5" w:rsidRPr="00B42E08" w:rsidRDefault="001B78C5" w:rsidP="00B42E08">
      <w:pPr>
        <w:jc w:val="both"/>
        <w:rPr>
          <w:rFonts w:ascii="Arial" w:hAnsi="Arial" w:cs="Arial"/>
          <w:sz w:val="24"/>
          <w:szCs w:val="24"/>
        </w:rPr>
      </w:pPr>
    </w:p>
    <w:p w14:paraId="2FF42AD4"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Endeudamiento</w:t>
      </w:r>
    </w:p>
    <w:p w14:paraId="451BD996" w14:textId="77777777" w:rsidR="001B78C5" w:rsidRPr="00B42E08" w:rsidRDefault="001B78C5" w:rsidP="00B42E08">
      <w:pPr>
        <w:jc w:val="both"/>
        <w:rPr>
          <w:rFonts w:ascii="Arial" w:hAnsi="Arial" w:cs="Arial"/>
          <w:b/>
          <w:bCs/>
          <w:sz w:val="24"/>
          <w:szCs w:val="24"/>
        </w:rPr>
      </w:pPr>
    </w:p>
    <w:p w14:paraId="58772FC6" w14:textId="77777777" w:rsidR="001B78C5" w:rsidRPr="00B42E08" w:rsidRDefault="001B78C5" w:rsidP="00B42E08">
      <w:pPr>
        <w:pStyle w:val="Default"/>
        <w:tabs>
          <w:tab w:val="left" w:pos="2480"/>
        </w:tabs>
        <w:ind w:left="108"/>
      </w:pPr>
      <w:r w:rsidRPr="00B42E08">
        <w:t>E =</w:t>
      </w:r>
      <w:r w:rsidRPr="00B42E08">
        <w:rPr>
          <w:b/>
          <w:bCs/>
        </w:rPr>
        <w:t xml:space="preserve"> </w:t>
      </w:r>
      <w:r w:rsidRPr="00B42E08">
        <w:t xml:space="preserve">Total Pasivos / Total Activos - Valorizaciones (Si tiene) </w:t>
      </w:r>
    </w:p>
    <w:p w14:paraId="6F70A86D" w14:textId="77777777" w:rsidR="001B78C5" w:rsidRPr="00B42E08" w:rsidRDefault="001B78C5" w:rsidP="00B42E08">
      <w:pPr>
        <w:jc w:val="both"/>
        <w:rPr>
          <w:rFonts w:ascii="Arial" w:hAnsi="Arial" w:cs="Arial"/>
          <w:b/>
          <w:bCs/>
          <w:sz w:val="24"/>
          <w:szCs w:val="24"/>
        </w:rPr>
      </w:pPr>
    </w:p>
    <w:p w14:paraId="4FFA5435"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Pasivo Financiero</w:t>
      </w:r>
    </w:p>
    <w:p w14:paraId="517D63C6" w14:textId="77777777" w:rsidR="001B78C5" w:rsidRPr="00B42E08" w:rsidRDefault="001B78C5" w:rsidP="00B42E08">
      <w:pPr>
        <w:jc w:val="both"/>
        <w:rPr>
          <w:rFonts w:ascii="Arial" w:hAnsi="Arial" w:cs="Arial"/>
          <w:b/>
          <w:bCs/>
          <w:sz w:val="24"/>
          <w:szCs w:val="24"/>
        </w:rPr>
      </w:pPr>
    </w:p>
    <w:p w14:paraId="526979B2"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PF= Obligaciones financieras CP + Obligaciones financieras LP / Ventas Netas</w:t>
      </w:r>
    </w:p>
    <w:p w14:paraId="336E888B" w14:textId="77777777" w:rsidR="001B78C5" w:rsidRPr="00B42E08" w:rsidRDefault="001B78C5" w:rsidP="00B42E08">
      <w:pPr>
        <w:ind w:left="680"/>
        <w:jc w:val="both"/>
        <w:rPr>
          <w:rFonts w:ascii="Arial" w:hAnsi="Arial" w:cs="Arial"/>
          <w:b/>
          <w:bCs/>
          <w:sz w:val="24"/>
          <w:szCs w:val="24"/>
        </w:rPr>
      </w:pPr>
    </w:p>
    <w:p w14:paraId="3278FF09"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Pasivo en el Corto Plazo</w:t>
      </w:r>
    </w:p>
    <w:p w14:paraId="66DCBB22" w14:textId="77777777" w:rsidR="001B78C5" w:rsidRPr="00B42E08" w:rsidRDefault="001B78C5" w:rsidP="00B42E08">
      <w:pPr>
        <w:jc w:val="both"/>
        <w:rPr>
          <w:rFonts w:ascii="Arial" w:hAnsi="Arial" w:cs="Arial"/>
          <w:b/>
          <w:bCs/>
          <w:sz w:val="24"/>
          <w:szCs w:val="24"/>
        </w:rPr>
      </w:pPr>
    </w:p>
    <w:p w14:paraId="3D03F067"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PCP= Pasivos Corrientes / Total Pasivos</w:t>
      </w:r>
    </w:p>
    <w:p w14:paraId="5B2A6C38" w14:textId="77777777" w:rsidR="001B78C5" w:rsidRPr="00B42E08" w:rsidRDefault="001B78C5" w:rsidP="00B42E08">
      <w:pPr>
        <w:jc w:val="both"/>
        <w:rPr>
          <w:rFonts w:ascii="Arial" w:hAnsi="Arial" w:cs="Arial"/>
          <w:sz w:val="24"/>
          <w:szCs w:val="24"/>
        </w:rPr>
      </w:pPr>
    </w:p>
    <w:p w14:paraId="05868128"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Prueba Acida</w:t>
      </w:r>
    </w:p>
    <w:p w14:paraId="141582B9" w14:textId="77777777" w:rsidR="001B78C5" w:rsidRPr="00B42E08" w:rsidRDefault="001B78C5" w:rsidP="00B42E08">
      <w:pPr>
        <w:jc w:val="both"/>
        <w:rPr>
          <w:rFonts w:ascii="Arial" w:hAnsi="Arial" w:cs="Arial"/>
          <w:b/>
          <w:bCs/>
          <w:sz w:val="24"/>
          <w:szCs w:val="24"/>
        </w:rPr>
      </w:pPr>
    </w:p>
    <w:p w14:paraId="1844A69C"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PA= Activos Corrientes – Inventarios / Pasivos Corrientes</w:t>
      </w:r>
    </w:p>
    <w:p w14:paraId="1CB87961" w14:textId="77777777" w:rsidR="001B78C5" w:rsidRPr="00B42E08" w:rsidRDefault="001B78C5" w:rsidP="00B42E08">
      <w:pPr>
        <w:jc w:val="both"/>
        <w:rPr>
          <w:rFonts w:ascii="Arial" w:hAnsi="Arial" w:cs="Arial"/>
          <w:b/>
          <w:bCs/>
          <w:sz w:val="24"/>
          <w:szCs w:val="24"/>
        </w:rPr>
      </w:pPr>
    </w:p>
    <w:p w14:paraId="6C153562"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Margen EBITDA (el beneficio bruto de explotación calculado antes de la deducibilidad de los gastos financiero)</w:t>
      </w:r>
    </w:p>
    <w:p w14:paraId="04ADE4D2" w14:textId="77777777" w:rsidR="001B78C5" w:rsidRPr="00B42E08" w:rsidRDefault="001B78C5" w:rsidP="00B42E08">
      <w:pPr>
        <w:jc w:val="both"/>
        <w:rPr>
          <w:rFonts w:ascii="Arial" w:hAnsi="Arial" w:cs="Arial"/>
          <w:b/>
          <w:bCs/>
          <w:sz w:val="24"/>
          <w:szCs w:val="24"/>
        </w:rPr>
      </w:pPr>
    </w:p>
    <w:p w14:paraId="1E2FF547"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EBITDA = Utilidad Operativa + Gastos por Depreciación</w:t>
      </w:r>
    </w:p>
    <w:p w14:paraId="30E165FB" w14:textId="77777777" w:rsidR="001B78C5" w:rsidRPr="00B42E08" w:rsidRDefault="001B78C5" w:rsidP="00B42E08">
      <w:pPr>
        <w:jc w:val="both"/>
        <w:rPr>
          <w:rFonts w:ascii="Arial" w:hAnsi="Arial" w:cs="Arial"/>
          <w:sz w:val="24"/>
          <w:szCs w:val="24"/>
        </w:rPr>
      </w:pPr>
    </w:p>
    <w:p w14:paraId="52122912"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Gasto Financiero</w:t>
      </w:r>
    </w:p>
    <w:p w14:paraId="1DBE7E0B" w14:textId="77777777" w:rsidR="001B78C5" w:rsidRPr="00B42E08" w:rsidRDefault="001B78C5" w:rsidP="00B42E08">
      <w:pPr>
        <w:ind w:left="680"/>
        <w:jc w:val="both"/>
        <w:rPr>
          <w:rFonts w:ascii="Arial" w:hAnsi="Arial" w:cs="Arial"/>
          <w:b/>
          <w:bCs/>
          <w:sz w:val="24"/>
          <w:szCs w:val="24"/>
        </w:rPr>
      </w:pPr>
    </w:p>
    <w:p w14:paraId="2FF6320E"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GF= EBITDA / Gastos Financieros</w:t>
      </w:r>
    </w:p>
    <w:p w14:paraId="12EB168F" w14:textId="77777777" w:rsidR="001B78C5" w:rsidRPr="00B42E08" w:rsidRDefault="001B78C5" w:rsidP="00B42E08">
      <w:pPr>
        <w:jc w:val="both"/>
        <w:rPr>
          <w:rFonts w:ascii="Arial" w:hAnsi="Arial" w:cs="Arial"/>
          <w:b/>
          <w:bCs/>
          <w:sz w:val="24"/>
          <w:szCs w:val="24"/>
        </w:rPr>
      </w:pPr>
    </w:p>
    <w:p w14:paraId="5FCD2CC3"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Utilidad Operativa</w:t>
      </w:r>
    </w:p>
    <w:p w14:paraId="5D3B133F" w14:textId="77777777" w:rsidR="001B78C5" w:rsidRPr="00B42E08" w:rsidRDefault="001B78C5" w:rsidP="00B42E08">
      <w:pPr>
        <w:jc w:val="both"/>
        <w:rPr>
          <w:rFonts w:ascii="Arial" w:hAnsi="Arial" w:cs="Arial"/>
          <w:b/>
          <w:bCs/>
          <w:sz w:val="24"/>
          <w:szCs w:val="24"/>
        </w:rPr>
      </w:pPr>
    </w:p>
    <w:p w14:paraId="3E5E52FF" w14:textId="77777777" w:rsidR="001B78C5" w:rsidRPr="00B42E08" w:rsidRDefault="001B78C5" w:rsidP="00B42E08">
      <w:pPr>
        <w:jc w:val="both"/>
        <w:rPr>
          <w:rFonts w:ascii="Arial" w:hAnsi="Arial" w:cs="Arial"/>
          <w:sz w:val="24"/>
          <w:szCs w:val="24"/>
        </w:rPr>
      </w:pPr>
      <w:r w:rsidRPr="00B42E08">
        <w:rPr>
          <w:rFonts w:ascii="Arial" w:hAnsi="Arial" w:cs="Arial"/>
          <w:sz w:val="24"/>
          <w:szCs w:val="24"/>
        </w:rPr>
        <w:t>UO= Utilidad Operativa / Gastos Financieros</w:t>
      </w:r>
    </w:p>
    <w:p w14:paraId="43A2C4D2" w14:textId="77777777" w:rsidR="001B78C5" w:rsidRPr="00B42E08" w:rsidRDefault="001B78C5" w:rsidP="00B42E08">
      <w:pPr>
        <w:jc w:val="both"/>
        <w:rPr>
          <w:rFonts w:ascii="Arial" w:hAnsi="Arial" w:cs="Arial"/>
          <w:sz w:val="24"/>
          <w:szCs w:val="24"/>
        </w:rPr>
      </w:pPr>
    </w:p>
    <w:p w14:paraId="5665915E" w14:textId="77777777" w:rsidR="001B78C5" w:rsidRPr="00B42E08" w:rsidRDefault="001B78C5" w:rsidP="00B42E08">
      <w:pPr>
        <w:numPr>
          <w:ilvl w:val="2"/>
          <w:numId w:val="32"/>
        </w:numPr>
        <w:jc w:val="both"/>
        <w:rPr>
          <w:rFonts w:ascii="Arial" w:hAnsi="Arial" w:cs="Arial"/>
          <w:b/>
          <w:bCs/>
          <w:sz w:val="24"/>
          <w:szCs w:val="24"/>
        </w:rPr>
      </w:pPr>
      <w:r w:rsidRPr="00B42E08">
        <w:rPr>
          <w:rFonts w:ascii="Arial" w:hAnsi="Arial" w:cs="Arial"/>
          <w:b/>
          <w:bCs/>
          <w:sz w:val="24"/>
          <w:szCs w:val="24"/>
        </w:rPr>
        <w:t>Recuperación de Cartera</w:t>
      </w:r>
    </w:p>
    <w:p w14:paraId="11869E44" w14:textId="77777777" w:rsidR="001B78C5" w:rsidRPr="00B42E08" w:rsidRDefault="001B78C5" w:rsidP="00B42E08">
      <w:pPr>
        <w:ind w:left="680"/>
        <w:jc w:val="both"/>
        <w:rPr>
          <w:rFonts w:ascii="Arial" w:hAnsi="Arial" w:cs="Arial"/>
          <w:b/>
          <w:bCs/>
          <w:sz w:val="24"/>
          <w:szCs w:val="24"/>
        </w:rPr>
      </w:pPr>
    </w:p>
    <w:p w14:paraId="74724561" w14:textId="3283EE71" w:rsidR="001B78C5" w:rsidRPr="00B42E08" w:rsidRDefault="001B78C5" w:rsidP="00B42E08">
      <w:pPr>
        <w:jc w:val="both"/>
        <w:rPr>
          <w:rFonts w:ascii="Arial" w:hAnsi="Arial" w:cs="Arial"/>
          <w:sz w:val="24"/>
          <w:szCs w:val="24"/>
        </w:rPr>
      </w:pPr>
      <w:r w:rsidRPr="00B42E08">
        <w:rPr>
          <w:rFonts w:ascii="Arial" w:hAnsi="Arial" w:cs="Arial"/>
          <w:sz w:val="24"/>
          <w:szCs w:val="24"/>
        </w:rPr>
        <w:t xml:space="preserve">RC = 360/ </w:t>
      </w:r>
      <w:r w:rsidR="00E2612B" w:rsidRPr="00B42E08">
        <w:rPr>
          <w:rFonts w:ascii="Arial" w:hAnsi="Arial" w:cs="Arial"/>
          <w:sz w:val="24"/>
          <w:szCs w:val="24"/>
        </w:rPr>
        <w:t>(</w:t>
      </w:r>
      <w:r w:rsidRPr="00B42E08">
        <w:rPr>
          <w:rFonts w:ascii="Arial" w:hAnsi="Arial" w:cs="Arial"/>
          <w:sz w:val="24"/>
          <w:szCs w:val="24"/>
        </w:rPr>
        <w:t>Ventas Netas / Deudas por Mercancía</w:t>
      </w:r>
      <w:r w:rsidR="00E2612B" w:rsidRPr="00B42E08">
        <w:rPr>
          <w:rFonts w:ascii="Arial" w:hAnsi="Arial" w:cs="Arial"/>
          <w:sz w:val="24"/>
          <w:szCs w:val="24"/>
        </w:rPr>
        <w:t>)</w:t>
      </w:r>
    </w:p>
    <w:p w14:paraId="5EDCA0A8" w14:textId="77777777" w:rsidR="001B78C5" w:rsidRPr="00B42E08" w:rsidRDefault="001B78C5" w:rsidP="00B42E08">
      <w:pPr>
        <w:jc w:val="both"/>
        <w:rPr>
          <w:rFonts w:ascii="Arial" w:hAnsi="Arial" w:cs="Arial"/>
          <w:sz w:val="24"/>
          <w:szCs w:val="24"/>
        </w:rPr>
      </w:pPr>
    </w:p>
    <w:p w14:paraId="510C4823" w14:textId="4B7F6CD0" w:rsidR="001B78C5" w:rsidRPr="00B42E08" w:rsidRDefault="00E2612B" w:rsidP="00B42E08">
      <w:pPr>
        <w:numPr>
          <w:ilvl w:val="2"/>
          <w:numId w:val="32"/>
        </w:numPr>
        <w:jc w:val="both"/>
        <w:rPr>
          <w:rFonts w:ascii="Arial" w:hAnsi="Arial" w:cs="Arial"/>
          <w:b/>
          <w:bCs/>
          <w:sz w:val="24"/>
          <w:szCs w:val="24"/>
        </w:rPr>
      </w:pPr>
      <w:r w:rsidRPr="00B42E08">
        <w:rPr>
          <w:rFonts w:ascii="Arial" w:hAnsi="Arial" w:cs="Arial"/>
          <w:b/>
          <w:bCs/>
          <w:sz w:val="24"/>
          <w:szCs w:val="24"/>
        </w:rPr>
        <w:t>Rotación Inventarios</w:t>
      </w:r>
    </w:p>
    <w:p w14:paraId="727E44FF" w14:textId="7129D7E1" w:rsidR="00E2612B" w:rsidRPr="00B42E08" w:rsidRDefault="00E2612B" w:rsidP="00B42E08">
      <w:pPr>
        <w:jc w:val="both"/>
        <w:rPr>
          <w:rFonts w:ascii="Arial" w:hAnsi="Arial" w:cs="Arial"/>
          <w:b/>
          <w:bCs/>
          <w:sz w:val="24"/>
          <w:szCs w:val="24"/>
        </w:rPr>
      </w:pPr>
    </w:p>
    <w:p w14:paraId="6D4BCCA5" w14:textId="36C6C37D" w:rsidR="00E2612B" w:rsidRPr="00B42E08" w:rsidRDefault="00E2612B" w:rsidP="00B42E08">
      <w:pPr>
        <w:jc w:val="both"/>
        <w:rPr>
          <w:rFonts w:ascii="Arial" w:hAnsi="Arial" w:cs="Arial"/>
          <w:sz w:val="24"/>
          <w:szCs w:val="24"/>
        </w:rPr>
      </w:pPr>
      <w:r w:rsidRPr="00B42E08">
        <w:rPr>
          <w:rFonts w:ascii="Arial" w:hAnsi="Arial" w:cs="Arial"/>
          <w:sz w:val="24"/>
          <w:szCs w:val="24"/>
        </w:rPr>
        <w:t>RI= Inventarios / (360 * Compras)</w:t>
      </w:r>
    </w:p>
    <w:p w14:paraId="02466549" w14:textId="77777777" w:rsidR="00E2612B" w:rsidRPr="00B42E08" w:rsidRDefault="00E2612B" w:rsidP="00B42E08">
      <w:pPr>
        <w:jc w:val="both"/>
        <w:rPr>
          <w:rFonts w:ascii="Arial" w:hAnsi="Arial" w:cs="Arial"/>
          <w:b/>
          <w:bCs/>
          <w:sz w:val="24"/>
          <w:szCs w:val="24"/>
        </w:rPr>
      </w:pPr>
    </w:p>
    <w:p w14:paraId="3F195FDD" w14:textId="648B9D23" w:rsidR="00E2612B" w:rsidRPr="00B42E08" w:rsidRDefault="00E2612B" w:rsidP="00B42E08">
      <w:pPr>
        <w:numPr>
          <w:ilvl w:val="2"/>
          <w:numId w:val="32"/>
        </w:numPr>
        <w:jc w:val="both"/>
        <w:rPr>
          <w:rFonts w:ascii="Arial" w:hAnsi="Arial" w:cs="Arial"/>
          <w:b/>
          <w:bCs/>
          <w:sz w:val="24"/>
          <w:szCs w:val="24"/>
        </w:rPr>
      </w:pPr>
      <w:r w:rsidRPr="00B42E08">
        <w:rPr>
          <w:rFonts w:ascii="Arial" w:hAnsi="Arial" w:cs="Arial"/>
          <w:b/>
          <w:bCs/>
          <w:sz w:val="24"/>
          <w:szCs w:val="24"/>
        </w:rPr>
        <w:t>Pago Proveedores</w:t>
      </w:r>
    </w:p>
    <w:p w14:paraId="5B184704" w14:textId="4D695598" w:rsidR="00E2612B" w:rsidRPr="00B42E08" w:rsidRDefault="00E2612B" w:rsidP="00B42E08">
      <w:pPr>
        <w:jc w:val="both"/>
        <w:rPr>
          <w:rFonts w:ascii="Arial" w:hAnsi="Arial" w:cs="Arial"/>
          <w:b/>
          <w:bCs/>
          <w:sz w:val="24"/>
          <w:szCs w:val="24"/>
        </w:rPr>
      </w:pPr>
    </w:p>
    <w:p w14:paraId="71648AA2" w14:textId="35A02ABC" w:rsidR="00E2612B" w:rsidRPr="00B42E08" w:rsidRDefault="00E2612B" w:rsidP="00B42E08">
      <w:pPr>
        <w:jc w:val="both"/>
        <w:rPr>
          <w:rFonts w:ascii="Arial" w:hAnsi="Arial" w:cs="Arial"/>
          <w:sz w:val="24"/>
          <w:szCs w:val="24"/>
        </w:rPr>
      </w:pPr>
      <w:r w:rsidRPr="00B42E08">
        <w:rPr>
          <w:rFonts w:ascii="Arial" w:hAnsi="Arial" w:cs="Arial"/>
          <w:sz w:val="24"/>
          <w:szCs w:val="24"/>
        </w:rPr>
        <w:t>PP= 360 * Cuentas por Pagar Proveedores / Compras</w:t>
      </w:r>
    </w:p>
    <w:p w14:paraId="5C94357A" w14:textId="77777777" w:rsidR="00E2612B" w:rsidRPr="00B42E08" w:rsidRDefault="00E2612B" w:rsidP="00B42E08">
      <w:pPr>
        <w:jc w:val="both"/>
        <w:rPr>
          <w:rFonts w:ascii="Arial" w:hAnsi="Arial" w:cs="Arial"/>
          <w:sz w:val="24"/>
          <w:szCs w:val="24"/>
        </w:rPr>
      </w:pPr>
    </w:p>
    <w:p w14:paraId="6F27CA5F" w14:textId="04AFD00B" w:rsidR="00E2612B" w:rsidRDefault="00E2612B" w:rsidP="00B42E08">
      <w:pPr>
        <w:numPr>
          <w:ilvl w:val="2"/>
          <w:numId w:val="32"/>
        </w:numPr>
        <w:jc w:val="both"/>
        <w:rPr>
          <w:rFonts w:ascii="Arial" w:hAnsi="Arial" w:cs="Arial"/>
          <w:b/>
          <w:bCs/>
          <w:sz w:val="24"/>
          <w:szCs w:val="24"/>
        </w:rPr>
      </w:pPr>
      <w:r w:rsidRPr="00B42E08">
        <w:rPr>
          <w:rFonts w:ascii="Arial" w:hAnsi="Arial" w:cs="Arial"/>
          <w:b/>
          <w:bCs/>
          <w:sz w:val="24"/>
          <w:szCs w:val="24"/>
        </w:rPr>
        <w:t>Rotación de Activos</w:t>
      </w:r>
    </w:p>
    <w:p w14:paraId="67CCD9E2" w14:textId="77777777" w:rsidR="00B42E08" w:rsidRPr="00B42E08" w:rsidRDefault="00B42E08" w:rsidP="00B42E08">
      <w:pPr>
        <w:ind w:left="680"/>
        <w:jc w:val="both"/>
        <w:rPr>
          <w:rFonts w:ascii="Arial" w:hAnsi="Arial" w:cs="Arial"/>
          <w:b/>
          <w:bCs/>
          <w:sz w:val="24"/>
          <w:szCs w:val="24"/>
        </w:rPr>
      </w:pPr>
    </w:p>
    <w:p w14:paraId="046B29BD" w14:textId="6DE156A7" w:rsidR="00E2612B" w:rsidRPr="00B42E08" w:rsidRDefault="00E2612B" w:rsidP="00B42E08">
      <w:pPr>
        <w:jc w:val="both"/>
        <w:rPr>
          <w:rFonts w:ascii="Arial" w:hAnsi="Arial" w:cs="Arial"/>
          <w:sz w:val="24"/>
          <w:szCs w:val="24"/>
        </w:rPr>
      </w:pPr>
      <w:r w:rsidRPr="00B42E08">
        <w:rPr>
          <w:rFonts w:ascii="Arial" w:hAnsi="Arial" w:cs="Arial"/>
          <w:sz w:val="24"/>
          <w:szCs w:val="24"/>
        </w:rPr>
        <w:t>RA= Max ( Ventas Netas/ Total Activos ,0)</w:t>
      </w:r>
    </w:p>
    <w:p w14:paraId="0C3AF5F0" w14:textId="77777777" w:rsidR="00E2612B" w:rsidRPr="00B42E08" w:rsidRDefault="00E2612B" w:rsidP="00B42E08">
      <w:pPr>
        <w:jc w:val="both"/>
        <w:rPr>
          <w:rFonts w:ascii="Arial" w:hAnsi="Arial" w:cs="Arial"/>
          <w:b/>
          <w:bCs/>
          <w:sz w:val="24"/>
          <w:szCs w:val="24"/>
        </w:rPr>
      </w:pPr>
    </w:p>
    <w:p w14:paraId="429FD9EF" w14:textId="5DBD6C37" w:rsidR="00E2612B" w:rsidRPr="00B42E08" w:rsidRDefault="00E2612B" w:rsidP="00B42E08">
      <w:pPr>
        <w:numPr>
          <w:ilvl w:val="2"/>
          <w:numId w:val="32"/>
        </w:numPr>
        <w:jc w:val="both"/>
        <w:rPr>
          <w:rFonts w:ascii="Arial" w:hAnsi="Arial" w:cs="Arial"/>
          <w:b/>
          <w:bCs/>
          <w:sz w:val="24"/>
          <w:szCs w:val="24"/>
        </w:rPr>
      </w:pPr>
      <w:r w:rsidRPr="00B42E08">
        <w:rPr>
          <w:rFonts w:ascii="Arial" w:hAnsi="Arial" w:cs="Arial"/>
          <w:b/>
          <w:bCs/>
          <w:sz w:val="24"/>
          <w:szCs w:val="24"/>
        </w:rPr>
        <w:t>Margen Operativo</w:t>
      </w:r>
    </w:p>
    <w:p w14:paraId="458E53F2" w14:textId="77777777" w:rsidR="001B78C5" w:rsidRPr="00B42E08" w:rsidRDefault="001B78C5" w:rsidP="00B42E08">
      <w:pPr>
        <w:jc w:val="both"/>
        <w:rPr>
          <w:rFonts w:ascii="Arial" w:hAnsi="Arial" w:cs="Arial"/>
          <w:sz w:val="24"/>
          <w:szCs w:val="24"/>
        </w:rPr>
      </w:pPr>
    </w:p>
    <w:p w14:paraId="18B6A4BA" w14:textId="5AB150D3" w:rsidR="00E2612B" w:rsidRPr="00B42E08" w:rsidRDefault="00E2612B" w:rsidP="00B42E08">
      <w:pPr>
        <w:jc w:val="both"/>
        <w:rPr>
          <w:rFonts w:ascii="Arial" w:hAnsi="Arial" w:cs="Arial"/>
          <w:sz w:val="24"/>
          <w:szCs w:val="24"/>
        </w:rPr>
      </w:pPr>
      <w:r w:rsidRPr="00B42E08">
        <w:rPr>
          <w:rFonts w:ascii="Arial" w:hAnsi="Arial" w:cs="Arial"/>
          <w:sz w:val="24"/>
          <w:szCs w:val="24"/>
        </w:rPr>
        <w:t>MO= Max ( Utilidad Operativa / Ventas Netas + Otros Ingresos Operacionales ,0)</w:t>
      </w:r>
    </w:p>
    <w:p w14:paraId="429212DA" w14:textId="77777777" w:rsidR="00E2612B" w:rsidRPr="00E2612B" w:rsidRDefault="00E2612B" w:rsidP="00B42E08">
      <w:pPr>
        <w:autoSpaceDE w:val="0"/>
        <w:autoSpaceDN w:val="0"/>
        <w:adjustRightInd w:val="0"/>
        <w:rPr>
          <w:rFonts w:ascii="Arial" w:hAnsi="Arial" w:cs="Arial"/>
          <w:color w:val="000000"/>
          <w:sz w:val="24"/>
          <w:szCs w:val="24"/>
          <w:lang w:eastAsia="es-CO"/>
        </w:rPr>
      </w:pPr>
    </w:p>
    <w:p w14:paraId="78EA0181" w14:textId="08EF3237" w:rsidR="00E2612B" w:rsidRPr="00B42E08" w:rsidRDefault="00E2612B" w:rsidP="00B42E08">
      <w:pPr>
        <w:numPr>
          <w:ilvl w:val="2"/>
          <w:numId w:val="32"/>
        </w:numPr>
        <w:jc w:val="both"/>
        <w:rPr>
          <w:rFonts w:ascii="Arial" w:hAnsi="Arial" w:cs="Arial"/>
          <w:b/>
          <w:bCs/>
          <w:sz w:val="24"/>
          <w:szCs w:val="24"/>
        </w:rPr>
      </w:pPr>
      <w:r w:rsidRPr="00E2612B">
        <w:rPr>
          <w:rFonts w:ascii="Arial" w:hAnsi="Arial" w:cs="Arial"/>
          <w:b/>
          <w:bCs/>
          <w:sz w:val="24"/>
          <w:szCs w:val="24"/>
        </w:rPr>
        <w:t xml:space="preserve">Rentabilidad del Activo </w:t>
      </w:r>
    </w:p>
    <w:p w14:paraId="5B662379" w14:textId="786BBB56" w:rsidR="00E2612B" w:rsidRPr="00B42E08" w:rsidRDefault="00E2612B" w:rsidP="00B42E08">
      <w:pPr>
        <w:jc w:val="both"/>
        <w:rPr>
          <w:rFonts w:ascii="Arial" w:hAnsi="Arial" w:cs="Arial"/>
          <w:b/>
          <w:bCs/>
          <w:sz w:val="24"/>
          <w:szCs w:val="24"/>
        </w:rPr>
      </w:pPr>
    </w:p>
    <w:p w14:paraId="7D863893" w14:textId="5B3E4887" w:rsidR="00E2612B" w:rsidRPr="00B42E08" w:rsidRDefault="00E2612B" w:rsidP="00B42E08">
      <w:pPr>
        <w:jc w:val="both"/>
        <w:rPr>
          <w:rFonts w:ascii="Arial" w:hAnsi="Arial" w:cs="Arial"/>
          <w:sz w:val="24"/>
          <w:szCs w:val="24"/>
        </w:rPr>
      </w:pPr>
      <w:r w:rsidRPr="00B42E08">
        <w:rPr>
          <w:rFonts w:ascii="Arial" w:hAnsi="Arial" w:cs="Arial"/>
          <w:sz w:val="24"/>
          <w:szCs w:val="24"/>
        </w:rPr>
        <w:t>Rent. A= Max ( Utilidad Operativa / Total Activos ,0)</w:t>
      </w:r>
    </w:p>
    <w:p w14:paraId="7F715C20" w14:textId="77777777" w:rsidR="00E2612B" w:rsidRPr="00B42E08" w:rsidRDefault="00E2612B" w:rsidP="00B42E08">
      <w:pPr>
        <w:jc w:val="both"/>
        <w:rPr>
          <w:rFonts w:ascii="Arial" w:hAnsi="Arial" w:cs="Arial"/>
          <w:sz w:val="24"/>
          <w:szCs w:val="24"/>
        </w:rPr>
      </w:pPr>
    </w:p>
    <w:p w14:paraId="33CADF8F" w14:textId="66D14089" w:rsidR="00E2612B" w:rsidRPr="00B42E08" w:rsidRDefault="00965F05" w:rsidP="00B42E08">
      <w:pPr>
        <w:numPr>
          <w:ilvl w:val="2"/>
          <w:numId w:val="32"/>
        </w:numPr>
        <w:jc w:val="both"/>
        <w:rPr>
          <w:rFonts w:ascii="Arial" w:hAnsi="Arial" w:cs="Arial"/>
          <w:b/>
          <w:bCs/>
          <w:sz w:val="24"/>
          <w:szCs w:val="24"/>
        </w:rPr>
      </w:pPr>
      <w:r w:rsidRPr="00B42E08">
        <w:rPr>
          <w:rFonts w:ascii="Arial" w:hAnsi="Arial" w:cs="Arial"/>
          <w:b/>
          <w:bCs/>
          <w:sz w:val="24"/>
          <w:szCs w:val="24"/>
        </w:rPr>
        <w:t>Rentabilidad del Patrimonio</w:t>
      </w:r>
    </w:p>
    <w:p w14:paraId="04A5BA90" w14:textId="504B28EF" w:rsidR="00965F05" w:rsidRPr="00B42E08" w:rsidRDefault="00965F05" w:rsidP="00B42E08">
      <w:pPr>
        <w:jc w:val="both"/>
        <w:rPr>
          <w:rFonts w:ascii="Arial" w:hAnsi="Arial" w:cs="Arial"/>
          <w:b/>
          <w:bCs/>
          <w:sz w:val="24"/>
          <w:szCs w:val="24"/>
        </w:rPr>
      </w:pPr>
    </w:p>
    <w:p w14:paraId="6EBB87DA" w14:textId="741C7C5F" w:rsidR="00965F05" w:rsidRPr="00B42E08" w:rsidRDefault="00965F05" w:rsidP="00B42E08">
      <w:pPr>
        <w:jc w:val="both"/>
        <w:rPr>
          <w:rFonts w:ascii="Arial" w:hAnsi="Arial" w:cs="Arial"/>
          <w:sz w:val="24"/>
          <w:szCs w:val="24"/>
        </w:rPr>
      </w:pPr>
      <w:r w:rsidRPr="00B42E08">
        <w:rPr>
          <w:rFonts w:ascii="Arial" w:hAnsi="Arial" w:cs="Arial"/>
          <w:sz w:val="24"/>
          <w:szCs w:val="24"/>
        </w:rPr>
        <w:t>RA= Max ( Utilidad Neta / Total Patrimonio - Valorizaciones (Si tiene) ,0)</w:t>
      </w:r>
    </w:p>
    <w:p w14:paraId="03DC4293" w14:textId="77777777" w:rsidR="00965F05" w:rsidRPr="00B42E08" w:rsidRDefault="00965F05" w:rsidP="00B42E08">
      <w:pPr>
        <w:jc w:val="both"/>
        <w:rPr>
          <w:rFonts w:ascii="Arial" w:hAnsi="Arial" w:cs="Arial"/>
          <w:b/>
          <w:bCs/>
          <w:sz w:val="24"/>
          <w:szCs w:val="24"/>
        </w:rPr>
      </w:pPr>
    </w:p>
    <w:p w14:paraId="5F90D758" w14:textId="64F2E447" w:rsidR="00E2612B" w:rsidRPr="00B42E08" w:rsidRDefault="00965F05" w:rsidP="00B42E08">
      <w:pPr>
        <w:numPr>
          <w:ilvl w:val="2"/>
          <w:numId w:val="32"/>
        </w:numPr>
        <w:jc w:val="both"/>
        <w:rPr>
          <w:rFonts w:ascii="Arial" w:hAnsi="Arial" w:cs="Arial"/>
          <w:b/>
          <w:bCs/>
          <w:sz w:val="24"/>
          <w:szCs w:val="24"/>
        </w:rPr>
      </w:pPr>
      <w:r w:rsidRPr="00B42E08">
        <w:rPr>
          <w:rFonts w:ascii="Arial" w:hAnsi="Arial" w:cs="Arial"/>
          <w:b/>
          <w:bCs/>
          <w:sz w:val="24"/>
          <w:szCs w:val="24"/>
        </w:rPr>
        <w:t>Margen Neto</w:t>
      </w:r>
    </w:p>
    <w:p w14:paraId="2183972C" w14:textId="7FF65491" w:rsidR="00965F05" w:rsidRPr="00B42E08" w:rsidRDefault="00965F05" w:rsidP="00B42E08">
      <w:pPr>
        <w:rPr>
          <w:rFonts w:ascii="Arial" w:hAnsi="Arial" w:cs="Arial"/>
          <w:b/>
          <w:bCs/>
          <w:sz w:val="24"/>
          <w:szCs w:val="24"/>
        </w:rPr>
      </w:pPr>
    </w:p>
    <w:p w14:paraId="0C9D4B1E" w14:textId="2328C860" w:rsidR="00965F05" w:rsidRPr="00B42E08" w:rsidRDefault="00965F05" w:rsidP="00B42E08">
      <w:pPr>
        <w:jc w:val="both"/>
        <w:rPr>
          <w:rFonts w:ascii="Arial" w:hAnsi="Arial" w:cs="Arial"/>
          <w:sz w:val="24"/>
          <w:szCs w:val="24"/>
        </w:rPr>
      </w:pPr>
      <w:r w:rsidRPr="00B42E08">
        <w:rPr>
          <w:rFonts w:ascii="Arial" w:hAnsi="Arial" w:cs="Arial"/>
          <w:sz w:val="24"/>
          <w:szCs w:val="24"/>
        </w:rPr>
        <w:t>RA = Max ( Utilidad Neta / Ventas Netas + Otros Ingresos Operacionales , 0)</w:t>
      </w:r>
    </w:p>
    <w:p w14:paraId="56FE9D21" w14:textId="15083A8C" w:rsidR="00E2612B" w:rsidRPr="00B42E08" w:rsidRDefault="00E2612B" w:rsidP="00B42E08">
      <w:pPr>
        <w:jc w:val="both"/>
        <w:rPr>
          <w:rFonts w:ascii="Arial" w:hAnsi="Arial" w:cs="Arial"/>
          <w:b/>
          <w:bCs/>
          <w:sz w:val="24"/>
          <w:szCs w:val="24"/>
        </w:rPr>
      </w:pPr>
    </w:p>
    <w:p w14:paraId="56934552" w14:textId="77777777" w:rsidR="00FB157D" w:rsidRPr="00B42E08" w:rsidRDefault="00FB157D"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MICROCRÉDITO </w:t>
      </w:r>
    </w:p>
    <w:p w14:paraId="6AD7464F" w14:textId="77777777" w:rsidR="00FB157D" w:rsidRPr="00B42E08" w:rsidRDefault="00FB157D" w:rsidP="00B42E08">
      <w:pPr>
        <w:ind w:left="454"/>
        <w:jc w:val="both"/>
        <w:rPr>
          <w:rFonts w:ascii="Arial" w:hAnsi="Arial" w:cs="Arial"/>
          <w:sz w:val="24"/>
          <w:szCs w:val="24"/>
        </w:rPr>
      </w:pPr>
    </w:p>
    <w:p w14:paraId="5FB137A3"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Para el microcrédito Empresarial los asociados deben soportar ingresos por más del 50% en actividades comerciales, de servicios y producción. </w:t>
      </w:r>
    </w:p>
    <w:p w14:paraId="2CB05AA2" w14:textId="77777777" w:rsidR="00FB157D" w:rsidRPr="00B42E08" w:rsidRDefault="00FB157D" w:rsidP="00B42E08">
      <w:pPr>
        <w:jc w:val="both"/>
        <w:rPr>
          <w:rFonts w:ascii="Arial" w:hAnsi="Arial" w:cs="Arial"/>
          <w:sz w:val="24"/>
          <w:szCs w:val="24"/>
        </w:rPr>
      </w:pPr>
    </w:p>
    <w:p w14:paraId="0491BA58"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Los independientes agropecuarios son los asociados cuyos ingresos provienen en más del 50% de actividades económicas ligadas a la producción y comercialización directa del sector agropecuario (agricultura, ganadería, pesca, etc.), independiente del destino y monto de la inversión. </w:t>
      </w:r>
    </w:p>
    <w:p w14:paraId="65A66C00" w14:textId="77777777" w:rsidR="00FB157D" w:rsidRPr="00B42E08" w:rsidRDefault="00FB157D" w:rsidP="00B42E08">
      <w:pPr>
        <w:jc w:val="both"/>
        <w:rPr>
          <w:rFonts w:ascii="Arial" w:hAnsi="Arial" w:cs="Arial"/>
          <w:sz w:val="24"/>
          <w:szCs w:val="24"/>
        </w:rPr>
      </w:pPr>
    </w:p>
    <w:p w14:paraId="3C8A3862"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Para el cálculo de la capacidad de pago se debe considerar el total de ingresos reportados en el periodo (año), especificando los ingresos provenientes de la actividad agropecuaria, restándole los costos relacionados con la actividad productiva, los gastos financieros (no pasivos) y los otros gastos en los que incurre el asociado/a. El resultado de esta operación debe estar por encima del valor de las cuotas por periodo evaluado, dejando un margen del 25%, para atender imprevistos.</w:t>
      </w:r>
    </w:p>
    <w:p w14:paraId="1DA1CF29" w14:textId="77777777" w:rsidR="00FB157D" w:rsidRPr="00B42E08" w:rsidRDefault="00FB157D" w:rsidP="00B42E08">
      <w:pPr>
        <w:jc w:val="both"/>
        <w:rPr>
          <w:rFonts w:ascii="Arial" w:hAnsi="Arial" w:cs="Arial"/>
          <w:sz w:val="24"/>
          <w:szCs w:val="24"/>
        </w:rPr>
      </w:pPr>
    </w:p>
    <w:p w14:paraId="63951D47"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La fórmula para determinar la capacidad es la siguiente</w:t>
      </w:r>
    </w:p>
    <w:p w14:paraId="6A910E46" w14:textId="77777777" w:rsidR="00FB157D" w:rsidRPr="00B42E08" w:rsidRDefault="00FB157D" w:rsidP="00B42E08">
      <w:pPr>
        <w:jc w:val="both"/>
        <w:rPr>
          <w:rFonts w:ascii="Arial" w:hAnsi="Arial" w:cs="Arial"/>
          <w:sz w:val="24"/>
          <w:szCs w:val="24"/>
        </w:rPr>
      </w:pPr>
    </w:p>
    <w:p w14:paraId="59DD7955"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lastRenderedPageBreak/>
        <w:t>ICP = (Ingresos* - costos - gastos - otros gastos / Obligaciones (porción corriente de las deudas a largo plazo + intereses) ) x 100</w:t>
      </w:r>
    </w:p>
    <w:p w14:paraId="20848CEB" w14:textId="77777777" w:rsidR="00FB157D" w:rsidRPr="00B42E08" w:rsidRDefault="00FB157D" w:rsidP="00B42E08">
      <w:pPr>
        <w:jc w:val="both"/>
        <w:rPr>
          <w:rFonts w:ascii="Arial" w:hAnsi="Arial" w:cs="Arial"/>
          <w:sz w:val="24"/>
          <w:szCs w:val="24"/>
        </w:rPr>
      </w:pPr>
    </w:p>
    <w:p w14:paraId="181EE173"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Para ganadería y agroindustria se incluye valorización de inventarios. </w:t>
      </w:r>
    </w:p>
    <w:p w14:paraId="73BBB697" w14:textId="77777777" w:rsidR="00FB157D" w:rsidRPr="00B42E08" w:rsidRDefault="00FB157D" w:rsidP="00B42E08">
      <w:pPr>
        <w:jc w:val="both"/>
        <w:rPr>
          <w:rFonts w:ascii="Arial" w:hAnsi="Arial" w:cs="Arial"/>
          <w:sz w:val="24"/>
          <w:szCs w:val="24"/>
        </w:rPr>
      </w:pPr>
    </w:p>
    <w:p w14:paraId="0358B971"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Este indicador se debe calcular con la información actual y proyectada. En el caso en que existan diferencias importantes entre los resultados, o estén por debajo del umbral indicado, será necesario indagar con mayor profundidad para lograr el análisis y una justificación a su recomendación.</w:t>
      </w:r>
    </w:p>
    <w:p w14:paraId="7DCEDDD1" w14:textId="77777777" w:rsidR="00FB157D" w:rsidRPr="00B42E08" w:rsidRDefault="00FB157D" w:rsidP="00B42E08">
      <w:pPr>
        <w:jc w:val="both"/>
        <w:rPr>
          <w:rFonts w:ascii="Arial" w:hAnsi="Arial" w:cs="Arial"/>
          <w:sz w:val="24"/>
          <w:szCs w:val="24"/>
        </w:rPr>
      </w:pPr>
    </w:p>
    <w:p w14:paraId="04209CDB"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Para la interpretación de este indicador, se considera la siguiente tabla, en donde se indica un rango de aceptación del riesgo</w:t>
      </w:r>
    </w:p>
    <w:p w14:paraId="722E2FD5" w14:textId="77777777" w:rsidR="00FB157D" w:rsidRPr="00B42E08" w:rsidRDefault="00FB157D" w:rsidP="00B42E08">
      <w:pPr>
        <w:jc w:val="both"/>
        <w:rPr>
          <w:rFonts w:ascii="Arial" w:hAnsi="Arial" w:cs="Arial"/>
          <w:sz w:val="24"/>
          <w:szCs w:val="24"/>
        </w:rPr>
      </w:pPr>
    </w:p>
    <w:tbl>
      <w:tblPr>
        <w:tblStyle w:val="Tablaconcuadrcula"/>
        <w:tblpPr w:leftFromText="141" w:rightFromText="141" w:vertAnchor="text" w:horzAnchor="margin" w:tblpXSpec="center" w:tblpY="-24"/>
        <w:tblW w:w="0" w:type="auto"/>
        <w:tblLayout w:type="fixed"/>
        <w:tblLook w:val="0000" w:firstRow="0" w:lastRow="0" w:firstColumn="0" w:lastColumn="0" w:noHBand="0" w:noVBand="0"/>
      </w:tblPr>
      <w:tblGrid>
        <w:gridCol w:w="1838"/>
        <w:gridCol w:w="1566"/>
      </w:tblGrid>
      <w:tr w:rsidR="00FB157D" w:rsidRPr="00B42E08" w14:paraId="490EF559" w14:textId="77777777" w:rsidTr="00C73D81">
        <w:trPr>
          <w:trHeight w:val="103"/>
        </w:trPr>
        <w:tc>
          <w:tcPr>
            <w:tcW w:w="1838" w:type="dxa"/>
            <w:vAlign w:val="center"/>
          </w:tcPr>
          <w:p w14:paraId="70EDFA02" w14:textId="77777777" w:rsidR="00FB157D" w:rsidRPr="00B42E08" w:rsidRDefault="00FB157D" w:rsidP="00B42E08">
            <w:pPr>
              <w:pStyle w:val="Default"/>
              <w:jc w:val="center"/>
            </w:pPr>
            <w:r w:rsidRPr="00B42E08">
              <w:rPr>
                <w:b/>
                <w:bCs/>
              </w:rPr>
              <w:t>Rango</w:t>
            </w:r>
          </w:p>
        </w:tc>
        <w:tc>
          <w:tcPr>
            <w:tcW w:w="1566" w:type="dxa"/>
            <w:vAlign w:val="center"/>
          </w:tcPr>
          <w:p w14:paraId="749D13D6" w14:textId="77777777" w:rsidR="00FB157D" w:rsidRPr="00B42E08" w:rsidRDefault="00FB157D" w:rsidP="00B42E08">
            <w:pPr>
              <w:pStyle w:val="Default"/>
              <w:jc w:val="center"/>
            </w:pPr>
            <w:r w:rsidRPr="00B42E08">
              <w:rPr>
                <w:b/>
                <w:bCs/>
              </w:rPr>
              <w:t>Riesgo</w:t>
            </w:r>
          </w:p>
        </w:tc>
      </w:tr>
      <w:tr w:rsidR="00FB157D" w:rsidRPr="00B42E08" w14:paraId="4D62887C" w14:textId="77777777" w:rsidTr="00C73D81">
        <w:trPr>
          <w:trHeight w:val="103"/>
        </w:trPr>
        <w:tc>
          <w:tcPr>
            <w:tcW w:w="1838" w:type="dxa"/>
          </w:tcPr>
          <w:p w14:paraId="5DE733DE" w14:textId="77777777" w:rsidR="00FB157D" w:rsidRPr="00B42E08" w:rsidRDefault="00FB157D" w:rsidP="00B42E08">
            <w:pPr>
              <w:pStyle w:val="Default"/>
            </w:pPr>
            <w:r w:rsidRPr="00B42E08">
              <w:rPr>
                <w:b/>
                <w:bCs/>
              </w:rPr>
              <w:t xml:space="preserve">&lt; 125% </w:t>
            </w:r>
          </w:p>
        </w:tc>
        <w:tc>
          <w:tcPr>
            <w:tcW w:w="1566" w:type="dxa"/>
          </w:tcPr>
          <w:p w14:paraId="09BDB201" w14:textId="77777777" w:rsidR="00FB157D" w:rsidRPr="00B42E08" w:rsidRDefault="00FB157D" w:rsidP="00B42E08">
            <w:pPr>
              <w:pStyle w:val="Default"/>
            </w:pPr>
            <w:r w:rsidRPr="00B42E08">
              <w:t xml:space="preserve">Alto </w:t>
            </w:r>
          </w:p>
        </w:tc>
      </w:tr>
      <w:tr w:rsidR="00FB157D" w:rsidRPr="00B42E08" w14:paraId="5ACA335F" w14:textId="77777777" w:rsidTr="00C73D81">
        <w:trPr>
          <w:trHeight w:val="103"/>
        </w:trPr>
        <w:tc>
          <w:tcPr>
            <w:tcW w:w="1838" w:type="dxa"/>
          </w:tcPr>
          <w:p w14:paraId="581AD8C2" w14:textId="77777777" w:rsidR="00FB157D" w:rsidRPr="00B42E08" w:rsidRDefault="00FB157D" w:rsidP="00B42E08">
            <w:pPr>
              <w:pStyle w:val="Default"/>
            </w:pPr>
            <w:r w:rsidRPr="00B42E08">
              <w:rPr>
                <w:b/>
                <w:bCs/>
              </w:rPr>
              <w:t xml:space="preserve">125% – 150% </w:t>
            </w:r>
          </w:p>
        </w:tc>
        <w:tc>
          <w:tcPr>
            <w:tcW w:w="1566" w:type="dxa"/>
          </w:tcPr>
          <w:p w14:paraId="18FA70E8" w14:textId="77777777" w:rsidR="00FB157D" w:rsidRPr="00B42E08" w:rsidRDefault="00FB157D" w:rsidP="00B42E08">
            <w:pPr>
              <w:pStyle w:val="Default"/>
            </w:pPr>
            <w:r w:rsidRPr="00B42E08">
              <w:t xml:space="preserve">Aceptable </w:t>
            </w:r>
          </w:p>
        </w:tc>
      </w:tr>
      <w:tr w:rsidR="00FB157D" w:rsidRPr="00B42E08" w14:paraId="674A21D1" w14:textId="77777777" w:rsidTr="00C73D81">
        <w:trPr>
          <w:trHeight w:val="103"/>
        </w:trPr>
        <w:tc>
          <w:tcPr>
            <w:tcW w:w="1838" w:type="dxa"/>
          </w:tcPr>
          <w:p w14:paraId="1A219B1B" w14:textId="77777777" w:rsidR="00FB157D" w:rsidRPr="00B42E08" w:rsidRDefault="00FB157D" w:rsidP="00B42E08">
            <w:pPr>
              <w:pStyle w:val="Default"/>
            </w:pPr>
            <w:r w:rsidRPr="00B42E08">
              <w:rPr>
                <w:b/>
                <w:bCs/>
              </w:rPr>
              <w:t xml:space="preserve">&gt;150% </w:t>
            </w:r>
          </w:p>
        </w:tc>
        <w:tc>
          <w:tcPr>
            <w:tcW w:w="1566" w:type="dxa"/>
          </w:tcPr>
          <w:p w14:paraId="16481B40" w14:textId="77777777" w:rsidR="00FB157D" w:rsidRPr="00B42E08" w:rsidRDefault="00FB157D" w:rsidP="00B42E08">
            <w:pPr>
              <w:pStyle w:val="Default"/>
            </w:pPr>
            <w:r w:rsidRPr="00B42E08">
              <w:t xml:space="preserve">Bajo </w:t>
            </w:r>
          </w:p>
        </w:tc>
      </w:tr>
    </w:tbl>
    <w:p w14:paraId="22003847" w14:textId="77777777" w:rsidR="00FB157D" w:rsidRPr="00B42E08" w:rsidRDefault="00FB157D" w:rsidP="00B42E08">
      <w:pPr>
        <w:jc w:val="both"/>
        <w:rPr>
          <w:rFonts w:ascii="Arial" w:hAnsi="Arial" w:cs="Arial"/>
          <w:sz w:val="24"/>
          <w:szCs w:val="24"/>
        </w:rPr>
      </w:pPr>
    </w:p>
    <w:p w14:paraId="7D7BBE1A" w14:textId="77777777" w:rsidR="00FB157D" w:rsidRPr="00B42E08" w:rsidRDefault="00FB157D" w:rsidP="00B42E08">
      <w:pPr>
        <w:jc w:val="both"/>
        <w:rPr>
          <w:rFonts w:ascii="Arial" w:hAnsi="Arial" w:cs="Arial"/>
          <w:sz w:val="24"/>
          <w:szCs w:val="24"/>
        </w:rPr>
      </w:pPr>
    </w:p>
    <w:p w14:paraId="0F38E223" w14:textId="77777777" w:rsidR="00FB157D" w:rsidRPr="00B42E08" w:rsidRDefault="00FB157D" w:rsidP="00B42E08">
      <w:pPr>
        <w:jc w:val="both"/>
        <w:rPr>
          <w:rFonts w:ascii="Arial" w:hAnsi="Arial" w:cs="Arial"/>
          <w:sz w:val="24"/>
          <w:szCs w:val="24"/>
        </w:rPr>
      </w:pPr>
    </w:p>
    <w:p w14:paraId="14480167" w14:textId="77777777" w:rsidR="00FB157D" w:rsidRPr="00B42E08" w:rsidRDefault="00FB157D" w:rsidP="00B42E08">
      <w:pPr>
        <w:jc w:val="both"/>
        <w:rPr>
          <w:rFonts w:ascii="Arial" w:hAnsi="Arial" w:cs="Arial"/>
          <w:sz w:val="24"/>
          <w:szCs w:val="24"/>
        </w:rPr>
      </w:pPr>
    </w:p>
    <w:p w14:paraId="296A9819" w14:textId="77777777" w:rsidR="00FB157D" w:rsidRPr="00B42E08" w:rsidRDefault="00FB157D" w:rsidP="00B42E08">
      <w:pPr>
        <w:jc w:val="both"/>
        <w:rPr>
          <w:rFonts w:ascii="Arial" w:hAnsi="Arial" w:cs="Arial"/>
          <w:sz w:val="24"/>
          <w:szCs w:val="24"/>
        </w:rPr>
      </w:pPr>
    </w:p>
    <w:p w14:paraId="7959BC16"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Se debe considerar un umbral mínimo de 25% de recurso adicional al valor total de las cuotas u obligaciones del periodo, de tal manera que se evidencien las posibilidades que tiene el asociado(a) para cubrir sus deudas y tener un margen mínimo de 25% para cubrir imprevistos.</w:t>
      </w:r>
    </w:p>
    <w:p w14:paraId="0291A35D" w14:textId="77777777" w:rsidR="00FB157D" w:rsidRPr="00B42E08" w:rsidRDefault="00FB157D" w:rsidP="00B42E08">
      <w:pPr>
        <w:jc w:val="both"/>
        <w:rPr>
          <w:rFonts w:ascii="Arial" w:hAnsi="Arial" w:cs="Arial"/>
          <w:sz w:val="24"/>
          <w:szCs w:val="24"/>
        </w:rPr>
      </w:pPr>
    </w:p>
    <w:p w14:paraId="2834D491" w14:textId="77777777" w:rsidR="00FB157D" w:rsidRPr="00B42E08" w:rsidRDefault="00FB157D" w:rsidP="00B42E08">
      <w:pPr>
        <w:numPr>
          <w:ilvl w:val="2"/>
          <w:numId w:val="32"/>
        </w:numPr>
        <w:jc w:val="both"/>
        <w:rPr>
          <w:rFonts w:ascii="Arial" w:hAnsi="Arial" w:cs="Arial"/>
          <w:b/>
          <w:bCs/>
          <w:sz w:val="24"/>
          <w:szCs w:val="24"/>
        </w:rPr>
      </w:pPr>
      <w:r w:rsidRPr="00B42E08">
        <w:rPr>
          <w:rFonts w:ascii="Arial" w:hAnsi="Arial" w:cs="Arial"/>
          <w:b/>
          <w:bCs/>
          <w:sz w:val="24"/>
          <w:szCs w:val="24"/>
        </w:rPr>
        <w:t xml:space="preserve">FLUJO DE CAJA </w:t>
      </w:r>
    </w:p>
    <w:p w14:paraId="0DCB97D9" w14:textId="77777777" w:rsidR="00FB157D" w:rsidRPr="00B42E08" w:rsidRDefault="00FB157D" w:rsidP="00B42E08">
      <w:pPr>
        <w:ind w:left="680"/>
        <w:jc w:val="both"/>
        <w:rPr>
          <w:rFonts w:ascii="Arial" w:hAnsi="Arial" w:cs="Arial"/>
          <w:b/>
          <w:bCs/>
          <w:sz w:val="24"/>
          <w:szCs w:val="24"/>
        </w:rPr>
      </w:pPr>
    </w:p>
    <w:p w14:paraId="568D09CA"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Sirve para proyectar la capacidad de generar ingresos del solicitante teniendo en cuenta tanto su condición financiera actual, como los ingresos y egresos que se pretendan generar por la actividad agropecuaria. Adicionalmente, es el soporte para proponer ajustes a las condiciones de pago propuestas en una nueva operación de crédito. </w:t>
      </w:r>
    </w:p>
    <w:p w14:paraId="7BBD7FCB" w14:textId="77777777" w:rsidR="00FB157D" w:rsidRPr="00B42E08" w:rsidRDefault="00FB157D" w:rsidP="00B42E08">
      <w:pPr>
        <w:jc w:val="both"/>
        <w:rPr>
          <w:rFonts w:ascii="Arial" w:hAnsi="Arial" w:cs="Arial"/>
          <w:sz w:val="24"/>
          <w:szCs w:val="24"/>
        </w:rPr>
      </w:pPr>
    </w:p>
    <w:p w14:paraId="2FDC80CA"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Para determinar el flujo de caja del asociado, se debe tomar el total de ingresos agropecuarios y no agropecuarios proyectado para un periodo determinado y restarle el total de egresos del proyecto incluyendo la atención del endeudamiento durante el mismo periodo</w:t>
      </w:r>
    </w:p>
    <w:p w14:paraId="39458A8B" w14:textId="77777777" w:rsidR="00FB157D" w:rsidRPr="00B42E08" w:rsidRDefault="00FB157D" w:rsidP="00B42E08">
      <w:pPr>
        <w:jc w:val="both"/>
        <w:rPr>
          <w:rFonts w:ascii="Arial" w:hAnsi="Arial" w:cs="Arial"/>
          <w:sz w:val="24"/>
          <w:szCs w:val="24"/>
        </w:rPr>
      </w:pPr>
    </w:p>
    <w:p w14:paraId="3BE0C313" w14:textId="1A70B516"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Se debe conocer los resultados financieros de cada periodo, incluyendo la nueva operación de crédito, para medir los riesgos y la capacidad de generar recursos, entendida esta como la rentabilidad del proyecto; posteriormente, se deben tener en cuenta los ingresos y gastos correspondientes a la actividad económica actual del asociado y sus costos de sostenimiento personal, el asociado debe evidenciar rentabilidad antes del proyecto y luego de financiar el mismo. </w:t>
      </w:r>
    </w:p>
    <w:p w14:paraId="70DFBC7E" w14:textId="77777777" w:rsidR="00FB157D" w:rsidRPr="00B42E08" w:rsidRDefault="00FB157D" w:rsidP="00B42E08">
      <w:pPr>
        <w:jc w:val="both"/>
        <w:rPr>
          <w:rFonts w:ascii="Arial" w:hAnsi="Arial" w:cs="Arial"/>
          <w:sz w:val="24"/>
          <w:szCs w:val="24"/>
        </w:rPr>
      </w:pPr>
    </w:p>
    <w:p w14:paraId="38A87BCE" w14:textId="77777777" w:rsidR="00FB157D" w:rsidRPr="00B42E08" w:rsidRDefault="00FB157D" w:rsidP="00B42E08">
      <w:pPr>
        <w:jc w:val="both"/>
        <w:rPr>
          <w:rFonts w:ascii="Arial" w:hAnsi="Arial" w:cs="Arial"/>
          <w:sz w:val="24"/>
          <w:szCs w:val="24"/>
        </w:rPr>
      </w:pPr>
      <w:r w:rsidRPr="00B42E08">
        <w:rPr>
          <w:rFonts w:ascii="Arial" w:hAnsi="Arial" w:cs="Arial"/>
          <w:sz w:val="24"/>
          <w:szCs w:val="24"/>
        </w:rPr>
        <w:t>Durante el plazo total del crédito, el flujo de caja consolidado debe ser positivo, sin embargo, para los periodos en los que no se presente esta situación, se podrán ajustar las amortizaciones del crédito buscando superar estos periodos y de acuerdo con los ciclos de la actividad productiva, si una vez que se realicen estos ajustes el flujo de caja continua con periodos negativos, no es recomendable otorgar la operación de crédito por la alta probabilidad de incurrir en mora.</w:t>
      </w:r>
    </w:p>
    <w:p w14:paraId="77BADBE8" w14:textId="77777777" w:rsidR="00FB157D" w:rsidRPr="00B42E08" w:rsidRDefault="00FB157D" w:rsidP="00B42E08">
      <w:pPr>
        <w:jc w:val="both"/>
        <w:rPr>
          <w:rFonts w:ascii="Arial" w:hAnsi="Arial" w:cs="Arial"/>
          <w:b/>
          <w:bCs/>
          <w:sz w:val="24"/>
          <w:szCs w:val="24"/>
        </w:rPr>
      </w:pPr>
    </w:p>
    <w:p w14:paraId="083EF2ED" w14:textId="3FA2BEEF" w:rsidR="0047345C" w:rsidRPr="00B42E08" w:rsidRDefault="0047345C" w:rsidP="00B42E08">
      <w:pPr>
        <w:numPr>
          <w:ilvl w:val="1"/>
          <w:numId w:val="32"/>
        </w:numPr>
        <w:jc w:val="both"/>
        <w:rPr>
          <w:rFonts w:ascii="Arial" w:hAnsi="Arial" w:cs="Arial"/>
          <w:b/>
          <w:bCs/>
          <w:sz w:val="24"/>
          <w:szCs w:val="24"/>
        </w:rPr>
      </w:pPr>
      <w:r w:rsidRPr="00B42E08">
        <w:rPr>
          <w:rFonts w:ascii="Arial" w:hAnsi="Arial" w:cs="Arial"/>
          <w:b/>
          <w:bCs/>
          <w:sz w:val="24"/>
          <w:szCs w:val="24"/>
        </w:rPr>
        <w:t>CALCULO PARA CUOTAS EN CENTRALE DE RIESGO</w:t>
      </w:r>
    </w:p>
    <w:p w14:paraId="16145B13" w14:textId="77777777" w:rsidR="0047345C" w:rsidRPr="00B42E08" w:rsidRDefault="0047345C" w:rsidP="00B42E08">
      <w:pPr>
        <w:pStyle w:val="Default"/>
      </w:pPr>
    </w:p>
    <w:p w14:paraId="25F6AF63" w14:textId="77777777" w:rsidR="0047345C" w:rsidRPr="00B42E08" w:rsidRDefault="0047345C" w:rsidP="00B42E08">
      <w:pPr>
        <w:numPr>
          <w:ilvl w:val="2"/>
          <w:numId w:val="32"/>
        </w:numPr>
        <w:jc w:val="both"/>
        <w:rPr>
          <w:rFonts w:ascii="Arial" w:hAnsi="Arial" w:cs="Arial"/>
          <w:sz w:val="24"/>
          <w:szCs w:val="24"/>
        </w:rPr>
      </w:pPr>
      <w:r w:rsidRPr="00B42E08">
        <w:rPr>
          <w:rFonts w:ascii="Arial" w:hAnsi="Arial" w:cs="Arial"/>
          <w:b/>
          <w:bCs/>
          <w:sz w:val="24"/>
          <w:szCs w:val="24"/>
        </w:rPr>
        <w:t xml:space="preserve">Para Tarjetas de crédito </w:t>
      </w:r>
    </w:p>
    <w:p w14:paraId="6967035C" w14:textId="77777777" w:rsidR="0047345C" w:rsidRPr="00B42E08" w:rsidRDefault="0047345C" w:rsidP="00B42E08">
      <w:pPr>
        <w:pStyle w:val="Default"/>
        <w:rPr>
          <w:b/>
          <w:bCs/>
        </w:rPr>
      </w:pPr>
    </w:p>
    <w:p w14:paraId="2380CA95" w14:textId="43567F90" w:rsidR="0047345C" w:rsidRPr="00B42E08" w:rsidRDefault="0047345C" w:rsidP="00B42E08">
      <w:pPr>
        <w:pStyle w:val="Default"/>
        <w:numPr>
          <w:ilvl w:val="0"/>
          <w:numId w:val="40"/>
        </w:numPr>
      </w:pPr>
      <w:r w:rsidRPr="00B42E08">
        <w:rPr>
          <w:b/>
          <w:bCs/>
        </w:rPr>
        <w:t xml:space="preserve">Cuando se ha utilizado más del 50% del cupo de la tarjeta: </w:t>
      </w:r>
      <w:r w:rsidRPr="00B42E08">
        <w:t>Cupo total de la tarjeta de crédito /</w:t>
      </w:r>
      <w:r w:rsidR="00A7351B" w:rsidRPr="00B42E08">
        <w:t xml:space="preserve"> </w:t>
      </w:r>
      <w:r w:rsidRPr="00B42E08">
        <w:t xml:space="preserve">36. </w:t>
      </w:r>
    </w:p>
    <w:p w14:paraId="0AFA99D8" w14:textId="7995A7AC" w:rsidR="0047345C" w:rsidRPr="00B42E08" w:rsidRDefault="0047345C" w:rsidP="00B42E08">
      <w:pPr>
        <w:pStyle w:val="Default"/>
        <w:numPr>
          <w:ilvl w:val="0"/>
          <w:numId w:val="40"/>
        </w:numPr>
      </w:pPr>
      <w:r w:rsidRPr="00B42E08">
        <w:rPr>
          <w:b/>
          <w:bCs/>
        </w:rPr>
        <w:t xml:space="preserve">Cuando se ha utilizado menos del 50% del cupo de la tarjeta: </w:t>
      </w:r>
      <w:r w:rsidRPr="00B42E08">
        <w:t xml:space="preserve">Saldo de la tarjeta de crédito / 36. </w:t>
      </w:r>
    </w:p>
    <w:p w14:paraId="7D4E7581" w14:textId="77777777" w:rsidR="0047345C" w:rsidRPr="00B42E08" w:rsidRDefault="0047345C" w:rsidP="00B42E08">
      <w:pPr>
        <w:pStyle w:val="Default"/>
        <w:ind w:left="720"/>
      </w:pPr>
    </w:p>
    <w:p w14:paraId="4AECB2A2" w14:textId="2DC3938D" w:rsidR="0047345C" w:rsidRPr="00B42E08" w:rsidRDefault="0047345C" w:rsidP="00B42E08">
      <w:pPr>
        <w:numPr>
          <w:ilvl w:val="2"/>
          <w:numId w:val="32"/>
        </w:numPr>
        <w:jc w:val="both"/>
        <w:rPr>
          <w:rFonts w:ascii="Arial" w:hAnsi="Arial" w:cs="Arial"/>
          <w:sz w:val="24"/>
          <w:szCs w:val="24"/>
        </w:rPr>
      </w:pPr>
      <w:r w:rsidRPr="00B42E08">
        <w:rPr>
          <w:rFonts w:ascii="Arial" w:hAnsi="Arial" w:cs="Arial"/>
          <w:b/>
          <w:bCs/>
          <w:sz w:val="24"/>
          <w:szCs w:val="24"/>
        </w:rPr>
        <w:t xml:space="preserve">Para Cupos de crédito </w:t>
      </w:r>
    </w:p>
    <w:p w14:paraId="758DCF68" w14:textId="77777777" w:rsidR="0047345C" w:rsidRPr="00B42E08" w:rsidRDefault="0047345C" w:rsidP="00B42E08">
      <w:pPr>
        <w:pStyle w:val="Default"/>
      </w:pPr>
    </w:p>
    <w:p w14:paraId="57E4D98A" w14:textId="5D5BE986" w:rsidR="0047345C" w:rsidRPr="00B42E08" w:rsidRDefault="0047345C" w:rsidP="00B42E08">
      <w:pPr>
        <w:pStyle w:val="Prrafodelista"/>
        <w:numPr>
          <w:ilvl w:val="0"/>
          <w:numId w:val="41"/>
        </w:numPr>
        <w:rPr>
          <w:rFonts w:ascii="Arial" w:hAnsi="Arial" w:cs="Arial"/>
          <w:sz w:val="24"/>
          <w:szCs w:val="24"/>
        </w:rPr>
      </w:pPr>
      <w:r w:rsidRPr="00B42E08">
        <w:rPr>
          <w:rFonts w:ascii="Arial" w:hAnsi="Arial" w:cs="Arial"/>
          <w:b/>
          <w:bCs/>
          <w:sz w:val="24"/>
          <w:szCs w:val="24"/>
        </w:rPr>
        <w:t>Cuando se ha utilizado más del 50% del valor del crédito</w:t>
      </w:r>
      <w:r w:rsidRPr="00B42E08">
        <w:rPr>
          <w:rFonts w:ascii="Arial" w:hAnsi="Arial" w:cs="Arial"/>
          <w:sz w:val="24"/>
          <w:szCs w:val="24"/>
        </w:rPr>
        <w:t xml:space="preserve">: Valor del cupo de crédito/ plazo del cupo de crédito </w:t>
      </w:r>
    </w:p>
    <w:p w14:paraId="23306E09" w14:textId="2A1AA98D" w:rsidR="0047345C" w:rsidRPr="00B42E08" w:rsidRDefault="0047345C" w:rsidP="00B42E08">
      <w:pPr>
        <w:pStyle w:val="Prrafodelista"/>
        <w:numPr>
          <w:ilvl w:val="0"/>
          <w:numId w:val="41"/>
        </w:numPr>
        <w:rPr>
          <w:rFonts w:ascii="Arial" w:hAnsi="Arial" w:cs="Arial"/>
          <w:sz w:val="24"/>
          <w:szCs w:val="24"/>
        </w:rPr>
      </w:pPr>
      <w:r w:rsidRPr="00B42E08">
        <w:rPr>
          <w:rFonts w:ascii="Arial" w:hAnsi="Arial" w:cs="Arial"/>
          <w:b/>
          <w:bCs/>
          <w:sz w:val="24"/>
          <w:szCs w:val="24"/>
        </w:rPr>
        <w:t xml:space="preserve">Cuando se ha utilizado menos del 50% del valor del crédito: </w:t>
      </w:r>
      <w:r w:rsidRPr="00B42E08">
        <w:rPr>
          <w:rFonts w:ascii="Arial" w:hAnsi="Arial" w:cs="Arial"/>
          <w:sz w:val="24"/>
          <w:szCs w:val="24"/>
        </w:rPr>
        <w:t xml:space="preserve">Saldo del cupo de crédito/ plazo del cupo de crédito </w:t>
      </w:r>
    </w:p>
    <w:p w14:paraId="4D8FD6AA" w14:textId="77777777" w:rsidR="0047345C" w:rsidRPr="00B42E08" w:rsidRDefault="0047345C" w:rsidP="00B42E08">
      <w:pPr>
        <w:pStyle w:val="Prrafodelista"/>
        <w:ind w:left="720"/>
        <w:rPr>
          <w:rFonts w:ascii="Arial" w:hAnsi="Arial" w:cs="Arial"/>
          <w:sz w:val="24"/>
          <w:szCs w:val="24"/>
        </w:rPr>
      </w:pPr>
    </w:p>
    <w:p w14:paraId="13FA15B5" w14:textId="0B2309A1" w:rsidR="0047345C" w:rsidRPr="00B42E08" w:rsidRDefault="0047345C" w:rsidP="00B42E08">
      <w:pPr>
        <w:numPr>
          <w:ilvl w:val="2"/>
          <w:numId w:val="32"/>
        </w:numPr>
        <w:jc w:val="both"/>
        <w:rPr>
          <w:rFonts w:ascii="Arial" w:hAnsi="Arial" w:cs="Arial"/>
          <w:sz w:val="24"/>
          <w:szCs w:val="24"/>
        </w:rPr>
      </w:pPr>
      <w:r w:rsidRPr="00B42E08">
        <w:rPr>
          <w:rFonts w:ascii="Arial" w:hAnsi="Arial" w:cs="Arial"/>
          <w:b/>
          <w:bCs/>
          <w:sz w:val="24"/>
          <w:szCs w:val="24"/>
        </w:rPr>
        <w:t xml:space="preserve">Para Créditos Hipotecarios </w:t>
      </w:r>
    </w:p>
    <w:p w14:paraId="7C1F6A56" w14:textId="77777777" w:rsidR="0047345C" w:rsidRPr="00B42E08" w:rsidRDefault="0047345C" w:rsidP="00B42E08">
      <w:pPr>
        <w:pStyle w:val="Default"/>
      </w:pPr>
    </w:p>
    <w:p w14:paraId="09E78664" w14:textId="5C3F5E2D" w:rsidR="0047345C" w:rsidRPr="00B42E08" w:rsidRDefault="0047345C" w:rsidP="00B42E08">
      <w:pPr>
        <w:jc w:val="both"/>
        <w:rPr>
          <w:rFonts w:ascii="Arial" w:hAnsi="Arial" w:cs="Arial"/>
          <w:b/>
          <w:bCs/>
          <w:sz w:val="24"/>
          <w:szCs w:val="24"/>
        </w:rPr>
      </w:pPr>
      <w:r w:rsidRPr="00B42E08">
        <w:rPr>
          <w:rFonts w:ascii="Arial" w:hAnsi="Arial" w:cs="Arial"/>
          <w:sz w:val="24"/>
          <w:szCs w:val="24"/>
        </w:rPr>
        <w:t>Si el solicitante posee sociedad conyugal que tiene una relación laboral, se puede establecer el 50% del valor de la cuota.</w:t>
      </w:r>
    </w:p>
    <w:p w14:paraId="524307D1" w14:textId="708FC8E5" w:rsidR="002B0503" w:rsidRPr="00B42E08" w:rsidRDefault="002B0503" w:rsidP="00B42E08">
      <w:pPr>
        <w:jc w:val="both"/>
        <w:rPr>
          <w:rFonts w:ascii="Arial" w:hAnsi="Arial" w:cs="Arial"/>
          <w:b/>
          <w:bCs/>
          <w:sz w:val="24"/>
          <w:szCs w:val="24"/>
        </w:rPr>
      </w:pPr>
    </w:p>
    <w:p w14:paraId="571AEF94" w14:textId="1C664FAB" w:rsidR="002B0503" w:rsidRPr="00B42E08" w:rsidRDefault="0047345C" w:rsidP="00B42E08">
      <w:pPr>
        <w:numPr>
          <w:ilvl w:val="1"/>
          <w:numId w:val="32"/>
        </w:numPr>
        <w:jc w:val="both"/>
        <w:rPr>
          <w:rFonts w:ascii="Arial" w:hAnsi="Arial" w:cs="Arial"/>
          <w:b/>
          <w:bCs/>
          <w:sz w:val="24"/>
          <w:szCs w:val="24"/>
        </w:rPr>
      </w:pPr>
      <w:r w:rsidRPr="00B42E08">
        <w:rPr>
          <w:rFonts w:ascii="Arial" w:hAnsi="Arial" w:cs="Arial"/>
          <w:b/>
          <w:bCs/>
          <w:sz w:val="24"/>
          <w:szCs w:val="24"/>
        </w:rPr>
        <w:t>ENDEUDAMIENTO</w:t>
      </w:r>
    </w:p>
    <w:p w14:paraId="1C0B234C" w14:textId="77777777" w:rsidR="00FC32DE" w:rsidRPr="00B42E08" w:rsidRDefault="00FC32DE" w:rsidP="00B42E08">
      <w:pPr>
        <w:ind w:left="454"/>
        <w:jc w:val="both"/>
        <w:rPr>
          <w:rFonts w:ascii="Arial" w:hAnsi="Arial" w:cs="Arial"/>
          <w:b/>
          <w:bCs/>
          <w:sz w:val="24"/>
          <w:szCs w:val="24"/>
        </w:rPr>
      </w:pPr>
    </w:p>
    <w:p w14:paraId="2FED4E4D" w14:textId="7E6E26A3" w:rsidR="00FC32DE" w:rsidRPr="00B42E08" w:rsidRDefault="00FC32DE" w:rsidP="00B42E08">
      <w:pPr>
        <w:jc w:val="both"/>
        <w:rPr>
          <w:rFonts w:ascii="Arial" w:hAnsi="Arial" w:cs="Arial"/>
          <w:sz w:val="24"/>
          <w:szCs w:val="24"/>
        </w:rPr>
      </w:pPr>
      <w:r w:rsidRPr="00B42E08">
        <w:rPr>
          <w:rFonts w:ascii="Arial" w:hAnsi="Arial" w:cs="Arial"/>
          <w:sz w:val="24"/>
          <w:szCs w:val="24"/>
        </w:rPr>
        <w:t>E= Total Pasivos</w:t>
      </w:r>
      <w:r w:rsidR="003305C1" w:rsidRPr="00B42E08">
        <w:rPr>
          <w:rFonts w:ascii="Arial" w:hAnsi="Arial" w:cs="Arial"/>
          <w:sz w:val="24"/>
          <w:szCs w:val="24"/>
        </w:rPr>
        <w:t xml:space="preserve"> </w:t>
      </w:r>
      <w:r w:rsidRPr="00B42E08">
        <w:rPr>
          <w:rFonts w:ascii="Arial" w:hAnsi="Arial" w:cs="Arial"/>
          <w:sz w:val="24"/>
          <w:szCs w:val="24"/>
        </w:rPr>
        <w:t xml:space="preserve">/ Total Activos </w:t>
      </w:r>
    </w:p>
    <w:p w14:paraId="2A23E338" w14:textId="77777777" w:rsidR="00FC32DE" w:rsidRPr="00B42E08" w:rsidRDefault="00FC32DE" w:rsidP="00B42E08">
      <w:pPr>
        <w:jc w:val="both"/>
        <w:rPr>
          <w:rFonts w:ascii="Arial" w:hAnsi="Arial" w:cs="Arial"/>
          <w:b/>
          <w:bCs/>
          <w:sz w:val="24"/>
          <w:szCs w:val="24"/>
        </w:rPr>
      </w:pPr>
    </w:p>
    <w:p w14:paraId="7733A09E" w14:textId="15F79D10" w:rsidR="003305C1" w:rsidRPr="00B42E08" w:rsidRDefault="003305C1"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NIVEL DE ENDEUDAMIENTO CON EL NUEVO CRÉDITO INCLUIDO (%) </w:t>
      </w:r>
    </w:p>
    <w:p w14:paraId="7ADE87EA" w14:textId="77777777" w:rsidR="003305C1" w:rsidRPr="00B42E08" w:rsidRDefault="003305C1" w:rsidP="00B42E08">
      <w:pPr>
        <w:pStyle w:val="Default"/>
      </w:pPr>
    </w:p>
    <w:p w14:paraId="4174BE7F" w14:textId="7A275E6B" w:rsidR="002B0503" w:rsidRPr="00B42E08" w:rsidRDefault="003305C1" w:rsidP="00B42E08">
      <w:pPr>
        <w:jc w:val="both"/>
        <w:rPr>
          <w:rFonts w:ascii="Arial" w:hAnsi="Arial" w:cs="Arial"/>
          <w:sz w:val="24"/>
          <w:szCs w:val="24"/>
        </w:rPr>
      </w:pPr>
      <w:r w:rsidRPr="00B42E08">
        <w:rPr>
          <w:rFonts w:ascii="Arial" w:hAnsi="Arial" w:cs="Arial"/>
          <w:sz w:val="24"/>
          <w:szCs w:val="24"/>
        </w:rPr>
        <w:t>Se debe tener en cuenta el valor total de los pasivos del asociado (deudas y obligaciones con entidades financieras, el sector real y otro tipo de deudas contraídas por el asociado adicionando el nuevo crédito), dividido por el valor de los activos (total de recursos de los que dispone el asociado para llevar a cabo sus operaciones, así como todos los bienes y derechos sumado al capital ingresado por el nuevo crédito), posteriormente se multiplica por 100 para convertirlo en un porcentaje:</w:t>
      </w:r>
    </w:p>
    <w:p w14:paraId="535E2CD3" w14:textId="77777777" w:rsidR="002618BB" w:rsidRPr="00B42E08" w:rsidRDefault="002618BB" w:rsidP="00B42E08">
      <w:pPr>
        <w:jc w:val="both"/>
        <w:rPr>
          <w:rFonts w:ascii="Arial" w:hAnsi="Arial" w:cs="Arial"/>
          <w:sz w:val="24"/>
          <w:szCs w:val="24"/>
        </w:rPr>
      </w:pPr>
    </w:p>
    <w:p w14:paraId="7ACA8271" w14:textId="076B8DCB" w:rsidR="003305C1" w:rsidRPr="00B42E08" w:rsidRDefault="003305C1" w:rsidP="00B42E08">
      <w:pPr>
        <w:jc w:val="both"/>
        <w:rPr>
          <w:rFonts w:ascii="Arial" w:hAnsi="Arial" w:cs="Arial"/>
          <w:sz w:val="24"/>
          <w:szCs w:val="24"/>
        </w:rPr>
      </w:pPr>
      <w:r w:rsidRPr="00B42E08">
        <w:rPr>
          <w:rFonts w:ascii="Arial" w:hAnsi="Arial" w:cs="Arial"/>
          <w:sz w:val="24"/>
          <w:szCs w:val="24"/>
        </w:rPr>
        <w:t xml:space="preserve">Endeudamiento incluyendo crédito actual (%) : ((Pasivos + crédito solicitado) /  (Activos + crédito Solicitado)) X 100 </w:t>
      </w:r>
    </w:p>
    <w:p w14:paraId="442B4770" w14:textId="4B607159" w:rsidR="003305C1" w:rsidRPr="00B42E08" w:rsidRDefault="003305C1" w:rsidP="00B42E08">
      <w:pPr>
        <w:jc w:val="both"/>
        <w:rPr>
          <w:rFonts w:ascii="Arial" w:hAnsi="Arial" w:cs="Arial"/>
          <w:sz w:val="24"/>
          <w:szCs w:val="24"/>
        </w:rPr>
      </w:pPr>
    </w:p>
    <w:p w14:paraId="6489F2BB" w14:textId="2587EF61" w:rsidR="003305C1" w:rsidRPr="00B42E08" w:rsidRDefault="003305C1" w:rsidP="00B42E08">
      <w:pPr>
        <w:jc w:val="both"/>
        <w:rPr>
          <w:rFonts w:ascii="Arial" w:hAnsi="Arial" w:cs="Arial"/>
          <w:sz w:val="24"/>
          <w:szCs w:val="24"/>
        </w:rPr>
      </w:pPr>
      <w:r w:rsidRPr="00B42E08">
        <w:rPr>
          <w:rFonts w:ascii="Arial" w:hAnsi="Arial" w:cs="Arial"/>
          <w:sz w:val="24"/>
          <w:szCs w:val="24"/>
        </w:rPr>
        <w:t xml:space="preserve">De esta manera, el indicador permite determinar la participación de los acreedores sobre los activos. </w:t>
      </w:r>
    </w:p>
    <w:p w14:paraId="6AF72D62" w14:textId="77777777" w:rsidR="003305C1" w:rsidRPr="00B42E08" w:rsidRDefault="003305C1" w:rsidP="00B42E08">
      <w:pPr>
        <w:jc w:val="both"/>
        <w:rPr>
          <w:rFonts w:ascii="Arial" w:hAnsi="Arial" w:cs="Arial"/>
          <w:sz w:val="24"/>
          <w:szCs w:val="24"/>
        </w:rPr>
      </w:pPr>
    </w:p>
    <w:p w14:paraId="1B31D337" w14:textId="2794FDF1" w:rsidR="003305C1" w:rsidRPr="00B42E08" w:rsidRDefault="003305C1" w:rsidP="00B42E08">
      <w:pPr>
        <w:jc w:val="both"/>
        <w:rPr>
          <w:rFonts w:ascii="Arial" w:hAnsi="Arial" w:cs="Arial"/>
          <w:sz w:val="24"/>
          <w:szCs w:val="24"/>
        </w:rPr>
      </w:pPr>
      <w:r w:rsidRPr="00B42E08">
        <w:rPr>
          <w:rFonts w:ascii="Arial" w:hAnsi="Arial" w:cs="Arial"/>
          <w:sz w:val="24"/>
          <w:szCs w:val="24"/>
        </w:rPr>
        <w:t xml:space="preserve">Se considera como umbral máximo un endeudamiento del 40%. </w:t>
      </w:r>
    </w:p>
    <w:p w14:paraId="1B98D882" w14:textId="524F341E" w:rsidR="003305C1" w:rsidRPr="00B42E08" w:rsidRDefault="003305C1" w:rsidP="00B42E08">
      <w:pPr>
        <w:jc w:val="both"/>
        <w:rPr>
          <w:rFonts w:ascii="Arial" w:hAnsi="Arial" w:cs="Arial"/>
          <w:sz w:val="24"/>
          <w:szCs w:val="24"/>
        </w:rPr>
      </w:pPr>
    </w:p>
    <w:p w14:paraId="676A8C00" w14:textId="6230A0A5" w:rsidR="00FB157D" w:rsidRPr="00B42E08" w:rsidRDefault="00FB157D" w:rsidP="00B42E08">
      <w:pPr>
        <w:numPr>
          <w:ilvl w:val="2"/>
          <w:numId w:val="32"/>
        </w:numPr>
        <w:jc w:val="both"/>
        <w:rPr>
          <w:rFonts w:ascii="Arial" w:hAnsi="Arial" w:cs="Arial"/>
          <w:b/>
          <w:bCs/>
          <w:sz w:val="24"/>
          <w:szCs w:val="24"/>
        </w:rPr>
      </w:pPr>
      <w:r w:rsidRPr="00B42E08">
        <w:rPr>
          <w:rFonts w:ascii="Arial" w:hAnsi="Arial" w:cs="Arial"/>
          <w:b/>
          <w:bCs/>
          <w:sz w:val="24"/>
          <w:szCs w:val="24"/>
        </w:rPr>
        <w:t xml:space="preserve">Concepto de mínimo vital para créditos del perfil independiente agropecuario </w:t>
      </w:r>
    </w:p>
    <w:p w14:paraId="7E8FCB4E" w14:textId="77777777" w:rsidR="00FB157D" w:rsidRPr="00B42E08" w:rsidRDefault="00FB157D" w:rsidP="00B42E08">
      <w:pPr>
        <w:jc w:val="both"/>
        <w:rPr>
          <w:rFonts w:ascii="Arial" w:hAnsi="Arial" w:cs="Arial"/>
          <w:sz w:val="24"/>
          <w:szCs w:val="24"/>
        </w:rPr>
      </w:pPr>
    </w:p>
    <w:p w14:paraId="438F56F6" w14:textId="0D231DBB" w:rsidR="00FB157D" w:rsidRPr="00B42E08" w:rsidRDefault="00FB157D" w:rsidP="00B42E08">
      <w:pPr>
        <w:jc w:val="both"/>
        <w:rPr>
          <w:rFonts w:ascii="Arial" w:hAnsi="Arial" w:cs="Arial"/>
          <w:sz w:val="24"/>
          <w:szCs w:val="24"/>
        </w:rPr>
      </w:pPr>
      <w:r w:rsidRPr="00B42E08">
        <w:rPr>
          <w:rFonts w:ascii="Arial" w:hAnsi="Arial" w:cs="Arial"/>
          <w:sz w:val="24"/>
          <w:szCs w:val="24"/>
        </w:rPr>
        <w:t>La estructuración real de los gastos familiares para el sector agropecuario incluye el concepto de mínimo vital, que se debe considerar como información base para la estructuración de la situación financiera del asociado. El valor mínimo vital hace referencia a un monto mínimo con el que un asociado puede suplir sus necesidades básicas y las de su núcleo familiar. Se define de acuerdo con la zona en donde se encuentra ubicado el asociado, el número de integrantes de su núcleo familiar y las condiciones de vida.</w:t>
      </w:r>
    </w:p>
    <w:p w14:paraId="17383407" w14:textId="4610BFAD" w:rsidR="00FB157D" w:rsidRPr="00B42E08" w:rsidRDefault="00FB157D" w:rsidP="00B42E08">
      <w:pPr>
        <w:jc w:val="both"/>
        <w:rPr>
          <w:rFonts w:ascii="Arial" w:hAnsi="Arial" w:cs="Arial"/>
          <w:sz w:val="24"/>
          <w:szCs w:val="24"/>
        </w:rPr>
      </w:pPr>
    </w:p>
    <w:p w14:paraId="19BE6734" w14:textId="1094FC1B" w:rsidR="00FB157D" w:rsidRPr="00B42E08" w:rsidRDefault="00FB157D" w:rsidP="00B42E08">
      <w:pPr>
        <w:jc w:val="both"/>
        <w:rPr>
          <w:rFonts w:ascii="Arial" w:hAnsi="Arial" w:cs="Arial"/>
          <w:sz w:val="24"/>
          <w:szCs w:val="24"/>
        </w:rPr>
      </w:pPr>
      <w:r w:rsidRPr="00B42E08">
        <w:rPr>
          <w:rFonts w:ascii="Arial" w:hAnsi="Arial" w:cs="Arial"/>
          <w:sz w:val="24"/>
          <w:szCs w:val="24"/>
        </w:rPr>
        <w:t xml:space="preserve">El concepto de mínimo vital le permite determinar un valor cercano a la realidad del nivel de gastos de los asociados con perfil agropecuario, disminuyendo el riesgo en el análisis de la capacidad de pago. Se debe realizar el cálculo de este valor para cada una de las zonas de influencia y actualizarlo de acuerdo con la dinámica económica de la región. </w:t>
      </w:r>
    </w:p>
    <w:p w14:paraId="3E986090" w14:textId="77777777" w:rsidR="00FB157D" w:rsidRPr="00B42E08" w:rsidRDefault="00FB157D" w:rsidP="00B42E08">
      <w:pPr>
        <w:jc w:val="both"/>
        <w:rPr>
          <w:rFonts w:ascii="Arial" w:hAnsi="Arial" w:cs="Arial"/>
          <w:sz w:val="24"/>
          <w:szCs w:val="24"/>
        </w:rPr>
      </w:pPr>
    </w:p>
    <w:p w14:paraId="0B96177C" w14:textId="2BCBB5B0" w:rsidR="00FB157D" w:rsidRPr="00B42E08" w:rsidRDefault="00FB157D" w:rsidP="00B42E08">
      <w:pPr>
        <w:jc w:val="both"/>
        <w:rPr>
          <w:rFonts w:ascii="Arial" w:hAnsi="Arial" w:cs="Arial"/>
          <w:sz w:val="24"/>
          <w:szCs w:val="24"/>
        </w:rPr>
      </w:pPr>
      <w:r w:rsidRPr="00B42E08">
        <w:rPr>
          <w:rFonts w:ascii="Arial" w:hAnsi="Arial" w:cs="Arial"/>
          <w:sz w:val="24"/>
          <w:szCs w:val="24"/>
        </w:rPr>
        <w:t>Los créditos para el perfil de independiente agropecuario, se evaluará si se trata de economía familiar, en la que todos los integrantes de la unidad familiar viven de un mismo ingreso, lo cual implica que deben hacer parte de la operación de crédito de manera conjunta.</w:t>
      </w:r>
    </w:p>
    <w:p w14:paraId="4105F0F6" w14:textId="77777777" w:rsidR="00FB157D" w:rsidRPr="00B42E08" w:rsidRDefault="00FB157D" w:rsidP="00B42E08">
      <w:pPr>
        <w:jc w:val="both"/>
        <w:rPr>
          <w:rFonts w:ascii="Arial" w:hAnsi="Arial" w:cs="Arial"/>
          <w:sz w:val="24"/>
          <w:szCs w:val="24"/>
        </w:rPr>
      </w:pPr>
    </w:p>
    <w:p w14:paraId="2A913A57" w14:textId="12EDBC6A" w:rsidR="003305C1" w:rsidRPr="00B42E08" w:rsidRDefault="003305C1"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NIVEL DE SOLVENCIA </w:t>
      </w:r>
    </w:p>
    <w:p w14:paraId="4561D8FE" w14:textId="77777777" w:rsidR="003305C1" w:rsidRPr="00B42E08" w:rsidRDefault="003305C1" w:rsidP="00B42E08">
      <w:pPr>
        <w:ind w:left="454"/>
        <w:jc w:val="both"/>
        <w:rPr>
          <w:rFonts w:ascii="Arial" w:hAnsi="Arial" w:cs="Arial"/>
          <w:sz w:val="24"/>
          <w:szCs w:val="24"/>
        </w:rPr>
      </w:pPr>
    </w:p>
    <w:p w14:paraId="6A4DD4B8" w14:textId="25DA7321" w:rsidR="003305C1" w:rsidRPr="00B42E08" w:rsidRDefault="003305C1" w:rsidP="00B42E08">
      <w:pPr>
        <w:jc w:val="both"/>
        <w:rPr>
          <w:rFonts w:ascii="Arial" w:hAnsi="Arial" w:cs="Arial"/>
          <w:sz w:val="24"/>
          <w:szCs w:val="24"/>
        </w:rPr>
      </w:pPr>
      <w:r w:rsidRPr="00B42E08">
        <w:rPr>
          <w:rFonts w:ascii="Arial" w:hAnsi="Arial" w:cs="Arial"/>
          <w:sz w:val="24"/>
          <w:szCs w:val="24"/>
        </w:rPr>
        <w:t>Se verifica a través de variables como el nivel de endeudamiento, la calidad y composición de los activos, pasivos, patrimonio y contingencias del deudor y/o del proyecto de acuerdo con la siguiente fórmula:</w:t>
      </w:r>
    </w:p>
    <w:p w14:paraId="487F86FD" w14:textId="5F6A751F" w:rsidR="005B305D" w:rsidRPr="00B42E08" w:rsidRDefault="005B305D" w:rsidP="00B42E08">
      <w:pPr>
        <w:jc w:val="both"/>
        <w:rPr>
          <w:rFonts w:ascii="Arial" w:hAnsi="Arial" w:cs="Arial"/>
          <w:sz w:val="24"/>
          <w:szCs w:val="24"/>
        </w:rPr>
      </w:pPr>
    </w:p>
    <w:p w14:paraId="121BFE9B" w14:textId="7AFED7C8" w:rsidR="005B305D" w:rsidRPr="00B42E08" w:rsidRDefault="005B305D" w:rsidP="00B42E08">
      <w:pPr>
        <w:jc w:val="both"/>
        <w:rPr>
          <w:rFonts w:ascii="Arial" w:hAnsi="Arial" w:cs="Arial"/>
          <w:sz w:val="24"/>
          <w:szCs w:val="24"/>
        </w:rPr>
      </w:pPr>
      <w:r w:rsidRPr="00B42E08">
        <w:rPr>
          <w:rFonts w:ascii="Arial" w:hAnsi="Arial" w:cs="Arial"/>
          <w:sz w:val="24"/>
          <w:szCs w:val="24"/>
        </w:rPr>
        <w:t>SOLVENCIA= (pasivo/activo) * 100</w:t>
      </w:r>
    </w:p>
    <w:p w14:paraId="7E4558E2" w14:textId="77777777" w:rsidR="00FB157D" w:rsidRPr="00B42E08" w:rsidRDefault="00FB157D" w:rsidP="00B42E08">
      <w:pPr>
        <w:jc w:val="both"/>
        <w:rPr>
          <w:rFonts w:ascii="Arial" w:hAnsi="Arial" w:cs="Arial"/>
          <w:sz w:val="24"/>
          <w:szCs w:val="24"/>
        </w:rPr>
      </w:pPr>
    </w:p>
    <w:p w14:paraId="1B88FA0A" w14:textId="3E1698A5" w:rsidR="002B0503" w:rsidRPr="00B42E08" w:rsidRDefault="002B0503" w:rsidP="00B42E08">
      <w:pPr>
        <w:numPr>
          <w:ilvl w:val="1"/>
          <w:numId w:val="32"/>
        </w:numPr>
        <w:jc w:val="both"/>
        <w:rPr>
          <w:rFonts w:ascii="Arial" w:hAnsi="Arial" w:cs="Arial"/>
          <w:b/>
          <w:bCs/>
          <w:sz w:val="24"/>
          <w:szCs w:val="24"/>
        </w:rPr>
      </w:pPr>
      <w:r w:rsidRPr="00B42E08">
        <w:rPr>
          <w:rFonts w:ascii="Arial" w:hAnsi="Arial" w:cs="Arial"/>
          <w:b/>
          <w:bCs/>
          <w:sz w:val="24"/>
          <w:szCs w:val="24"/>
        </w:rPr>
        <w:t xml:space="preserve">CONDICIONES Y REQUISITOS: </w:t>
      </w:r>
    </w:p>
    <w:p w14:paraId="618F941C" w14:textId="77777777" w:rsidR="002B0503" w:rsidRPr="00B42E08" w:rsidRDefault="002B0503" w:rsidP="00B42E08">
      <w:pPr>
        <w:pStyle w:val="Default"/>
      </w:pPr>
    </w:p>
    <w:p w14:paraId="70ED1417" w14:textId="3FFC4911" w:rsidR="002B0503" w:rsidRPr="00B42E08" w:rsidRDefault="002B0503" w:rsidP="00B42E08">
      <w:pPr>
        <w:pStyle w:val="Default"/>
        <w:numPr>
          <w:ilvl w:val="0"/>
          <w:numId w:val="39"/>
        </w:numPr>
      </w:pPr>
      <w:r w:rsidRPr="00B42E08">
        <w:t xml:space="preserve">Las libranzas deben ser visadas antes de la aprobación del crédito. </w:t>
      </w:r>
    </w:p>
    <w:p w14:paraId="5228BAFA" w14:textId="25ADE7C7" w:rsidR="002B0503" w:rsidRPr="00B42E08" w:rsidRDefault="002B0503" w:rsidP="00B42E08">
      <w:pPr>
        <w:pStyle w:val="Default"/>
        <w:numPr>
          <w:ilvl w:val="0"/>
          <w:numId w:val="39"/>
        </w:numPr>
      </w:pPr>
      <w:r w:rsidRPr="00B42E08">
        <w:lastRenderedPageBreak/>
        <w:t xml:space="preserve">Para la capacidad de descuento por Libranza NO TENER EN CUENTA el sobresueldo por ENCARGO. </w:t>
      </w:r>
    </w:p>
    <w:p w14:paraId="7F99F623" w14:textId="7E14341D" w:rsidR="002B0503" w:rsidRPr="00B42E08" w:rsidRDefault="002B0503" w:rsidP="00B42E08">
      <w:pPr>
        <w:pStyle w:val="Default"/>
        <w:numPr>
          <w:ilvl w:val="0"/>
          <w:numId w:val="39"/>
        </w:numPr>
      </w:pPr>
      <w:r w:rsidRPr="00B42E08">
        <w:t xml:space="preserve">Se debe solicitar la carta laboral adicional a los desprendibles. </w:t>
      </w:r>
    </w:p>
    <w:p w14:paraId="2414E55D" w14:textId="22884649" w:rsidR="002B0503" w:rsidRPr="00B42E08" w:rsidRDefault="002B0503" w:rsidP="00B42E08">
      <w:pPr>
        <w:pStyle w:val="Default"/>
        <w:numPr>
          <w:ilvl w:val="0"/>
          <w:numId w:val="39"/>
        </w:numPr>
      </w:pPr>
      <w:r w:rsidRPr="00B42E08">
        <w:t xml:space="preserve">Para recoger cartera, si el asociado tiene un EMBARGO en la nómina, solo se puede suspender con la ORDEN JUDICIAL de lo contrario no se suspendería, ni se tendría en cuenta para la firma de la libranza. </w:t>
      </w:r>
    </w:p>
    <w:p w14:paraId="50AFE964" w14:textId="6A0D92CC" w:rsidR="002B0503" w:rsidRPr="00B42E08" w:rsidRDefault="002B0503" w:rsidP="00B42E08">
      <w:pPr>
        <w:pStyle w:val="Default"/>
        <w:numPr>
          <w:ilvl w:val="0"/>
          <w:numId w:val="39"/>
        </w:numPr>
      </w:pPr>
      <w:r w:rsidRPr="00B42E08">
        <w:t xml:space="preserve">Las NOVEDADES se reciben los 5 primeros días hábiles del mes. </w:t>
      </w:r>
    </w:p>
    <w:p w14:paraId="6E24D6B5" w14:textId="164DDC89" w:rsidR="00B53E61" w:rsidRPr="00B42E08" w:rsidRDefault="00B53E61" w:rsidP="00B42E08">
      <w:pPr>
        <w:jc w:val="both"/>
        <w:rPr>
          <w:rFonts w:ascii="Arial" w:hAnsi="Arial" w:cs="Arial"/>
          <w:sz w:val="24"/>
          <w:szCs w:val="24"/>
        </w:rPr>
      </w:pPr>
    </w:p>
    <w:p w14:paraId="2F78E695" w14:textId="38C775E9" w:rsidR="00B53E61" w:rsidRPr="00B42E08" w:rsidRDefault="006E2764" w:rsidP="00B42E08">
      <w:pPr>
        <w:numPr>
          <w:ilvl w:val="1"/>
          <w:numId w:val="32"/>
        </w:numPr>
        <w:jc w:val="both"/>
        <w:rPr>
          <w:rFonts w:ascii="Arial" w:hAnsi="Arial" w:cs="Arial"/>
          <w:b/>
          <w:bCs/>
          <w:sz w:val="24"/>
          <w:szCs w:val="24"/>
        </w:rPr>
      </w:pPr>
      <w:r w:rsidRPr="00B42E08">
        <w:rPr>
          <w:rFonts w:ascii="Arial" w:hAnsi="Arial" w:cs="Arial"/>
          <w:b/>
          <w:bCs/>
          <w:sz w:val="24"/>
          <w:szCs w:val="24"/>
        </w:rPr>
        <w:t>GARANTÍAS: REGLAMENTACIÓN Y REQUISITOS</w:t>
      </w:r>
    </w:p>
    <w:p w14:paraId="570346FB" w14:textId="77777777" w:rsidR="006E2764" w:rsidRPr="00B42E08" w:rsidRDefault="006E2764" w:rsidP="00B42E08">
      <w:pPr>
        <w:jc w:val="both"/>
        <w:rPr>
          <w:rFonts w:ascii="Arial" w:hAnsi="Arial" w:cs="Arial"/>
          <w:b/>
          <w:bCs/>
          <w:sz w:val="24"/>
          <w:szCs w:val="24"/>
        </w:rPr>
      </w:pPr>
    </w:p>
    <w:p w14:paraId="65F8B5BA" w14:textId="77777777" w:rsidR="006E2764" w:rsidRPr="00B42E08" w:rsidRDefault="006E2764" w:rsidP="00B42E08">
      <w:pPr>
        <w:numPr>
          <w:ilvl w:val="2"/>
          <w:numId w:val="32"/>
        </w:numPr>
        <w:jc w:val="both"/>
        <w:rPr>
          <w:rFonts w:ascii="Arial" w:hAnsi="Arial" w:cs="Arial"/>
          <w:b/>
          <w:bCs/>
          <w:sz w:val="24"/>
          <w:szCs w:val="24"/>
        </w:rPr>
      </w:pPr>
      <w:r w:rsidRPr="00B42E08">
        <w:rPr>
          <w:rFonts w:ascii="Arial" w:hAnsi="Arial" w:cs="Arial"/>
          <w:b/>
          <w:bCs/>
          <w:sz w:val="24"/>
          <w:szCs w:val="24"/>
        </w:rPr>
        <w:t>APORTES SOCIALES COMO GARANTÍA</w:t>
      </w:r>
    </w:p>
    <w:p w14:paraId="7E37C9AD" w14:textId="77777777" w:rsidR="006E2764" w:rsidRPr="00B42E08" w:rsidRDefault="006E2764" w:rsidP="00B42E08">
      <w:pPr>
        <w:jc w:val="both"/>
        <w:rPr>
          <w:rFonts w:ascii="Arial" w:hAnsi="Arial" w:cs="Arial"/>
          <w:sz w:val="24"/>
          <w:szCs w:val="24"/>
        </w:rPr>
      </w:pPr>
    </w:p>
    <w:p w14:paraId="11607B29" w14:textId="3245AABF" w:rsidR="006E2764" w:rsidRPr="00B42E08" w:rsidRDefault="006E2764" w:rsidP="00B42E08">
      <w:pPr>
        <w:jc w:val="both"/>
        <w:rPr>
          <w:rFonts w:ascii="Arial" w:hAnsi="Arial" w:cs="Arial"/>
          <w:sz w:val="24"/>
          <w:szCs w:val="24"/>
        </w:rPr>
      </w:pPr>
      <w:r w:rsidRPr="00B42E08">
        <w:rPr>
          <w:rFonts w:ascii="Arial" w:hAnsi="Arial" w:cs="Arial"/>
          <w:sz w:val="24"/>
          <w:szCs w:val="24"/>
        </w:rPr>
        <w:t>Los aportes sociales de los asociados quedan directamente afectados desde su origen a favor de COOPEAIPE, como garantía de las obligaciones que contraigan con ella, por lo tanto, COOPEAIPE puede efectuar las compensaciones respectivas.</w:t>
      </w:r>
    </w:p>
    <w:p w14:paraId="7DEF0159" w14:textId="77777777" w:rsidR="006E2764" w:rsidRPr="00B42E08" w:rsidRDefault="006E2764" w:rsidP="00B42E08">
      <w:pPr>
        <w:jc w:val="both"/>
        <w:rPr>
          <w:rFonts w:ascii="Arial" w:hAnsi="Arial" w:cs="Arial"/>
          <w:sz w:val="24"/>
          <w:szCs w:val="24"/>
        </w:rPr>
      </w:pPr>
    </w:p>
    <w:p w14:paraId="7FF36DC7" w14:textId="763593CC" w:rsidR="006E2764" w:rsidRPr="00B42E08" w:rsidRDefault="006E2764" w:rsidP="00B42E08">
      <w:pPr>
        <w:jc w:val="both"/>
        <w:rPr>
          <w:rFonts w:ascii="Arial" w:hAnsi="Arial" w:cs="Arial"/>
          <w:sz w:val="24"/>
          <w:szCs w:val="24"/>
        </w:rPr>
      </w:pPr>
      <w:r w:rsidRPr="00B42E08">
        <w:rPr>
          <w:rFonts w:ascii="Arial" w:hAnsi="Arial" w:cs="Arial"/>
          <w:sz w:val="24"/>
          <w:szCs w:val="24"/>
        </w:rPr>
        <w:t>El valor del aporte social mínimo mensual se podrá adicionar a la cuota de la amortización en una sola línea de crédito del respectivo asociado a excepción de aquellas descontadas por nómina.</w:t>
      </w:r>
    </w:p>
    <w:p w14:paraId="0073F079" w14:textId="0E316D77" w:rsidR="006E2764" w:rsidRPr="00B42E08" w:rsidRDefault="006E2764" w:rsidP="00B42E08">
      <w:pPr>
        <w:jc w:val="both"/>
        <w:rPr>
          <w:rFonts w:ascii="Arial" w:hAnsi="Arial" w:cs="Arial"/>
          <w:sz w:val="24"/>
          <w:szCs w:val="24"/>
        </w:rPr>
      </w:pPr>
    </w:p>
    <w:p w14:paraId="360A37A4" w14:textId="41AA0B9D" w:rsidR="006E2764" w:rsidRPr="00B42E08" w:rsidRDefault="006E2764" w:rsidP="00B42E08">
      <w:pPr>
        <w:numPr>
          <w:ilvl w:val="2"/>
          <w:numId w:val="32"/>
        </w:numPr>
        <w:jc w:val="both"/>
        <w:rPr>
          <w:rFonts w:ascii="Arial" w:hAnsi="Arial" w:cs="Arial"/>
          <w:b/>
          <w:bCs/>
          <w:sz w:val="24"/>
          <w:szCs w:val="24"/>
        </w:rPr>
      </w:pPr>
      <w:r w:rsidRPr="00B42E08">
        <w:rPr>
          <w:rFonts w:ascii="Arial" w:hAnsi="Arial" w:cs="Arial"/>
          <w:b/>
          <w:bCs/>
          <w:sz w:val="24"/>
          <w:szCs w:val="24"/>
        </w:rPr>
        <w:t xml:space="preserve">GARANTÍAS REALES </w:t>
      </w:r>
    </w:p>
    <w:p w14:paraId="338C6A5D" w14:textId="77777777" w:rsidR="006E2764" w:rsidRPr="00B42E08" w:rsidRDefault="006E2764" w:rsidP="00B42E08">
      <w:pPr>
        <w:ind w:left="680"/>
        <w:jc w:val="both"/>
        <w:rPr>
          <w:rFonts w:ascii="Arial" w:hAnsi="Arial" w:cs="Arial"/>
          <w:b/>
          <w:bCs/>
          <w:sz w:val="24"/>
          <w:szCs w:val="24"/>
        </w:rPr>
      </w:pPr>
    </w:p>
    <w:p w14:paraId="194117AB" w14:textId="562DF75D" w:rsidR="006E2764" w:rsidRPr="00B42E08" w:rsidRDefault="006E2764" w:rsidP="00B42E08">
      <w:pPr>
        <w:jc w:val="both"/>
        <w:rPr>
          <w:rFonts w:ascii="Arial" w:hAnsi="Arial" w:cs="Arial"/>
          <w:sz w:val="24"/>
          <w:szCs w:val="24"/>
        </w:rPr>
      </w:pPr>
      <w:r w:rsidRPr="00B42E08">
        <w:rPr>
          <w:rFonts w:ascii="Arial" w:hAnsi="Arial" w:cs="Arial"/>
          <w:sz w:val="24"/>
          <w:szCs w:val="24"/>
        </w:rPr>
        <w:t>Son garantías representadas en bienes muebles o inmuebles cuyos derechos de propiedad quedan limitados a favor de la cooperativa en primer grado.</w:t>
      </w:r>
    </w:p>
    <w:p w14:paraId="3C777C3C" w14:textId="4EE5CE48" w:rsidR="006E2764" w:rsidRPr="00B42E08" w:rsidRDefault="006E2764" w:rsidP="00B42E08">
      <w:pPr>
        <w:jc w:val="both"/>
        <w:rPr>
          <w:rFonts w:ascii="Arial" w:hAnsi="Arial" w:cs="Arial"/>
          <w:sz w:val="24"/>
          <w:szCs w:val="24"/>
        </w:rPr>
      </w:pPr>
    </w:p>
    <w:tbl>
      <w:tblPr>
        <w:tblStyle w:val="Tablaconcuadrcula"/>
        <w:tblW w:w="0" w:type="auto"/>
        <w:tblLayout w:type="fixed"/>
        <w:tblLook w:val="0000" w:firstRow="0" w:lastRow="0" w:firstColumn="0" w:lastColumn="0" w:noHBand="0" w:noVBand="0"/>
      </w:tblPr>
      <w:tblGrid>
        <w:gridCol w:w="1271"/>
        <w:gridCol w:w="1559"/>
        <w:gridCol w:w="1517"/>
        <w:gridCol w:w="1517"/>
        <w:gridCol w:w="1928"/>
        <w:gridCol w:w="1517"/>
      </w:tblGrid>
      <w:tr w:rsidR="006E2764" w:rsidRPr="00B42E08" w14:paraId="21F6A4A6" w14:textId="77777777" w:rsidTr="006E2764">
        <w:trPr>
          <w:trHeight w:val="245"/>
        </w:trPr>
        <w:tc>
          <w:tcPr>
            <w:tcW w:w="1271" w:type="dxa"/>
            <w:vAlign w:val="center"/>
          </w:tcPr>
          <w:p w14:paraId="7E1BCB83" w14:textId="66969C4E" w:rsidR="006E2764" w:rsidRPr="00B42E08" w:rsidRDefault="006E2764" w:rsidP="00B42E08">
            <w:pPr>
              <w:pStyle w:val="Default"/>
              <w:jc w:val="center"/>
            </w:pPr>
            <w:r w:rsidRPr="00B42E08">
              <w:rPr>
                <w:b/>
                <w:bCs/>
              </w:rPr>
              <w:t>Garantías</w:t>
            </w:r>
          </w:p>
        </w:tc>
        <w:tc>
          <w:tcPr>
            <w:tcW w:w="1559" w:type="dxa"/>
            <w:vAlign w:val="center"/>
          </w:tcPr>
          <w:p w14:paraId="0B5B6BBC" w14:textId="3AF7507A" w:rsidR="006E2764" w:rsidRPr="00B42E08" w:rsidRDefault="006E2764" w:rsidP="00B42E08">
            <w:pPr>
              <w:pStyle w:val="Default"/>
              <w:jc w:val="center"/>
            </w:pPr>
            <w:r w:rsidRPr="00B42E08">
              <w:rPr>
                <w:b/>
                <w:bCs/>
              </w:rPr>
              <w:t>Característica</w:t>
            </w:r>
          </w:p>
        </w:tc>
        <w:tc>
          <w:tcPr>
            <w:tcW w:w="1517" w:type="dxa"/>
            <w:vAlign w:val="center"/>
          </w:tcPr>
          <w:p w14:paraId="4D40CA9C" w14:textId="3CD720A0" w:rsidR="006E2764" w:rsidRPr="00B42E08" w:rsidRDefault="006E2764" w:rsidP="00B42E08">
            <w:pPr>
              <w:pStyle w:val="Default"/>
              <w:jc w:val="center"/>
            </w:pPr>
            <w:r w:rsidRPr="00B42E08">
              <w:rPr>
                <w:b/>
                <w:bCs/>
              </w:rPr>
              <w:t>Requisitos del bien</w:t>
            </w:r>
          </w:p>
        </w:tc>
        <w:tc>
          <w:tcPr>
            <w:tcW w:w="1517" w:type="dxa"/>
            <w:vAlign w:val="center"/>
          </w:tcPr>
          <w:p w14:paraId="49A9AF2B" w14:textId="240B7ED5" w:rsidR="006E2764" w:rsidRPr="00B42E08" w:rsidRDefault="006E2764" w:rsidP="00B42E08">
            <w:pPr>
              <w:pStyle w:val="Default"/>
              <w:jc w:val="center"/>
            </w:pPr>
            <w:r w:rsidRPr="00B42E08">
              <w:rPr>
                <w:b/>
                <w:bCs/>
              </w:rPr>
              <w:t>Cobertura Garantía</w:t>
            </w:r>
          </w:p>
        </w:tc>
        <w:tc>
          <w:tcPr>
            <w:tcW w:w="1928" w:type="dxa"/>
            <w:vAlign w:val="center"/>
          </w:tcPr>
          <w:p w14:paraId="0DB1DF10" w14:textId="680D69A6" w:rsidR="006E2764" w:rsidRPr="00B42E08" w:rsidRDefault="006E2764" w:rsidP="00B42E08">
            <w:pPr>
              <w:pStyle w:val="Default"/>
              <w:jc w:val="center"/>
            </w:pPr>
            <w:r w:rsidRPr="00B42E08">
              <w:rPr>
                <w:b/>
                <w:bCs/>
              </w:rPr>
              <w:t>Características de la póliza</w:t>
            </w:r>
          </w:p>
        </w:tc>
        <w:tc>
          <w:tcPr>
            <w:tcW w:w="1517" w:type="dxa"/>
            <w:vAlign w:val="center"/>
          </w:tcPr>
          <w:p w14:paraId="7BC72580" w14:textId="659AEEF4" w:rsidR="006E2764" w:rsidRPr="00B42E08" w:rsidRDefault="006E2764" w:rsidP="00B42E08">
            <w:pPr>
              <w:pStyle w:val="Default"/>
              <w:jc w:val="center"/>
            </w:pPr>
            <w:r w:rsidRPr="00B42E08">
              <w:rPr>
                <w:b/>
                <w:bCs/>
              </w:rPr>
              <w:t>Límites de propiedad</w:t>
            </w:r>
          </w:p>
        </w:tc>
      </w:tr>
      <w:tr w:rsidR="006E2764" w:rsidRPr="00B42E08" w14:paraId="33C26A19" w14:textId="77777777" w:rsidTr="006E2764">
        <w:trPr>
          <w:trHeight w:val="490"/>
        </w:trPr>
        <w:tc>
          <w:tcPr>
            <w:tcW w:w="1271" w:type="dxa"/>
            <w:vAlign w:val="center"/>
          </w:tcPr>
          <w:p w14:paraId="0E17459B" w14:textId="47516246" w:rsidR="006E2764" w:rsidRPr="00B42E08" w:rsidRDefault="006E2764" w:rsidP="00B42E08">
            <w:pPr>
              <w:pStyle w:val="Default"/>
              <w:jc w:val="center"/>
            </w:pPr>
            <w:r w:rsidRPr="00B42E08">
              <w:t>Hipoteca primer grado</w:t>
            </w:r>
          </w:p>
        </w:tc>
        <w:tc>
          <w:tcPr>
            <w:tcW w:w="1559" w:type="dxa"/>
            <w:vAlign w:val="center"/>
          </w:tcPr>
          <w:p w14:paraId="2DD601DC" w14:textId="1833EBBA" w:rsidR="006E2764" w:rsidRPr="00B42E08" w:rsidRDefault="006E2764" w:rsidP="00B42E08">
            <w:pPr>
              <w:pStyle w:val="Default"/>
              <w:jc w:val="center"/>
            </w:pPr>
            <w:r w:rsidRPr="00B42E08">
              <w:t>Bienes inmuebles vivienda</w:t>
            </w:r>
          </w:p>
          <w:p w14:paraId="06121165" w14:textId="1AE6FF50" w:rsidR="006E2764" w:rsidRPr="00B42E08" w:rsidRDefault="006E2764" w:rsidP="00B42E08">
            <w:pPr>
              <w:pStyle w:val="Default"/>
              <w:jc w:val="center"/>
            </w:pPr>
            <w:r w:rsidRPr="00B42E08">
              <w:t>Local comercial</w:t>
            </w:r>
          </w:p>
        </w:tc>
        <w:tc>
          <w:tcPr>
            <w:tcW w:w="1517" w:type="dxa"/>
            <w:vAlign w:val="center"/>
          </w:tcPr>
          <w:p w14:paraId="7E31F334" w14:textId="2ADD5124" w:rsidR="006E2764" w:rsidRPr="00B42E08" w:rsidRDefault="006E2764" w:rsidP="00B42E08">
            <w:pPr>
              <w:pStyle w:val="Default"/>
              <w:jc w:val="center"/>
            </w:pPr>
            <w:r w:rsidRPr="00B42E08">
              <w:t>-Bienes Urbanos o Rurales que se encuentren en zonas aptas.</w:t>
            </w:r>
          </w:p>
        </w:tc>
        <w:tc>
          <w:tcPr>
            <w:tcW w:w="1517" w:type="dxa"/>
            <w:vAlign w:val="center"/>
          </w:tcPr>
          <w:p w14:paraId="5D4C15D6" w14:textId="077EAAF2" w:rsidR="006E2764" w:rsidRPr="00B42E08" w:rsidRDefault="006E2764" w:rsidP="00B42E08">
            <w:pPr>
              <w:pStyle w:val="Default"/>
              <w:jc w:val="center"/>
            </w:pPr>
            <w:r w:rsidRPr="00B42E08">
              <w:t>Hasta el 60% del avalúo comercial.</w:t>
            </w:r>
          </w:p>
        </w:tc>
        <w:tc>
          <w:tcPr>
            <w:tcW w:w="1928" w:type="dxa"/>
            <w:vAlign w:val="center"/>
          </w:tcPr>
          <w:p w14:paraId="4AEEAE00" w14:textId="2170C9BA" w:rsidR="006E2764" w:rsidRPr="00B42E08" w:rsidRDefault="006E2764" w:rsidP="00B42E08">
            <w:pPr>
              <w:pStyle w:val="Default"/>
              <w:jc w:val="center"/>
            </w:pPr>
            <w:r w:rsidRPr="00B42E08">
              <w:t>Todos los amparos</w:t>
            </w:r>
          </w:p>
        </w:tc>
        <w:tc>
          <w:tcPr>
            <w:tcW w:w="1517" w:type="dxa"/>
            <w:vAlign w:val="center"/>
          </w:tcPr>
          <w:p w14:paraId="4196081F" w14:textId="7EF7A6CE" w:rsidR="006E2764" w:rsidRPr="00B42E08" w:rsidRDefault="006E2764" w:rsidP="00B42E08">
            <w:pPr>
              <w:pStyle w:val="Default"/>
              <w:jc w:val="center"/>
            </w:pPr>
            <w:r w:rsidRPr="00B42E08">
              <w:t>Solicitante o terceros.</w:t>
            </w:r>
          </w:p>
        </w:tc>
      </w:tr>
    </w:tbl>
    <w:p w14:paraId="61277ABE" w14:textId="77777777" w:rsidR="006E2764" w:rsidRPr="00B42E08" w:rsidRDefault="006E2764" w:rsidP="00B42E08">
      <w:pPr>
        <w:jc w:val="both"/>
        <w:rPr>
          <w:rFonts w:ascii="Arial" w:hAnsi="Arial" w:cs="Arial"/>
          <w:sz w:val="24"/>
          <w:szCs w:val="24"/>
        </w:rPr>
      </w:pPr>
    </w:p>
    <w:p w14:paraId="5E5C8080" w14:textId="44F3026D" w:rsidR="006E2764" w:rsidRPr="00B42E08" w:rsidRDefault="006E2764" w:rsidP="00B42E08">
      <w:pPr>
        <w:numPr>
          <w:ilvl w:val="2"/>
          <w:numId w:val="32"/>
        </w:numPr>
        <w:jc w:val="both"/>
        <w:rPr>
          <w:rFonts w:ascii="Arial" w:hAnsi="Arial" w:cs="Arial"/>
          <w:b/>
          <w:bCs/>
          <w:sz w:val="24"/>
          <w:szCs w:val="24"/>
        </w:rPr>
      </w:pPr>
      <w:r w:rsidRPr="00B42E08">
        <w:rPr>
          <w:rFonts w:ascii="Arial" w:hAnsi="Arial" w:cs="Arial"/>
          <w:b/>
          <w:bCs/>
          <w:sz w:val="24"/>
          <w:szCs w:val="24"/>
        </w:rPr>
        <w:t xml:space="preserve">Bienes que no se reciben en garantía: </w:t>
      </w:r>
    </w:p>
    <w:p w14:paraId="39B0D8CE" w14:textId="77777777" w:rsidR="006E2764" w:rsidRPr="00B42E08" w:rsidRDefault="006E2764" w:rsidP="00B42E08">
      <w:pPr>
        <w:ind w:left="680"/>
        <w:jc w:val="both"/>
        <w:rPr>
          <w:rFonts w:ascii="Arial" w:hAnsi="Arial" w:cs="Arial"/>
          <w:sz w:val="24"/>
          <w:szCs w:val="24"/>
        </w:rPr>
      </w:pPr>
    </w:p>
    <w:p w14:paraId="1DBA8E43" w14:textId="69BEEFF6" w:rsidR="006E2764" w:rsidRPr="00B42E08" w:rsidRDefault="006E2764" w:rsidP="00B42E08">
      <w:pPr>
        <w:pStyle w:val="Default"/>
        <w:numPr>
          <w:ilvl w:val="0"/>
          <w:numId w:val="39"/>
        </w:numPr>
      </w:pPr>
      <w:r w:rsidRPr="00B42E08">
        <w:t xml:space="preserve">Maquinaria amarilla </w:t>
      </w:r>
    </w:p>
    <w:p w14:paraId="18F05910" w14:textId="40EB4C69" w:rsidR="006E2764" w:rsidRPr="00B42E08" w:rsidRDefault="006E2764" w:rsidP="00B42E08">
      <w:pPr>
        <w:pStyle w:val="Default"/>
        <w:numPr>
          <w:ilvl w:val="0"/>
          <w:numId w:val="39"/>
        </w:numPr>
      </w:pPr>
      <w:r w:rsidRPr="00B42E08">
        <w:t xml:space="preserve">Joyas </w:t>
      </w:r>
    </w:p>
    <w:p w14:paraId="5795818B" w14:textId="1DDF3F9F" w:rsidR="006E2764" w:rsidRPr="00B42E08" w:rsidRDefault="006E2764" w:rsidP="00B42E08">
      <w:pPr>
        <w:pStyle w:val="Default"/>
        <w:numPr>
          <w:ilvl w:val="0"/>
          <w:numId w:val="39"/>
        </w:numPr>
      </w:pPr>
      <w:r w:rsidRPr="00B42E08">
        <w:t xml:space="preserve">Obras de arte </w:t>
      </w:r>
    </w:p>
    <w:p w14:paraId="1D979D52" w14:textId="18988AAF" w:rsidR="006E2764" w:rsidRPr="00B42E08" w:rsidRDefault="006E2764" w:rsidP="00B42E08">
      <w:pPr>
        <w:pStyle w:val="Default"/>
        <w:numPr>
          <w:ilvl w:val="0"/>
          <w:numId w:val="39"/>
        </w:numPr>
      </w:pPr>
      <w:r w:rsidRPr="00B42E08">
        <w:lastRenderedPageBreak/>
        <w:t xml:space="preserve">Vehículos de servicio público </w:t>
      </w:r>
    </w:p>
    <w:p w14:paraId="5C7B14E0" w14:textId="649F53AE" w:rsidR="006E2764" w:rsidRPr="00B42E08" w:rsidRDefault="006E2764" w:rsidP="00B42E08">
      <w:pPr>
        <w:pStyle w:val="Default"/>
        <w:numPr>
          <w:ilvl w:val="0"/>
          <w:numId w:val="39"/>
        </w:numPr>
      </w:pPr>
      <w:r w:rsidRPr="00B42E08">
        <w:t xml:space="preserve">Motocicletas y similares </w:t>
      </w:r>
    </w:p>
    <w:p w14:paraId="4F5A1F10" w14:textId="6BF29912" w:rsidR="006E2764" w:rsidRPr="00B42E08" w:rsidRDefault="006E2764" w:rsidP="00B42E08">
      <w:pPr>
        <w:pStyle w:val="Default"/>
      </w:pPr>
    </w:p>
    <w:p w14:paraId="54E74352" w14:textId="38CFB388" w:rsidR="006E2764" w:rsidRDefault="006E2764" w:rsidP="00B42E08">
      <w:pPr>
        <w:numPr>
          <w:ilvl w:val="1"/>
          <w:numId w:val="32"/>
        </w:numPr>
        <w:jc w:val="both"/>
        <w:rPr>
          <w:rFonts w:ascii="Arial" w:hAnsi="Arial" w:cs="Arial"/>
          <w:b/>
          <w:bCs/>
          <w:sz w:val="24"/>
          <w:szCs w:val="24"/>
        </w:rPr>
      </w:pPr>
      <w:r w:rsidRPr="00B42E08">
        <w:rPr>
          <w:rFonts w:ascii="Arial" w:hAnsi="Arial" w:cs="Arial"/>
          <w:b/>
          <w:bCs/>
          <w:sz w:val="24"/>
          <w:szCs w:val="24"/>
        </w:rPr>
        <w:t>GARANTÍAS PERSONALES</w:t>
      </w:r>
    </w:p>
    <w:p w14:paraId="1327289F" w14:textId="77777777" w:rsidR="00B42E08" w:rsidRPr="00B42E08" w:rsidRDefault="00B42E08" w:rsidP="00B42E08">
      <w:pPr>
        <w:jc w:val="both"/>
        <w:rPr>
          <w:rFonts w:ascii="Arial" w:hAnsi="Arial" w:cs="Arial"/>
          <w:b/>
          <w:bCs/>
          <w:sz w:val="24"/>
          <w:szCs w:val="24"/>
        </w:rPr>
      </w:pPr>
    </w:p>
    <w:tbl>
      <w:tblPr>
        <w:tblStyle w:val="Tablaconcuadrcula"/>
        <w:tblW w:w="0" w:type="auto"/>
        <w:tblLayout w:type="fixed"/>
        <w:tblLook w:val="0000" w:firstRow="0" w:lastRow="0" w:firstColumn="0" w:lastColumn="0" w:noHBand="0" w:noVBand="0"/>
      </w:tblPr>
      <w:tblGrid>
        <w:gridCol w:w="1980"/>
        <w:gridCol w:w="7371"/>
      </w:tblGrid>
      <w:tr w:rsidR="006E2764" w:rsidRPr="00B42E08" w14:paraId="3DA44238" w14:textId="77777777" w:rsidTr="006E2764">
        <w:trPr>
          <w:trHeight w:val="93"/>
        </w:trPr>
        <w:tc>
          <w:tcPr>
            <w:tcW w:w="1980" w:type="dxa"/>
          </w:tcPr>
          <w:p w14:paraId="04C97DA2" w14:textId="77777777" w:rsidR="006E2764" w:rsidRPr="00B42E08" w:rsidRDefault="006E2764" w:rsidP="00B42E08">
            <w:pPr>
              <w:pStyle w:val="Default"/>
            </w:pPr>
            <w:r w:rsidRPr="00B42E08">
              <w:rPr>
                <w:b/>
                <w:bCs/>
              </w:rPr>
              <w:t xml:space="preserve">GARANTÍA </w:t>
            </w:r>
          </w:p>
        </w:tc>
        <w:tc>
          <w:tcPr>
            <w:tcW w:w="7371" w:type="dxa"/>
          </w:tcPr>
          <w:p w14:paraId="40E5741D" w14:textId="77777777" w:rsidR="006E2764" w:rsidRPr="00B42E08" w:rsidRDefault="006E2764" w:rsidP="00B42E08">
            <w:pPr>
              <w:pStyle w:val="Default"/>
            </w:pPr>
            <w:r w:rsidRPr="00B42E08">
              <w:rPr>
                <w:b/>
                <w:bCs/>
              </w:rPr>
              <w:t xml:space="preserve">CARACTERÍSTICAS </w:t>
            </w:r>
          </w:p>
        </w:tc>
      </w:tr>
      <w:tr w:rsidR="006E2764" w:rsidRPr="00B42E08" w14:paraId="234AB659" w14:textId="77777777" w:rsidTr="006E2764">
        <w:trPr>
          <w:trHeight w:val="1171"/>
        </w:trPr>
        <w:tc>
          <w:tcPr>
            <w:tcW w:w="1980" w:type="dxa"/>
            <w:vAlign w:val="center"/>
          </w:tcPr>
          <w:p w14:paraId="618D3555" w14:textId="1BD82E02" w:rsidR="006E2764" w:rsidRPr="00B42E08" w:rsidRDefault="006E2764" w:rsidP="00B42E08">
            <w:pPr>
              <w:pStyle w:val="Default"/>
              <w:jc w:val="center"/>
            </w:pPr>
            <w:r w:rsidRPr="00B42E08">
              <w:t>CODEUDORES</w:t>
            </w:r>
          </w:p>
        </w:tc>
        <w:tc>
          <w:tcPr>
            <w:tcW w:w="7371" w:type="dxa"/>
          </w:tcPr>
          <w:p w14:paraId="0143F9AA" w14:textId="77777777" w:rsidR="006E2764" w:rsidRPr="00B42E08" w:rsidRDefault="006E2764" w:rsidP="00B42E08">
            <w:pPr>
              <w:pStyle w:val="Default"/>
              <w:rPr>
                <w:color w:val="auto"/>
              </w:rPr>
            </w:pPr>
          </w:p>
          <w:p w14:paraId="763B2CC5" w14:textId="14943E18" w:rsidR="006E2764" w:rsidRPr="00B42E08" w:rsidRDefault="006E2764" w:rsidP="00B42E08">
            <w:pPr>
              <w:pStyle w:val="Default"/>
              <w:numPr>
                <w:ilvl w:val="0"/>
                <w:numId w:val="39"/>
              </w:numPr>
              <w:ind w:left="462"/>
            </w:pPr>
            <w:r w:rsidRPr="00B42E08">
              <w:t xml:space="preserve">Los funcionarios de COOPEAIPE no podrán ser codeudores de ninguna línea de crédito </w:t>
            </w:r>
          </w:p>
          <w:p w14:paraId="173D24D1" w14:textId="47C546D5" w:rsidR="006E2764" w:rsidRPr="00B42E08" w:rsidRDefault="006E2764" w:rsidP="00B42E08">
            <w:pPr>
              <w:pStyle w:val="Default"/>
              <w:numPr>
                <w:ilvl w:val="0"/>
                <w:numId w:val="39"/>
              </w:numPr>
              <w:ind w:left="462"/>
            </w:pPr>
            <w:r w:rsidRPr="00B42E08">
              <w:t xml:space="preserve">Los pensionados de las fuerzas militares y policías se aceptan como codeudores, siempre y cuando demuestren ingresos diferentes a la pensión o posean bienes inmuebles que respalden la obligación mediante hipoteca de primer grado a nombre de la Cooperativa. </w:t>
            </w:r>
          </w:p>
          <w:p w14:paraId="2E559D1D" w14:textId="77777777" w:rsidR="006E2764" w:rsidRPr="00B42E08" w:rsidRDefault="006E2764" w:rsidP="00B42E08">
            <w:pPr>
              <w:pStyle w:val="Default"/>
              <w:numPr>
                <w:ilvl w:val="0"/>
                <w:numId w:val="39"/>
              </w:numPr>
              <w:ind w:left="462"/>
            </w:pPr>
            <w:r w:rsidRPr="00B42E08">
              <w:t xml:space="preserve">Los asociados con contrato a término fijo o que la duración del contrato sea inferior al plazo del crédito no se aceptan como codeudores. </w:t>
            </w:r>
          </w:p>
          <w:p w14:paraId="43D8CA38" w14:textId="53FF66C8" w:rsidR="006E2764" w:rsidRPr="00B42E08" w:rsidRDefault="006E2764" w:rsidP="00B42E08">
            <w:pPr>
              <w:pStyle w:val="Default"/>
              <w:numPr>
                <w:ilvl w:val="0"/>
                <w:numId w:val="39"/>
              </w:numPr>
              <w:ind w:left="462"/>
            </w:pPr>
            <w:r w:rsidRPr="00B42E08">
              <w:t>Se aceptan codeudores hasta la edad máxima de 7</w:t>
            </w:r>
            <w:r w:rsidR="008B3B4E" w:rsidRPr="00B42E08">
              <w:t>1</w:t>
            </w:r>
            <w:r w:rsidRPr="00B42E08">
              <w:t xml:space="preserve"> años. </w:t>
            </w:r>
          </w:p>
          <w:p w14:paraId="6ED2AD2E" w14:textId="77777777" w:rsidR="006E2764" w:rsidRPr="00B42E08" w:rsidRDefault="006E2764" w:rsidP="00B42E08">
            <w:pPr>
              <w:pStyle w:val="Default"/>
            </w:pPr>
          </w:p>
        </w:tc>
      </w:tr>
    </w:tbl>
    <w:p w14:paraId="76D81D30" w14:textId="77777777" w:rsidR="006E2764" w:rsidRPr="00B42E08" w:rsidRDefault="006E2764" w:rsidP="00B42E08">
      <w:pPr>
        <w:jc w:val="both"/>
        <w:rPr>
          <w:rFonts w:ascii="Arial" w:hAnsi="Arial" w:cs="Arial"/>
          <w:b/>
          <w:bCs/>
          <w:sz w:val="24"/>
          <w:szCs w:val="24"/>
        </w:rPr>
      </w:pPr>
    </w:p>
    <w:p w14:paraId="22E51CBB" w14:textId="3D081309" w:rsidR="006E2764" w:rsidRPr="00B42E08" w:rsidRDefault="008B3B4E" w:rsidP="00B42E08">
      <w:pPr>
        <w:numPr>
          <w:ilvl w:val="1"/>
          <w:numId w:val="32"/>
        </w:numPr>
        <w:jc w:val="both"/>
        <w:rPr>
          <w:rFonts w:ascii="Arial" w:hAnsi="Arial" w:cs="Arial"/>
          <w:b/>
          <w:spacing w:val="-3"/>
          <w:sz w:val="24"/>
          <w:szCs w:val="24"/>
        </w:rPr>
      </w:pPr>
      <w:r w:rsidRPr="00B42E08">
        <w:rPr>
          <w:rFonts w:ascii="Arial" w:hAnsi="Arial" w:cs="Arial"/>
          <w:b/>
          <w:spacing w:val="-3"/>
          <w:sz w:val="24"/>
          <w:szCs w:val="24"/>
        </w:rPr>
        <w:t>OTRAS GARANTÍAS</w:t>
      </w:r>
    </w:p>
    <w:p w14:paraId="79CF15C2" w14:textId="0243CE9D" w:rsidR="008B3B4E" w:rsidRPr="00B42E08" w:rsidRDefault="008B3B4E" w:rsidP="00B42E08">
      <w:pPr>
        <w:jc w:val="both"/>
        <w:rPr>
          <w:rFonts w:ascii="Arial" w:hAnsi="Arial" w:cs="Arial"/>
          <w:b/>
          <w:spacing w:val="-3"/>
          <w:sz w:val="24"/>
          <w:szCs w:val="24"/>
        </w:rPr>
      </w:pPr>
    </w:p>
    <w:tbl>
      <w:tblPr>
        <w:tblStyle w:val="Tablaconcuadrcula"/>
        <w:tblW w:w="9510" w:type="dxa"/>
        <w:tblLayout w:type="fixed"/>
        <w:tblLook w:val="0000" w:firstRow="0" w:lastRow="0" w:firstColumn="0" w:lastColumn="0" w:noHBand="0" w:noVBand="0"/>
      </w:tblPr>
      <w:tblGrid>
        <w:gridCol w:w="1413"/>
        <w:gridCol w:w="2391"/>
        <w:gridCol w:w="1902"/>
        <w:gridCol w:w="1902"/>
        <w:gridCol w:w="1902"/>
      </w:tblGrid>
      <w:tr w:rsidR="008B3B4E" w:rsidRPr="00B42E08" w14:paraId="71588930" w14:textId="77777777" w:rsidTr="008B3B4E">
        <w:trPr>
          <w:trHeight w:val="245"/>
        </w:trPr>
        <w:tc>
          <w:tcPr>
            <w:tcW w:w="1413" w:type="dxa"/>
            <w:vAlign w:val="center"/>
          </w:tcPr>
          <w:p w14:paraId="0511F914" w14:textId="634B869F" w:rsidR="008B3B4E" w:rsidRPr="00B42E08" w:rsidRDefault="008B3B4E" w:rsidP="00B42E08">
            <w:pPr>
              <w:pStyle w:val="Default"/>
              <w:jc w:val="center"/>
            </w:pPr>
            <w:r w:rsidRPr="00B42E08">
              <w:rPr>
                <w:b/>
                <w:bCs/>
              </w:rPr>
              <w:t>Tipo Garantías</w:t>
            </w:r>
          </w:p>
        </w:tc>
        <w:tc>
          <w:tcPr>
            <w:tcW w:w="2391" w:type="dxa"/>
            <w:vAlign w:val="center"/>
          </w:tcPr>
          <w:p w14:paraId="1D8D1AC8" w14:textId="63785FA5" w:rsidR="008B3B4E" w:rsidRPr="00B42E08" w:rsidRDefault="008B3B4E" w:rsidP="00B42E08">
            <w:pPr>
              <w:pStyle w:val="Default"/>
              <w:jc w:val="center"/>
            </w:pPr>
            <w:r w:rsidRPr="00B42E08">
              <w:rPr>
                <w:b/>
                <w:bCs/>
              </w:rPr>
              <w:t>Característica</w:t>
            </w:r>
          </w:p>
        </w:tc>
        <w:tc>
          <w:tcPr>
            <w:tcW w:w="1902" w:type="dxa"/>
            <w:vAlign w:val="center"/>
          </w:tcPr>
          <w:p w14:paraId="49493A71" w14:textId="1BFA2DA3" w:rsidR="008B3B4E" w:rsidRPr="00B42E08" w:rsidRDefault="008B3B4E" w:rsidP="00B42E08">
            <w:pPr>
              <w:pStyle w:val="Default"/>
              <w:jc w:val="center"/>
            </w:pPr>
            <w:r w:rsidRPr="00B42E08">
              <w:rPr>
                <w:b/>
                <w:bCs/>
              </w:rPr>
              <w:t>Requisito</w:t>
            </w:r>
          </w:p>
        </w:tc>
        <w:tc>
          <w:tcPr>
            <w:tcW w:w="1902" w:type="dxa"/>
            <w:vAlign w:val="center"/>
          </w:tcPr>
          <w:p w14:paraId="1953D529" w14:textId="67B580E2" w:rsidR="008B3B4E" w:rsidRPr="00B42E08" w:rsidRDefault="008B3B4E" w:rsidP="00B42E08">
            <w:pPr>
              <w:pStyle w:val="Default"/>
              <w:jc w:val="center"/>
            </w:pPr>
            <w:r w:rsidRPr="00B42E08">
              <w:rPr>
                <w:b/>
                <w:bCs/>
              </w:rPr>
              <w:t>Cobertura Garantía</w:t>
            </w:r>
          </w:p>
        </w:tc>
        <w:tc>
          <w:tcPr>
            <w:tcW w:w="1902" w:type="dxa"/>
            <w:vAlign w:val="center"/>
          </w:tcPr>
          <w:p w14:paraId="4025486E" w14:textId="391E408F" w:rsidR="008B3B4E" w:rsidRPr="00B42E08" w:rsidRDefault="008B3B4E" w:rsidP="00B42E08">
            <w:pPr>
              <w:pStyle w:val="Default"/>
              <w:jc w:val="center"/>
            </w:pPr>
            <w:r w:rsidRPr="00B42E08">
              <w:rPr>
                <w:b/>
                <w:bCs/>
              </w:rPr>
              <w:t>Límites de propiedad</w:t>
            </w:r>
          </w:p>
        </w:tc>
      </w:tr>
      <w:tr w:rsidR="008B3B4E" w:rsidRPr="00B42E08" w14:paraId="6E584171" w14:textId="77777777" w:rsidTr="008B3B4E">
        <w:trPr>
          <w:trHeight w:val="245"/>
        </w:trPr>
        <w:tc>
          <w:tcPr>
            <w:tcW w:w="1413" w:type="dxa"/>
            <w:vAlign w:val="center"/>
          </w:tcPr>
          <w:p w14:paraId="6C93DF7C" w14:textId="589F7B59" w:rsidR="008B3B4E" w:rsidRPr="00B42E08" w:rsidRDefault="008B3B4E" w:rsidP="00B42E08">
            <w:pPr>
              <w:pStyle w:val="Default"/>
              <w:jc w:val="center"/>
            </w:pPr>
            <w:r w:rsidRPr="00B42E08">
              <w:t>CDAT</w:t>
            </w:r>
          </w:p>
        </w:tc>
        <w:tc>
          <w:tcPr>
            <w:tcW w:w="2391" w:type="dxa"/>
            <w:vAlign w:val="center"/>
          </w:tcPr>
          <w:p w14:paraId="7FF18B5C" w14:textId="3EEBC798" w:rsidR="008B3B4E" w:rsidRPr="00B42E08" w:rsidRDefault="008B3B4E" w:rsidP="00B42E08">
            <w:pPr>
              <w:pStyle w:val="Default"/>
              <w:jc w:val="center"/>
            </w:pPr>
            <w:r w:rsidRPr="00B42E08">
              <w:t>Cesión de CDAT a COOPEAIPE</w:t>
            </w:r>
          </w:p>
        </w:tc>
        <w:tc>
          <w:tcPr>
            <w:tcW w:w="1902" w:type="dxa"/>
            <w:vAlign w:val="center"/>
          </w:tcPr>
          <w:p w14:paraId="707C373D" w14:textId="7263A29F" w:rsidR="008B3B4E" w:rsidRPr="00B42E08" w:rsidRDefault="008B3B4E" w:rsidP="00B42E08">
            <w:pPr>
              <w:pStyle w:val="Default"/>
              <w:jc w:val="center"/>
            </w:pPr>
            <w:r w:rsidRPr="00B42E08">
              <w:t>Constitución de la cesión CDAT.</w:t>
            </w:r>
          </w:p>
        </w:tc>
        <w:tc>
          <w:tcPr>
            <w:tcW w:w="1902" w:type="dxa"/>
            <w:vAlign w:val="center"/>
          </w:tcPr>
          <w:p w14:paraId="686011E0" w14:textId="024C7580" w:rsidR="008B3B4E" w:rsidRPr="00B42E08" w:rsidRDefault="008B3B4E" w:rsidP="00B42E08">
            <w:pPr>
              <w:pStyle w:val="Default"/>
              <w:jc w:val="center"/>
            </w:pPr>
            <w:r w:rsidRPr="00B42E08">
              <w:t>Hasta el 100% del valor del certificado.</w:t>
            </w:r>
          </w:p>
        </w:tc>
        <w:tc>
          <w:tcPr>
            <w:tcW w:w="1902" w:type="dxa"/>
            <w:vAlign w:val="center"/>
          </w:tcPr>
          <w:p w14:paraId="489A9BCF" w14:textId="2C2BA94E" w:rsidR="008B3B4E" w:rsidRPr="00B42E08" w:rsidRDefault="008B3B4E" w:rsidP="00B42E08">
            <w:pPr>
              <w:pStyle w:val="Default"/>
              <w:jc w:val="center"/>
            </w:pPr>
            <w:r w:rsidRPr="00B42E08">
              <w:t>Solicitante</w:t>
            </w:r>
          </w:p>
        </w:tc>
      </w:tr>
    </w:tbl>
    <w:p w14:paraId="7E5A215E" w14:textId="77777777" w:rsidR="008B3B4E" w:rsidRPr="00B42E08" w:rsidRDefault="008B3B4E" w:rsidP="00B42E08">
      <w:pPr>
        <w:ind w:left="284"/>
        <w:jc w:val="both"/>
        <w:rPr>
          <w:rFonts w:ascii="Arial" w:hAnsi="Arial" w:cs="Arial"/>
          <w:b/>
          <w:spacing w:val="-3"/>
          <w:sz w:val="24"/>
          <w:szCs w:val="24"/>
        </w:rPr>
      </w:pPr>
    </w:p>
    <w:p w14:paraId="7C81C2FA" w14:textId="77777777" w:rsidR="008B3B4E" w:rsidRPr="00B42E08" w:rsidRDefault="008B3B4E" w:rsidP="00B42E08">
      <w:pPr>
        <w:numPr>
          <w:ilvl w:val="1"/>
          <w:numId w:val="32"/>
        </w:numPr>
        <w:jc w:val="both"/>
        <w:rPr>
          <w:rFonts w:ascii="Arial" w:hAnsi="Arial" w:cs="Arial"/>
          <w:b/>
          <w:spacing w:val="-3"/>
          <w:sz w:val="24"/>
          <w:szCs w:val="24"/>
        </w:rPr>
      </w:pPr>
      <w:r w:rsidRPr="00B42E08">
        <w:rPr>
          <w:rFonts w:ascii="Arial" w:hAnsi="Arial" w:cs="Arial"/>
          <w:b/>
          <w:spacing w:val="-3"/>
          <w:sz w:val="24"/>
          <w:szCs w:val="24"/>
        </w:rPr>
        <w:t>GARANTÍA MIXTA:</w:t>
      </w:r>
    </w:p>
    <w:p w14:paraId="5769183F" w14:textId="77777777" w:rsidR="008B3B4E" w:rsidRPr="00B42E08" w:rsidRDefault="008B3B4E" w:rsidP="00B42E08">
      <w:pPr>
        <w:jc w:val="both"/>
        <w:rPr>
          <w:rFonts w:ascii="Arial" w:hAnsi="Arial" w:cs="Arial"/>
          <w:sz w:val="24"/>
          <w:szCs w:val="24"/>
        </w:rPr>
      </w:pPr>
    </w:p>
    <w:p w14:paraId="1921DA3F" w14:textId="3AB89CEE" w:rsidR="008B3B4E" w:rsidRPr="00B42E08" w:rsidRDefault="008B3B4E" w:rsidP="00B42E08">
      <w:pPr>
        <w:jc w:val="both"/>
        <w:rPr>
          <w:rFonts w:ascii="Arial" w:hAnsi="Arial" w:cs="Arial"/>
          <w:sz w:val="24"/>
          <w:szCs w:val="24"/>
        </w:rPr>
      </w:pPr>
      <w:r w:rsidRPr="00B42E08">
        <w:rPr>
          <w:rFonts w:ascii="Arial" w:hAnsi="Arial" w:cs="Arial"/>
          <w:sz w:val="24"/>
          <w:szCs w:val="24"/>
        </w:rPr>
        <w:t>Es la aceptación de la garantía personal y la garantía hipotecaria como aval del crédito. Se presenta cuando el bien a hipotecar no da cubrimiento a la totalidad del crédito solicitado.</w:t>
      </w:r>
    </w:p>
    <w:p w14:paraId="643C8B6D" w14:textId="77777777" w:rsidR="008B3B4E" w:rsidRPr="00B42E08" w:rsidRDefault="008B3B4E" w:rsidP="00B42E08">
      <w:pPr>
        <w:jc w:val="both"/>
        <w:rPr>
          <w:rFonts w:ascii="Arial" w:hAnsi="Arial" w:cs="Arial"/>
          <w:sz w:val="24"/>
          <w:szCs w:val="24"/>
        </w:rPr>
      </w:pPr>
    </w:p>
    <w:p w14:paraId="42BE6C3E" w14:textId="75D41528" w:rsidR="008B3B4E" w:rsidRPr="00B42E08" w:rsidRDefault="008B3B4E" w:rsidP="00B42E08">
      <w:pPr>
        <w:jc w:val="both"/>
        <w:rPr>
          <w:rFonts w:ascii="Arial" w:hAnsi="Arial" w:cs="Arial"/>
          <w:sz w:val="24"/>
          <w:szCs w:val="24"/>
        </w:rPr>
      </w:pPr>
      <w:r w:rsidRPr="00B42E08">
        <w:rPr>
          <w:rFonts w:ascii="Arial" w:hAnsi="Arial" w:cs="Arial"/>
          <w:sz w:val="24"/>
          <w:szCs w:val="24"/>
        </w:rPr>
        <w:t>Para evaluar el respaldo ofrecido y la posibilidad de realización de cada garantía se debe tener en cuenta su naturaleza, idoneidad, liquidez, valor y cobertura.</w:t>
      </w:r>
    </w:p>
    <w:p w14:paraId="1A3E7EA2" w14:textId="77777777" w:rsidR="008B3B4E" w:rsidRPr="00B42E08" w:rsidRDefault="008B3B4E" w:rsidP="00B42E08">
      <w:pPr>
        <w:jc w:val="both"/>
        <w:rPr>
          <w:rFonts w:ascii="Arial" w:hAnsi="Arial" w:cs="Arial"/>
          <w:sz w:val="24"/>
          <w:szCs w:val="24"/>
        </w:rPr>
      </w:pPr>
    </w:p>
    <w:p w14:paraId="173A200D" w14:textId="6A8CDADA" w:rsidR="006E2764" w:rsidRPr="00B42E08" w:rsidRDefault="008B3B4E" w:rsidP="00B42E08">
      <w:pPr>
        <w:jc w:val="both"/>
        <w:rPr>
          <w:rFonts w:ascii="Arial" w:hAnsi="Arial" w:cs="Arial"/>
          <w:sz w:val="24"/>
          <w:szCs w:val="24"/>
        </w:rPr>
      </w:pPr>
      <w:r w:rsidRPr="00B42E08">
        <w:rPr>
          <w:rFonts w:ascii="Arial" w:hAnsi="Arial" w:cs="Arial"/>
          <w:sz w:val="24"/>
          <w:szCs w:val="24"/>
        </w:rPr>
        <w:t xml:space="preserve">Para el otorgamiento de créditos garantizados con hipoteca se deberá obtener y analizar la información referente al deudor y a la garantía, con base en una metodología técnica idónea que permita proyectar la evolución previsible tanto del precio del inmueble, como </w:t>
      </w:r>
      <w:r w:rsidRPr="00B42E08">
        <w:rPr>
          <w:rFonts w:ascii="Arial" w:hAnsi="Arial" w:cs="Arial"/>
          <w:sz w:val="24"/>
          <w:szCs w:val="24"/>
        </w:rPr>
        <w:lastRenderedPageBreak/>
        <w:t>de los ingresos del deudor, de manera que razonablemente pueda concluirse que el crédito durante toda la vida podrá ser puntualmente atendido y estará suficientemente garantizado.</w:t>
      </w:r>
    </w:p>
    <w:p w14:paraId="38B4D169" w14:textId="720D1E26" w:rsidR="008B3B4E" w:rsidRPr="00B42E08" w:rsidRDefault="008B3B4E" w:rsidP="00B42E08">
      <w:pPr>
        <w:jc w:val="both"/>
        <w:rPr>
          <w:rFonts w:ascii="Arial" w:hAnsi="Arial" w:cs="Arial"/>
          <w:sz w:val="24"/>
          <w:szCs w:val="24"/>
        </w:rPr>
      </w:pPr>
    </w:p>
    <w:p w14:paraId="0A684E71" w14:textId="604E28C9" w:rsidR="008B3B4E" w:rsidRDefault="008B3B4E" w:rsidP="00B42E08">
      <w:pPr>
        <w:numPr>
          <w:ilvl w:val="1"/>
          <w:numId w:val="32"/>
        </w:numPr>
        <w:jc w:val="both"/>
        <w:rPr>
          <w:rFonts w:ascii="Arial" w:hAnsi="Arial" w:cs="Arial"/>
          <w:b/>
          <w:spacing w:val="-3"/>
          <w:sz w:val="24"/>
          <w:szCs w:val="24"/>
        </w:rPr>
      </w:pPr>
      <w:r w:rsidRPr="00B42E08">
        <w:rPr>
          <w:rFonts w:ascii="Arial" w:hAnsi="Arial" w:cs="Arial"/>
          <w:b/>
          <w:spacing w:val="-3"/>
          <w:sz w:val="24"/>
          <w:szCs w:val="24"/>
        </w:rPr>
        <w:t xml:space="preserve">GARANTÍA INSTITUCIONAL: </w:t>
      </w:r>
    </w:p>
    <w:p w14:paraId="317F9CBC" w14:textId="77777777" w:rsidR="00B42E08" w:rsidRPr="00B42E08" w:rsidRDefault="00B42E08" w:rsidP="00B42E08">
      <w:pPr>
        <w:ind w:left="454"/>
        <w:jc w:val="both"/>
        <w:rPr>
          <w:rFonts w:ascii="Arial" w:hAnsi="Arial" w:cs="Arial"/>
          <w:b/>
          <w:spacing w:val="-3"/>
          <w:sz w:val="24"/>
          <w:szCs w:val="24"/>
        </w:rPr>
      </w:pPr>
    </w:p>
    <w:p w14:paraId="7C4A7DEE" w14:textId="36373897" w:rsidR="008B3B4E" w:rsidRPr="00B42E08" w:rsidRDefault="008B3B4E" w:rsidP="00B42E08">
      <w:pPr>
        <w:jc w:val="both"/>
        <w:rPr>
          <w:rFonts w:ascii="Arial" w:hAnsi="Arial" w:cs="Arial"/>
          <w:sz w:val="24"/>
          <w:szCs w:val="24"/>
        </w:rPr>
      </w:pPr>
      <w:r w:rsidRPr="00B42E08">
        <w:rPr>
          <w:rFonts w:ascii="Arial" w:hAnsi="Arial" w:cs="Arial"/>
          <w:sz w:val="24"/>
          <w:szCs w:val="24"/>
        </w:rPr>
        <w:t>Se otorga garantía Institucional a los asociados que presentan un buen comportamiento de pago en centrales de riesgo, y que cumplan con las condiciones aprobadas en el reglamento de crédito vigente.</w:t>
      </w:r>
    </w:p>
    <w:p w14:paraId="4F3066C3" w14:textId="77777777" w:rsidR="008B3B4E" w:rsidRPr="00B42E08" w:rsidRDefault="008B3B4E" w:rsidP="00B42E08">
      <w:pPr>
        <w:jc w:val="both"/>
        <w:rPr>
          <w:rFonts w:ascii="Arial" w:hAnsi="Arial" w:cs="Arial"/>
          <w:sz w:val="24"/>
          <w:szCs w:val="24"/>
        </w:rPr>
      </w:pPr>
    </w:p>
    <w:p w14:paraId="0EE32FE5" w14:textId="77777777" w:rsidR="008B3B4E" w:rsidRPr="00B42E08" w:rsidRDefault="008B3B4E" w:rsidP="00B42E08">
      <w:pPr>
        <w:jc w:val="both"/>
        <w:rPr>
          <w:rFonts w:ascii="Arial" w:hAnsi="Arial" w:cs="Arial"/>
          <w:sz w:val="24"/>
          <w:szCs w:val="24"/>
        </w:rPr>
      </w:pPr>
      <w:r w:rsidRPr="00B42E08">
        <w:rPr>
          <w:rFonts w:ascii="Arial" w:hAnsi="Arial" w:cs="Arial"/>
          <w:sz w:val="24"/>
          <w:szCs w:val="24"/>
        </w:rPr>
        <w:t xml:space="preserve">Las Garantías Institucionales aplican para todos los destinos de créditos, hasta el monto autorizado por el comité de crédito, ahorros y tasas de interés </w:t>
      </w:r>
    </w:p>
    <w:p w14:paraId="6AD5ECD2" w14:textId="6B657FF0" w:rsidR="008B3B4E" w:rsidRPr="00B42E08" w:rsidRDefault="008B3B4E" w:rsidP="00B42E08">
      <w:pPr>
        <w:jc w:val="both"/>
        <w:rPr>
          <w:rFonts w:ascii="Arial" w:hAnsi="Arial" w:cs="Arial"/>
          <w:sz w:val="24"/>
          <w:szCs w:val="24"/>
        </w:rPr>
      </w:pPr>
    </w:p>
    <w:tbl>
      <w:tblPr>
        <w:tblStyle w:val="Tablaconcuadrcula"/>
        <w:tblW w:w="0" w:type="auto"/>
        <w:tblLayout w:type="fixed"/>
        <w:tblLook w:val="0000" w:firstRow="0" w:lastRow="0" w:firstColumn="0" w:lastColumn="0" w:noHBand="0" w:noVBand="0"/>
      </w:tblPr>
      <w:tblGrid>
        <w:gridCol w:w="1902"/>
        <w:gridCol w:w="1902"/>
        <w:gridCol w:w="1902"/>
        <w:gridCol w:w="1902"/>
        <w:gridCol w:w="1902"/>
      </w:tblGrid>
      <w:tr w:rsidR="008B3B4E" w:rsidRPr="00B42E08" w14:paraId="3075DAD8" w14:textId="77777777" w:rsidTr="008B3B4E">
        <w:trPr>
          <w:trHeight w:val="245"/>
        </w:trPr>
        <w:tc>
          <w:tcPr>
            <w:tcW w:w="1902" w:type="dxa"/>
            <w:vAlign w:val="center"/>
          </w:tcPr>
          <w:p w14:paraId="4AB5CDB8" w14:textId="03488175" w:rsidR="008B3B4E" w:rsidRPr="00B42E08" w:rsidRDefault="008B3B4E" w:rsidP="00B42E08">
            <w:pPr>
              <w:pStyle w:val="Default"/>
              <w:jc w:val="center"/>
            </w:pPr>
            <w:r w:rsidRPr="00B42E08">
              <w:rPr>
                <w:b/>
                <w:bCs/>
              </w:rPr>
              <w:t>Tipo Garantías</w:t>
            </w:r>
          </w:p>
        </w:tc>
        <w:tc>
          <w:tcPr>
            <w:tcW w:w="1902" w:type="dxa"/>
            <w:vAlign w:val="center"/>
          </w:tcPr>
          <w:p w14:paraId="3BA1F4F8" w14:textId="0F9B12FD" w:rsidR="008B3B4E" w:rsidRPr="00B42E08" w:rsidRDefault="008B3B4E" w:rsidP="00B42E08">
            <w:pPr>
              <w:pStyle w:val="Default"/>
              <w:jc w:val="center"/>
            </w:pPr>
            <w:r w:rsidRPr="00B42E08">
              <w:rPr>
                <w:b/>
                <w:bCs/>
              </w:rPr>
              <w:t>Característica</w:t>
            </w:r>
          </w:p>
        </w:tc>
        <w:tc>
          <w:tcPr>
            <w:tcW w:w="1902" w:type="dxa"/>
            <w:vAlign w:val="center"/>
          </w:tcPr>
          <w:p w14:paraId="4F3FA1DD" w14:textId="4B343134" w:rsidR="008B3B4E" w:rsidRPr="00B42E08" w:rsidRDefault="008B3B4E" w:rsidP="00B42E08">
            <w:pPr>
              <w:pStyle w:val="Default"/>
              <w:jc w:val="center"/>
            </w:pPr>
            <w:r w:rsidRPr="00B42E08">
              <w:rPr>
                <w:b/>
                <w:bCs/>
              </w:rPr>
              <w:t>Requisito</w:t>
            </w:r>
          </w:p>
        </w:tc>
        <w:tc>
          <w:tcPr>
            <w:tcW w:w="1902" w:type="dxa"/>
            <w:vAlign w:val="center"/>
          </w:tcPr>
          <w:p w14:paraId="573177F8" w14:textId="2C5078B3" w:rsidR="008B3B4E" w:rsidRPr="00B42E08" w:rsidRDefault="008B3B4E" w:rsidP="00B42E08">
            <w:pPr>
              <w:pStyle w:val="Default"/>
              <w:jc w:val="center"/>
            </w:pPr>
            <w:r w:rsidRPr="00B42E08">
              <w:rPr>
                <w:b/>
                <w:bCs/>
              </w:rPr>
              <w:t>Cobertura Garantía</w:t>
            </w:r>
          </w:p>
        </w:tc>
        <w:tc>
          <w:tcPr>
            <w:tcW w:w="1902" w:type="dxa"/>
            <w:vAlign w:val="center"/>
          </w:tcPr>
          <w:p w14:paraId="1FD45962" w14:textId="26333894" w:rsidR="008B3B4E" w:rsidRPr="00B42E08" w:rsidRDefault="008B3B4E" w:rsidP="00B42E08">
            <w:pPr>
              <w:pStyle w:val="Default"/>
              <w:jc w:val="center"/>
            </w:pPr>
            <w:r w:rsidRPr="00B42E08">
              <w:rPr>
                <w:b/>
                <w:bCs/>
              </w:rPr>
              <w:t>Límites de propiedad</w:t>
            </w:r>
          </w:p>
        </w:tc>
      </w:tr>
      <w:tr w:rsidR="008B3B4E" w:rsidRPr="00B42E08" w14:paraId="34E28A05" w14:textId="77777777" w:rsidTr="008B3B4E">
        <w:trPr>
          <w:trHeight w:val="378"/>
        </w:trPr>
        <w:tc>
          <w:tcPr>
            <w:tcW w:w="1902" w:type="dxa"/>
            <w:vAlign w:val="center"/>
          </w:tcPr>
          <w:p w14:paraId="34596CEE" w14:textId="160E5F88" w:rsidR="008B3B4E" w:rsidRPr="00B42E08" w:rsidRDefault="008B3B4E" w:rsidP="00B42E08">
            <w:pPr>
              <w:pStyle w:val="Default"/>
              <w:jc w:val="center"/>
            </w:pPr>
            <w:r w:rsidRPr="00B42E08">
              <w:t>Institucional</w:t>
            </w:r>
          </w:p>
        </w:tc>
        <w:tc>
          <w:tcPr>
            <w:tcW w:w="1902" w:type="dxa"/>
            <w:vAlign w:val="center"/>
          </w:tcPr>
          <w:p w14:paraId="65B4C5D8" w14:textId="4073AF1C" w:rsidR="008B3B4E" w:rsidRPr="00B42E08" w:rsidRDefault="008B3B4E" w:rsidP="00B42E08">
            <w:pPr>
              <w:pStyle w:val="Default"/>
              <w:jc w:val="center"/>
            </w:pPr>
            <w:r w:rsidRPr="00B42E08">
              <w:t>Se otorga a través de un fondo de Garantías</w:t>
            </w:r>
          </w:p>
        </w:tc>
        <w:tc>
          <w:tcPr>
            <w:tcW w:w="1902" w:type="dxa"/>
            <w:vAlign w:val="center"/>
          </w:tcPr>
          <w:p w14:paraId="6316D213" w14:textId="0DCCC12B" w:rsidR="008B3B4E" w:rsidRPr="00B42E08" w:rsidRDefault="008B3B4E" w:rsidP="00B42E08">
            <w:pPr>
              <w:pStyle w:val="Default"/>
              <w:jc w:val="center"/>
            </w:pPr>
            <w:r w:rsidRPr="00B42E08">
              <w:t>Puntaje mínimo promedio de 700 puntos centrales de riesgo.</w:t>
            </w:r>
          </w:p>
        </w:tc>
        <w:tc>
          <w:tcPr>
            <w:tcW w:w="1902" w:type="dxa"/>
            <w:vAlign w:val="center"/>
          </w:tcPr>
          <w:p w14:paraId="7D85FE3D" w14:textId="0C9AE16E" w:rsidR="008B3B4E" w:rsidRPr="00B42E08" w:rsidRDefault="008B3B4E" w:rsidP="00B42E08">
            <w:pPr>
              <w:pStyle w:val="Default"/>
              <w:jc w:val="center"/>
            </w:pPr>
            <w:r w:rsidRPr="00B42E08">
              <w:t>100% del monto solicitado, sujeto a cobertura y movilizado.</w:t>
            </w:r>
          </w:p>
        </w:tc>
        <w:tc>
          <w:tcPr>
            <w:tcW w:w="1902" w:type="dxa"/>
            <w:vAlign w:val="center"/>
          </w:tcPr>
          <w:p w14:paraId="1877541D" w14:textId="2CC6E1E0" w:rsidR="008B3B4E" w:rsidRPr="00B42E08" w:rsidRDefault="008B3B4E" w:rsidP="00B42E08">
            <w:pPr>
              <w:pStyle w:val="Default"/>
              <w:jc w:val="center"/>
            </w:pPr>
            <w:r w:rsidRPr="00B42E08">
              <w:t>Solicitante</w:t>
            </w:r>
          </w:p>
        </w:tc>
      </w:tr>
    </w:tbl>
    <w:p w14:paraId="2FEA03EA" w14:textId="0042D4DC" w:rsidR="008B3B4E" w:rsidRPr="00B42E08" w:rsidRDefault="008B3B4E" w:rsidP="00B42E08">
      <w:pPr>
        <w:jc w:val="both"/>
        <w:rPr>
          <w:rFonts w:ascii="Arial" w:hAnsi="Arial" w:cs="Arial"/>
          <w:sz w:val="24"/>
          <w:szCs w:val="24"/>
        </w:rPr>
      </w:pPr>
    </w:p>
    <w:p w14:paraId="474DB00E" w14:textId="2AE1A584" w:rsidR="008B3B4E" w:rsidRPr="00B42E08" w:rsidRDefault="008B3B4E" w:rsidP="00B42E08">
      <w:pPr>
        <w:jc w:val="both"/>
        <w:rPr>
          <w:rFonts w:ascii="Arial" w:hAnsi="Arial" w:cs="Arial"/>
          <w:sz w:val="24"/>
          <w:szCs w:val="24"/>
        </w:rPr>
      </w:pPr>
      <w:r w:rsidRPr="00B42E08">
        <w:rPr>
          <w:rFonts w:ascii="Arial" w:hAnsi="Arial" w:cs="Arial"/>
          <w:sz w:val="24"/>
          <w:szCs w:val="24"/>
        </w:rPr>
        <w:t xml:space="preserve">En caso de que un asociado nove el crédito y decida tomar nuevamente la garantía Institucional, se le devolverá el valor proporcional a los meses que faltaban para finalizar el crédito. En caso de no tomar nuevamente la garantía o pagar el crédito anticipadamente, no se le hará devolución de ningún valor. </w:t>
      </w:r>
    </w:p>
    <w:p w14:paraId="2D9779B1" w14:textId="77777777" w:rsidR="008B3B4E" w:rsidRPr="00B42E08" w:rsidRDefault="008B3B4E" w:rsidP="00B42E08">
      <w:pPr>
        <w:jc w:val="both"/>
        <w:rPr>
          <w:rFonts w:ascii="Arial" w:hAnsi="Arial" w:cs="Arial"/>
          <w:sz w:val="24"/>
          <w:szCs w:val="24"/>
        </w:rPr>
      </w:pPr>
    </w:p>
    <w:p w14:paraId="1EECA3DC" w14:textId="1C905E62" w:rsidR="008B3B4E" w:rsidRPr="00B42E08" w:rsidRDefault="008B3B4E" w:rsidP="00B42E08">
      <w:pPr>
        <w:jc w:val="both"/>
        <w:rPr>
          <w:rFonts w:ascii="Arial" w:hAnsi="Arial" w:cs="Arial"/>
          <w:sz w:val="24"/>
          <w:szCs w:val="24"/>
        </w:rPr>
      </w:pPr>
      <w:r w:rsidRPr="00B42E08">
        <w:rPr>
          <w:rFonts w:ascii="Arial" w:hAnsi="Arial" w:cs="Arial"/>
          <w:sz w:val="24"/>
          <w:szCs w:val="24"/>
        </w:rPr>
        <w:t>Los entes de aprobación podrán determinar la viabilidad del uso de las garantías mencionadas anteriormente de acuerdo con el estudio de crédito y el respectivo análisis de riesgo.</w:t>
      </w:r>
    </w:p>
    <w:p w14:paraId="69819297" w14:textId="4BE7895E" w:rsidR="008B3B4E" w:rsidRPr="00B42E08" w:rsidRDefault="008B3B4E" w:rsidP="00B42E08">
      <w:pPr>
        <w:jc w:val="both"/>
        <w:rPr>
          <w:rFonts w:ascii="Arial" w:hAnsi="Arial" w:cs="Arial"/>
          <w:sz w:val="24"/>
          <w:szCs w:val="24"/>
        </w:rPr>
      </w:pPr>
    </w:p>
    <w:p w14:paraId="0C8DAB07" w14:textId="7399F3E3" w:rsidR="00164989" w:rsidRPr="00B42E08" w:rsidRDefault="00164989" w:rsidP="00B42E08">
      <w:pPr>
        <w:numPr>
          <w:ilvl w:val="1"/>
          <w:numId w:val="32"/>
        </w:numPr>
        <w:jc w:val="both"/>
        <w:rPr>
          <w:rFonts w:ascii="Arial" w:hAnsi="Arial" w:cs="Arial"/>
          <w:b/>
          <w:spacing w:val="-3"/>
          <w:sz w:val="24"/>
          <w:szCs w:val="24"/>
        </w:rPr>
      </w:pPr>
      <w:r w:rsidRPr="00B42E08">
        <w:rPr>
          <w:rFonts w:ascii="Arial" w:hAnsi="Arial" w:cs="Arial"/>
          <w:b/>
          <w:spacing w:val="-3"/>
          <w:sz w:val="24"/>
          <w:szCs w:val="24"/>
        </w:rPr>
        <w:t>INSTANCIAS DE APROBACIÓN</w:t>
      </w:r>
    </w:p>
    <w:p w14:paraId="742E2FF1" w14:textId="7BED1384" w:rsidR="00164989" w:rsidRPr="00B42E08" w:rsidRDefault="00164989" w:rsidP="00B42E08">
      <w:pPr>
        <w:jc w:val="both"/>
        <w:rPr>
          <w:rFonts w:ascii="Arial" w:hAnsi="Arial" w:cs="Arial"/>
          <w:b/>
          <w:spacing w:val="-3"/>
          <w:sz w:val="24"/>
          <w:szCs w:val="24"/>
        </w:rPr>
      </w:pPr>
    </w:p>
    <w:tbl>
      <w:tblPr>
        <w:tblStyle w:val="Tablaconcuadrcula"/>
        <w:tblW w:w="5000" w:type="pct"/>
        <w:tblLook w:val="04A0" w:firstRow="1" w:lastRow="0" w:firstColumn="1" w:lastColumn="0" w:noHBand="0" w:noVBand="1"/>
      </w:tblPr>
      <w:tblGrid>
        <w:gridCol w:w="3111"/>
        <w:gridCol w:w="6241"/>
      </w:tblGrid>
      <w:tr w:rsidR="00164989" w:rsidRPr="00164989" w14:paraId="6400DA77" w14:textId="77777777" w:rsidTr="0037563B">
        <w:trPr>
          <w:trHeight w:val="300"/>
        </w:trPr>
        <w:tc>
          <w:tcPr>
            <w:tcW w:w="1037" w:type="pct"/>
            <w:noWrap/>
            <w:hideMark/>
          </w:tcPr>
          <w:p w14:paraId="56B00323" w14:textId="77777777" w:rsidR="00164989" w:rsidRPr="00164989" w:rsidRDefault="00164989" w:rsidP="00B42E08">
            <w:pPr>
              <w:jc w:val="center"/>
              <w:rPr>
                <w:rFonts w:ascii="Arial" w:hAnsi="Arial" w:cs="Arial"/>
                <w:b/>
                <w:bCs/>
                <w:color w:val="000000"/>
                <w:sz w:val="24"/>
                <w:szCs w:val="24"/>
                <w:lang w:eastAsia="es-CO"/>
              </w:rPr>
            </w:pPr>
            <w:r w:rsidRPr="00164989">
              <w:rPr>
                <w:rFonts w:ascii="Arial" w:hAnsi="Arial" w:cs="Arial"/>
                <w:b/>
                <w:bCs/>
                <w:color w:val="000000"/>
                <w:sz w:val="24"/>
                <w:szCs w:val="24"/>
                <w:lang w:eastAsia="es-CO"/>
              </w:rPr>
              <w:t>ENTE</w:t>
            </w:r>
          </w:p>
        </w:tc>
        <w:tc>
          <w:tcPr>
            <w:tcW w:w="3963" w:type="pct"/>
            <w:noWrap/>
            <w:hideMark/>
          </w:tcPr>
          <w:p w14:paraId="39754C67" w14:textId="77777777" w:rsidR="00164989" w:rsidRPr="00164989" w:rsidRDefault="00164989" w:rsidP="00B42E08">
            <w:pPr>
              <w:jc w:val="center"/>
              <w:rPr>
                <w:rFonts w:ascii="Arial" w:hAnsi="Arial" w:cs="Arial"/>
                <w:b/>
                <w:bCs/>
                <w:color w:val="000000"/>
                <w:sz w:val="24"/>
                <w:szCs w:val="24"/>
                <w:lang w:eastAsia="es-CO"/>
              </w:rPr>
            </w:pPr>
            <w:r w:rsidRPr="00164989">
              <w:rPr>
                <w:rFonts w:ascii="Arial" w:hAnsi="Arial" w:cs="Arial"/>
                <w:b/>
                <w:bCs/>
                <w:color w:val="000000"/>
                <w:sz w:val="24"/>
                <w:szCs w:val="24"/>
                <w:lang w:eastAsia="es-CO"/>
              </w:rPr>
              <w:t>ATRIBUCIONES</w:t>
            </w:r>
          </w:p>
        </w:tc>
      </w:tr>
      <w:tr w:rsidR="00164989" w:rsidRPr="00164989" w14:paraId="2FC628B1" w14:textId="77777777" w:rsidTr="0037563B">
        <w:trPr>
          <w:trHeight w:val="3900"/>
        </w:trPr>
        <w:tc>
          <w:tcPr>
            <w:tcW w:w="1037" w:type="pct"/>
            <w:noWrap/>
            <w:vAlign w:val="center"/>
            <w:hideMark/>
          </w:tcPr>
          <w:p w14:paraId="0FC9F946" w14:textId="77777777" w:rsidR="00164989" w:rsidRPr="00164989" w:rsidRDefault="00164989" w:rsidP="00B42E08">
            <w:pPr>
              <w:rPr>
                <w:rFonts w:ascii="Arial" w:hAnsi="Arial" w:cs="Arial"/>
                <w:color w:val="000000"/>
                <w:sz w:val="24"/>
                <w:szCs w:val="24"/>
                <w:lang w:eastAsia="es-CO"/>
              </w:rPr>
            </w:pPr>
            <w:r w:rsidRPr="00164989">
              <w:rPr>
                <w:rFonts w:ascii="Arial" w:hAnsi="Arial" w:cs="Arial"/>
                <w:color w:val="000000"/>
                <w:sz w:val="24"/>
                <w:szCs w:val="24"/>
                <w:lang w:eastAsia="es-CO"/>
              </w:rPr>
              <w:lastRenderedPageBreak/>
              <w:t>Gerencia</w:t>
            </w:r>
          </w:p>
        </w:tc>
        <w:tc>
          <w:tcPr>
            <w:tcW w:w="3963" w:type="pct"/>
            <w:vAlign w:val="center"/>
            <w:hideMark/>
          </w:tcPr>
          <w:p w14:paraId="526CB770" w14:textId="77777777" w:rsidR="00164989" w:rsidRPr="00164989"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Evaluará los Créditos que estén dentro de sus atribuciones, las solicitudes que deben al Consejo de Administración.</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Los créditos de los empleados de COOPEAIPE deberán ser aprobados exclusivamente por el Gerente de la Cooperativa hasta el monto de sus atribuciones y deben llevar la aprobación del Subgerente Administrativo, en cuánto a su capacidad para descuento de nómina, aplicando la ley de libranza. Sin embargo, cuando el valor solicitado por el empleado supere las atribuciones de la Gerencia, este Organismo deberá emitir su concepto para ser presentado al Comité de Crédito o Consejo de Administración.</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Estará facultado para aprobar cualquier tipo de crédito en cualquiera de las modalidades en cuantías hasta Quince (15) S.M.M.L.V. aproximados al cien mil más cercano por exceso o por defecto; a excepción de la línea mercancía que fácula su aprobación.</w:t>
            </w:r>
          </w:p>
        </w:tc>
      </w:tr>
      <w:tr w:rsidR="00164989" w:rsidRPr="00164989" w14:paraId="21CCF574" w14:textId="77777777" w:rsidTr="0037563B">
        <w:trPr>
          <w:trHeight w:val="2700"/>
        </w:trPr>
        <w:tc>
          <w:tcPr>
            <w:tcW w:w="1037" w:type="pct"/>
            <w:vAlign w:val="center"/>
            <w:hideMark/>
          </w:tcPr>
          <w:p w14:paraId="6013E272" w14:textId="77777777" w:rsidR="00164989" w:rsidRPr="00164989" w:rsidRDefault="00164989" w:rsidP="00B42E08">
            <w:pPr>
              <w:rPr>
                <w:rFonts w:ascii="Arial" w:hAnsi="Arial" w:cs="Arial"/>
                <w:color w:val="000000"/>
                <w:sz w:val="24"/>
                <w:szCs w:val="24"/>
                <w:lang w:eastAsia="es-CO"/>
              </w:rPr>
            </w:pPr>
            <w:r w:rsidRPr="00164989">
              <w:rPr>
                <w:rFonts w:ascii="Arial" w:hAnsi="Arial" w:cs="Arial"/>
                <w:color w:val="000000"/>
                <w:sz w:val="24"/>
                <w:szCs w:val="24"/>
                <w:lang w:eastAsia="es-CO"/>
              </w:rPr>
              <w:t>Comité De Crédito</w:t>
            </w:r>
          </w:p>
        </w:tc>
        <w:tc>
          <w:tcPr>
            <w:tcW w:w="3963" w:type="pct"/>
            <w:vAlign w:val="center"/>
            <w:hideMark/>
          </w:tcPr>
          <w:p w14:paraId="75E30893" w14:textId="77777777" w:rsidR="00164989" w:rsidRPr="00164989"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El Comité de Crédito se reunirá como mínimo una vez en el mes, deberá estudiar todas las solicitudes de crédito radicadas, aprobando o no las que se encuentren dentro de sus atribuciones y emitiendo su concepto sobre las solicitudes. Las solicitudes no aprobadas deberán ser presentadas a la Gerencia de la Cooperativa. Se encuentra conformado por el Administrador de Crédito, y Cinco (05) Miembros del Consejo de administración.</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Estará facultado para aprobar todos los créditos en cuantías superiores a Quince Punto uno (15.1) S.M.M.L.V. hasta Sesenta (60) S.M.M.L.V aproximados al cien mil más cercano por exceso o por defecto.</w:t>
            </w:r>
          </w:p>
        </w:tc>
      </w:tr>
      <w:tr w:rsidR="00164989" w:rsidRPr="00164989" w14:paraId="4AA6DB55" w14:textId="77777777" w:rsidTr="0037563B">
        <w:trPr>
          <w:trHeight w:val="8190"/>
        </w:trPr>
        <w:tc>
          <w:tcPr>
            <w:tcW w:w="1037" w:type="pct"/>
            <w:noWrap/>
            <w:vAlign w:val="center"/>
            <w:hideMark/>
          </w:tcPr>
          <w:p w14:paraId="4EF114F8" w14:textId="77777777" w:rsidR="00164989" w:rsidRPr="00164989" w:rsidRDefault="00164989" w:rsidP="00B42E08">
            <w:pPr>
              <w:rPr>
                <w:rFonts w:ascii="Arial" w:hAnsi="Arial" w:cs="Arial"/>
                <w:color w:val="000000"/>
                <w:sz w:val="24"/>
                <w:szCs w:val="24"/>
                <w:lang w:eastAsia="es-CO"/>
              </w:rPr>
            </w:pPr>
            <w:r w:rsidRPr="00164989">
              <w:rPr>
                <w:rFonts w:ascii="Arial" w:hAnsi="Arial" w:cs="Arial"/>
                <w:color w:val="000000"/>
                <w:sz w:val="24"/>
                <w:szCs w:val="24"/>
                <w:lang w:eastAsia="es-CO"/>
              </w:rPr>
              <w:lastRenderedPageBreak/>
              <w:t>Consejo De Administración</w:t>
            </w:r>
          </w:p>
        </w:tc>
        <w:tc>
          <w:tcPr>
            <w:tcW w:w="3963" w:type="pct"/>
            <w:vAlign w:val="center"/>
            <w:hideMark/>
          </w:tcPr>
          <w:p w14:paraId="0282417B" w14:textId="77777777" w:rsidR="0037563B" w:rsidRPr="00B42E08"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 xml:space="preserve">El Consejo de Administración se reunirá ordinariamente una vez al mes y extraordinariamente cuando sea necesario, para evaluar los créditos de su competencia de los miembros del Consejo de Administración, miembros de Juntas de Vigilancia, Gerente, Subgerente Administrativo, Subgerente financiero y contable y los cónyuges y parientes hasta segundo grado de consanguinidad, segundo de afinidad y primero civil de las personas señaladas anteriormente, previo concepto. (Sin perjuicio del trámite dispuesto por la Ley 795 de 2003, Articulo 109). En todo caso las solicitudes que evalúe el Consejo de Administración llevaran concepto previo del Analista de Crédito y de la Gerencia de la Cooperativa. </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Estará facultado para aprobar todos los créditos en cuantías superiores a Sesenta puntos uno (60.1) S.M.M.L.V hasta TRESCIENTOS (300) S.M.M.L.V.  sin exceder la cuantía máxima de aprobación de créditos del presente reglamento, Aprobará también los créditos solicitados por los integrantes del Comité de crédito y miembros del consejo de Administración, Junta de Vigilancia, Gerente sin importar la cuantía o tipo,  exceptuando el EMERGENTE Y COOPERRAPIDOS que en ambos casos lo realizara el gerente o el funcionario encargado la cual quedaran bajo el nivel de aprobación del consejo de administración y presentara ente el consejo en cada reunión para su presentación teniendo en cuenta que son líneas de créditos autorizadas y permitidas en el reglamento del cooperativa.</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Las Operaciones con asociados, administradores, miembros de las juntas de vigilancia y sus parientes. Las operaciones de crédito realizadas con las siguientes personas o entidades requerirán de un número de votos favorables, que en ningún caso resulte inferior a las cuatro quintas (4/5) partes de la composición del respectivo Consejo de Administración de las cooperativas con actividad financiera:</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r>
            <w:r w:rsidRPr="00164989">
              <w:rPr>
                <w:rFonts w:ascii="Arial" w:hAnsi="Arial" w:cs="Arial"/>
                <w:color w:val="000000"/>
                <w:sz w:val="24"/>
                <w:szCs w:val="24"/>
                <w:lang w:eastAsia="es-CO"/>
              </w:rPr>
              <w:lastRenderedPageBreak/>
              <w:t>Ø Asociados titulares del cinco por ciento (5%) o más de los aportes sociales.</w:t>
            </w:r>
          </w:p>
          <w:p w14:paraId="04E4218E" w14:textId="77777777" w:rsidR="0037563B" w:rsidRPr="00B42E08"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Ø</w:t>
            </w:r>
            <w:r w:rsidR="0037563B" w:rsidRPr="00B42E08">
              <w:rPr>
                <w:rFonts w:ascii="Arial" w:hAnsi="Arial" w:cs="Arial"/>
                <w:color w:val="000000"/>
                <w:sz w:val="24"/>
                <w:szCs w:val="24"/>
                <w:lang w:eastAsia="es-CO"/>
              </w:rPr>
              <w:t xml:space="preserve"> </w:t>
            </w:r>
            <w:r w:rsidRPr="00164989">
              <w:rPr>
                <w:rFonts w:ascii="Arial" w:hAnsi="Arial" w:cs="Arial"/>
                <w:color w:val="000000"/>
                <w:sz w:val="24"/>
                <w:szCs w:val="24"/>
                <w:lang w:eastAsia="es-CO"/>
              </w:rPr>
              <w:t>Miembros de los consejos de administración.</w:t>
            </w:r>
          </w:p>
          <w:p w14:paraId="5723FF97" w14:textId="3EE7ECBF" w:rsidR="0037563B" w:rsidRPr="00B42E08"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Ø</w:t>
            </w:r>
            <w:r w:rsidR="0037563B" w:rsidRPr="00B42E08">
              <w:rPr>
                <w:rFonts w:ascii="Arial" w:hAnsi="Arial" w:cs="Arial"/>
                <w:color w:val="000000"/>
                <w:sz w:val="24"/>
                <w:szCs w:val="24"/>
                <w:lang w:eastAsia="es-CO"/>
              </w:rPr>
              <w:t xml:space="preserve"> </w:t>
            </w:r>
            <w:r w:rsidRPr="00164989">
              <w:rPr>
                <w:rFonts w:ascii="Arial" w:hAnsi="Arial" w:cs="Arial"/>
                <w:color w:val="000000"/>
                <w:sz w:val="24"/>
                <w:szCs w:val="24"/>
                <w:lang w:eastAsia="es-CO"/>
              </w:rPr>
              <w:t>Miembros de la junta de vigilancia</w:t>
            </w:r>
          </w:p>
          <w:p w14:paraId="1BFF5426" w14:textId="7CDD8E1D" w:rsidR="0037563B" w:rsidRPr="00B42E08"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Ø</w:t>
            </w:r>
            <w:r w:rsidR="0037563B" w:rsidRPr="00B42E08">
              <w:rPr>
                <w:rFonts w:ascii="Arial" w:hAnsi="Arial" w:cs="Arial"/>
                <w:color w:val="000000"/>
                <w:sz w:val="24"/>
                <w:szCs w:val="24"/>
                <w:lang w:eastAsia="es-CO"/>
              </w:rPr>
              <w:t xml:space="preserve"> </w:t>
            </w:r>
            <w:r w:rsidRPr="00164989">
              <w:rPr>
                <w:rFonts w:ascii="Arial" w:hAnsi="Arial" w:cs="Arial"/>
                <w:color w:val="000000"/>
                <w:sz w:val="24"/>
                <w:szCs w:val="24"/>
                <w:lang w:eastAsia="es-CO"/>
              </w:rPr>
              <w:t>Representantes Legales</w:t>
            </w:r>
          </w:p>
          <w:p w14:paraId="0CAD9F7B" w14:textId="1B112C4F" w:rsidR="0037563B" w:rsidRPr="00B42E08"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t>Ø Las personas jurídicas de las cuales los anteriores sean administradores o miembros de junta de vigilancia.</w:t>
            </w:r>
            <w:r w:rsidRPr="00164989">
              <w:rPr>
                <w:rFonts w:ascii="Arial" w:hAnsi="Arial" w:cs="Arial"/>
                <w:color w:val="000000"/>
                <w:sz w:val="24"/>
                <w:szCs w:val="24"/>
                <w:lang w:eastAsia="es-CO"/>
              </w:rPr>
              <w:br/>
              <w:t>Ø Los cónyuges y parientes hasta segundo grado de consanguinidad, segundo de afinidad y primero civil de las personas señaladas en los numerales anteriores.</w:t>
            </w:r>
            <w:r w:rsidRPr="00164989">
              <w:rPr>
                <w:rFonts w:ascii="Arial" w:hAnsi="Arial" w:cs="Arial"/>
                <w:color w:val="000000"/>
                <w:sz w:val="24"/>
                <w:szCs w:val="24"/>
                <w:lang w:eastAsia="es-CO"/>
              </w:rPr>
              <w:br/>
            </w:r>
            <w:r w:rsidRPr="00164989">
              <w:rPr>
                <w:rFonts w:ascii="Arial" w:hAnsi="Arial" w:cs="Arial"/>
                <w:color w:val="000000"/>
                <w:sz w:val="24"/>
                <w:szCs w:val="24"/>
                <w:lang w:eastAsia="es-CO"/>
              </w:rPr>
              <w:br/>
              <w:t>En el acta de la correspondiente reunión se dejará constancia, además, de haberse verificado el cumplimiento de las normas sobre límites al otorgamiento de crédito o cupos máximos de endeudamiento o de concentración de riesgos vigentes en la fecha de aprobación de la operación, en aquellas entidades obligadas a cumplir estas exigencias.</w:t>
            </w:r>
          </w:p>
          <w:p w14:paraId="11BE3FEB" w14:textId="62724303" w:rsidR="00164989" w:rsidRPr="00164989" w:rsidRDefault="00164989" w:rsidP="00B42E08">
            <w:pPr>
              <w:jc w:val="both"/>
              <w:rPr>
                <w:rFonts w:ascii="Arial" w:hAnsi="Arial" w:cs="Arial"/>
                <w:color w:val="000000"/>
                <w:sz w:val="24"/>
                <w:szCs w:val="24"/>
                <w:lang w:eastAsia="es-CO"/>
              </w:rPr>
            </w:pPr>
            <w:r w:rsidRPr="00164989">
              <w:rPr>
                <w:rFonts w:ascii="Arial" w:hAnsi="Arial" w:cs="Arial"/>
                <w:color w:val="000000"/>
                <w:sz w:val="24"/>
                <w:szCs w:val="24"/>
                <w:lang w:eastAsia="es-CO"/>
              </w:rPr>
              <w:br/>
              <w:t>En estas operaciones no podrán convenirse condiciones diferentes a las que generalmente utiliza la entidad para con los asociados, según el tipo de operación, salvo las que celebren para atender las necesidades de salud, educación, vivienda y transporte de acuerdo con los reglamentos que para tal efecto previamente determine el consejo de administración. Serán personal y administrativamente responsables los miembros del Consejo de Administración que aprueben operaciones en condiciones contrarias a las disposiciones legales y estatutarias sobre la materia.</w:t>
            </w:r>
          </w:p>
        </w:tc>
      </w:tr>
    </w:tbl>
    <w:p w14:paraId="5112983A" w14:textId="77777777" w:rsidR="00164989" w:rsidRPr="00B42E08" w:rsidRDefault="00164989" w:rsidP="00B42E08">
      <w:pPr>
        <w:jc w:val="both"/>
        <w:rPr>
          <w:rFonts w:ascii="Arial" w:hAnsi="Arial" w:cs="Arial"/>
          <w:b/>
          <w:spacing w:val="-3"/>
          <w:sz w:val="24"/>
          <w:szCs w:val="24"/>
        </w:rPr>
      </w:pPr>
    </w:p>
    <w:p w14:paraId="56C7AB09" w14:textId="77777777" w:rsidR="00B42E08" w:rsidRPr="00B42E08" w:rsidRDefault="00B42E08" w:rsidP="00B42E08">
      <w:pPr>
        <w:numPr>
          <w:ilvl w:val="1"/>
          <w:numId w:val="32"/>
        </w:numPr>
        <w:jc w:val="both"/>
        <w:rPr>
          <w:rFonts w:ascii="Arial" w:hAnsi="Arial" w:cs="Arial"/>
          <w:b/>
          <w:bCs/>
          <w:sz w:val="24"/>
          <w:szCs w:val="24"/>
        </w:rPr>
      </w:pPr>
      <w:r w:rsidRPr="00B42E08">
        <w:rPr>
          <w:rFonts w:ascii="Arial" w:hAnsi="Arial" w:cs="Arial"/>
          <w:b/>
          <w:bCs/>
          <w:sz w:val="24"/>
          <w:szCs w:val="24"/>
        </w:rPr>
        <w:t>SEGURO DE VIDA DEUDORES</w:t>
      </w:r>
    </w:p>
    <w:p w14:paraId="12204B4F" w14:textId="1F59E58A" w:rsidR="00B42E08" w:rsidRPr="00B42E08" w:rsidRDefault="00B42E08" w:rsidP="00B42E08">
      <w:pPr>
        <w:pStyle w:val="Default"/>
      </w:pPr>
      <w:r w:rsidRPr="00B42E08">
        <w:rPr>
          <w:b/>
          <w:bCs/>
        </w:rPr>
        <w:t xml:space="preserve"> </w:t>
      </w:r>
    </w:p>
    <w:p w14:paraId="7BF5E0C6" w14:textId="44F9522F" w:rsidR="00B42E08" w:rsidRPr="00B42E08" w:rsidRDefault="00B42E08" w:rsidP="00B42E08">
      <w:pPr>
        <w:pStyle w:val="Default"/>
      </w:pPr>
      <w:r w:rsidRPr="00B42E08">
        <w:t xml:space="preserve">Para todas las solicitudes de crédito se realizará un análisis a la información suministrada por el asociado en el formato de asegurabilidad con el fin de determinar si es necesario extra primar el seguro. </w:t>
      </w:r>
    </w:p>
    <w:p w14:paraId="2BD2ADB7" w14:textId="77777777" w:rsidR="00B42E08" w:rsidRPr="00B42E08" w:rsidRDefault="00B42E08" w:rsidP="00B42E08">
      <w:pPr>
        <w:pStyle w:val="Default"/>
      </w:pPr>
    </w:p>
    <w:p w14:paraId="28A6DA4D" w14:textId="3B94CF37" w:rsidR="00164989" w:rsidRPr="00B42E08" w:rsidRDefault="00B42E08" w:rsidP="00B42E08">
      <w:pPr>
        <w:jc w:val="both"/>
        <w:rPr>
          <w:rFonts w:ascii="Arial" w:hAnsi="Arial" w:cs="Arial"/>
          <w:sz w:val="24"/>
          <w:szCs w:val="24"/>
        </w:rPr>
      </w:pPr>
      <w:r w:rsidRPr="00B42E08">
        <w:rPr>
          <w:rFonts w:ascii="Arial" w:hAnsi="Arial" w:cs="Arial"/>
          <w:sz w:val="24"/>
          <w:szCs w:val="24"/>
        </w:rPr>
        <w:t>Para acceder a la indemnización del seguro de vida deudores, el solicitante del crédito debe diligenciar el formato de asegurabilidad con sinceridad y cumplir con los requisitos que exija la compañía de seguros</w:t>
      </w:r>
    </w:p>
    <w:p w14:paraId="56DE4905" w14:textId="28A42F11" w:rsidR="00B42E08" w:rsidRPr="00B42E08" w:rsidRDefault="00B42E08" w:rsidP="00B42E08">
      <w:pPr>
        <w:jc w:val="both"/>
        <w:rPr>
          <w:rFonts w:ascii="Arial" w:hAnsi="Arial" w:cs="Arial"/>
          <w:sz w:val="24"/>
          <w:szCs w:val="24"/>
        </w:rPr>
      </w:pPr>
    </w:p>
    <w:tbl>
      <w:tblPr>
        <w:tblStyle w:val="Tablaconcuadrcula"/>
        <w:tblW w:w="0" w:type="auto"/>
        <w:tblInd w:w="649" w:type="dxa"/>
        <w:tblLayout w:type="fixed"/>
        <w:tblLook w:val="0000" w:firstRow="0" w:lastRow="0" w:firstColumn="0" w:lastColumn="0" w:noHBand="0" w:noVBand="0"/>
      </w:tblPr>
      <w:tblGrid>
        <w:gridCol w:w="4028"/>
        <w:gridCol w:w="4029"/>
      </w:tblGrid>
      <w:tr w:rsidR="00B42E08" w:rsidRPr="00B42E08" w14:paraId="05F9C114" w14:textId="77777777" w:rsidTr="00B42E08">
        <w:trPr>
          <w:trHeight w:val="93"/>
        </w:trPr>
        <w:tc>
          <w:tcPr>
            <w:tcW w:w="8057" w:type="dxa"/>
            <w:gridSpan w:val="2"/>
            <w:vAlign w:val="center"/>
          </w:tcPr>
          <w:p w14:paraId="21639FE4" w14:textId="70299023" w:rsidR="00B42E08" w:rsidRPr="00B42E08" w:rsidRDefault="00B42E08" w:rsidP="00B42E08">
            <w:pPr>
              <w:pStyle w:val="Default"/>
              <w:jc w:val="center"/>
            </w:pPr>
            <w:r w:rsidRPr="00B42E08">
              <w:rPr>
                <w:b/>
                <w:bCs/>
              </w:rPr>
              <w:lastRenderedPageBreak/>
              <w:t>REQUISITOS</w:t>
            </w:r>
          </w:p>
        </w:tc>
      </w:tr>
      <w:tr w:rsidR="00B42E08" w:rsidRPr="00B42E08" w14:paraId="0BC1281A" w14:textId="77777777" w:rsidTr="00B42E08">
        <w:trPr>
          <w:trHeight w:val="93"/>
        </w:trPr>
        <w:tc>
          <w:tcPr>
            <w:tcW w:w="4028" w:type="dxa"/>
            <w:vAlign w:val="center"/>
          </w:tcPr>
          <w:p w14:paraId="5970C82C" w14:textId="058B803C" w:rsidR="00B42E08" w:rsidRPr="00B42E08" w:rsidRDefault="00B42E08" w:rsidP="00B42E08">
            <w:pPr>
              <w:pStyle w:val="Default"/>
              <w:jc w:val="center"/>
            </w:pPr>
            <w:r w:rsidRPr="00B42E08">
              <w:rPr>
                <w:b/>
                <w:bCs/>
              </w:rPr>
              <w:t>POR FALLECIMIENTO</w:t>
            </w:r>
          </w:p>
        </w:tc>
        <w:tc>
          <w:tcPr>
            <w:tcW w:w="4029" w:type="dxa"/>
            <w:vAlign w:val="center"/>
          </w:tcPr>
          <w:p w14:paraId="56BC2AC2" w14:textId="53C33877" w:rsidR="00B42E08" w:rsidRPr="00B42E08" w:rsidRDefault="00B42E08" w:rsidP="00B42E08">
            <w:pPr>
              <w:pStyle w:val="Default"/>
              <w:jc w:val="center"/>
            </w:pPr>
            <w:r w:rsidRPr="00B42E08">
              <w:rPr>
                <w:b/>
                <w:bCs/>
              </w:rPr>
              <w:t>POR INVALIDEZ</w:t>
            </w:r>
          </w:p>
        </w:tc>
      </w:tr>
      <w:tr w:rsidR="00B42E08" w:rsidRPr="00B42E08" w14:paraId="64276A5A" w14:textId="77777777" w:rsidTr="00B42E08">
        <w:trPr>
          <w:trHeight w:val="93"/>
        </w:trPr>
        <w:tc>
          <w:tcPr>
            <w:tcW w:w="4028" w:type="dxa"/>
          </w:tcPr>
          <w:p w14:paraId="0C2C15D6" w14:textId="77777777" w:rsidR="00B42E08" w:rsidRPr="00B42E08" w:rsidRDefault="00B42E08" w:rsidP="00B42E08">
            <w:pPr>
              <w:pStyle w:val="Default"/>
            </w:pPr>
            <w:r w:rsidRPr="00B42E08">
              <w:t xml:space="preserve">Fotocopia de la cedula de Ciudadanía </w:t>
            </w:r>
          </w:p>
        </w:tc>
        <w:tc>
          <w:tcPr>
            <w:tcW w:w="4029" w:type="dxa"/>
          </w:tcPr>
          <w:p w14:paraId="124E628D" w14:textId="77777777" w:rsidR="00B42E08" w:rsidRPr="00B42E08" w:rsidRDefault="00B42E08" w:rsidP="00B42E08">
            <w:pPr>
              <w:pStyle w:val="Default"/>
            </w:pPr>
            <w:r w:rsidRPr="00B42E08">
              <w:t xml:space="preserve">Fotocopia de la cedula de Ciudadanía </w:t>
            </w:r>
          </w:p>
        </w:tc>
      </w:tr>
      <w:tr w:rsidR="00B42E08" w:rsidRPr="00B42E08" w14:paraId="7BAD1155" w14:textId="77777777" w:rsidTr="00B42E08">
        <w:trPr>
          <w:trHeight w:val="93"/>
        </w:trPr>
        <w:tc>
          <w:tcPr>
            <w:tcW w:w="4028" w:type="dxa"/>
          </w:tcPr>
          <w:p w14:paraId="5727E233" w14:textId="77777777" w:rsidR="00B42E08" w:rsidRPr="00B42E08" w:rsidRDefault="00B42E08" w:rsidP="00B42E08">
            <w:pPr>
              <w:pStyle w:val="Default"/>
            </w:pPr>
            <w:r w:rsidRPr="00B42E08">
              <w:t xml:space="preserve">Certificado o acta de defunción </w:t>
            </w:r>
          </w:p>
        </w:tc>
        <w:tc>
          <w:tcPr>
            <w:tcW w:w="4029" w:type="dxa"/>
          </w:tcPr>
          <w:p w14:paraId="301DA0C2" w14:textId="77777777" w:rsidR="00B42E08" w:rsidRPr="00B42E08" w:rsidRDefault="00B42E08" w:rsidP="00B42E08">
            <w:pPr>
              <w:pStyle w:val="Default"/>
            </w:pPr>
            <w:r w:rsidRPr="00B42E08">
              <w:t xml:space="preserve">Certificado de la junta regional de invalidez </w:t>
            </w:r>
          </w:p>
        </w:tc>
      </w:tr>
      <w:tr w:rsidR="00B42E08" w:rsidRPr="00B42E08" w14:paraId="54A7BC38" w14:textId="77777777" w:rsidTr="00B42E08">
        <w:trPr>
          <w:trHeight w:val="93"/>
        </w:trPr>
        <w:tc>
          <w:tcPr>
            <w:tcW w:w="8057" w:type="dxa"/>
            <w:gridSpan w:val="2"/>
          </w:tcPr>
          <w:p w14:paraId="397EE86F" w14:textId="77777777" w:rsidR="00B42E08" w:rsidRPr="00B42E08" w:rsidRDefault="00B42E08" w:rsidP="00B42E08">
            <w:pPr>
              <w:pStyle w:val="Default"/>
            </w:pPr>
            <w:r w:rsidRPr="00B42E08">
              <w:t xml:space="preserve">Registro civil de defunción </w:t>
            </w:r>
          </w:p>
        </w:tc>
      </w:tr>
      <w:tr w:rsidR="00B42E08" w:rsidRPr="00B42E08" w14:paraId="2D8EBB71" w14:textId="77777777" w:rsidTr="00B42E08">
        <w:trPr>
          <w:trHeight w:val="93"/>
        </w:trPr>
        <w:tc>
          <w:tcPr>
            <w:tcW w:w="8057" w:type="dxa"/>
            <w:gridSpan w:val="2"/>
            <w:vAlign w:val="center"/>
          </w:tcPr>
          <w:p w14:paraId="41EC9EA3" w14:textId="035A0FB1" w:rsidR="00B42E08" w:rsidRPr="00B42E08" w:rsidRDefault="00B42E08" w:rsidP="00B42E08">
            <w:pPr>
              <w:pStyle w:val="Default"/>
              <w:jc w:val="center"/>
            </w:pPr>
            <w:r w:rsidRPr="00B42E08">
              <w:rPr>
                <w:b/>
                <w:bCs/>
              </w:rPr>
              <w:t>EDAD QUE CUBRE</w:t>
            </w:r>
          </w:p>
        </w:tc>
      </w:tr>
      <w:tr w:rsidR="00B42E08" w:rsidRPr="00B42E08" w14:paraId="74EFB3CD" w14:textId="77777777" w:rsidTr="00B42E08">
        <w:trPr>
          <w:trHeight w:val="93"/>
        </w:trPr>
        <w:tc>
          <w:tcPr>
            <w:tcW w:w="4028" w:type="dxa"/>
          </w:tcPr>
          <w:p w14:paraId="57B9AAED" w14:textId="77777777" w:rsidR="00B42E08" w:rsidRPr="00B42E08" w:rsidRDefault="00B42E08" w:rsidP="00B42E08">
            <w:pPr>
              <w:pStyle w:val="Default"/>
            </w:pPr>
            <w:r w:rsidRPr="00B42E08">
              <w:t xml:space="preserve">Desde 18 hasta 85 años. </w:t>
            </w:r>
          </w:p>
        </w:tc>
        <w:tc>
          <w:tcPr>
            <w:tcW w:w="4029" w:type="dxa"/>
          </w:tcPr>
          <w:p w14:paraId="08DF2DE1" w14:textId="77777777" w:rsidR="00B42E08" w:rsidRPr="00B42E08" w:rsidRDefault="00B42E08" w:rsidP="00B42E08">
            <w:pPr>
              <w:pStyle w:val="Default"/>
            </w:pPr>
            <w:r w:rsidRPr="00B42E08">
              <w:t xml:space="preserve">Desde 18 hasta los 65 años. </w:t>
            </w:r>
          </w:p>
        </w:tc>
      </w:tr>
    </w:tbl>
    <w:p w14:paraId="03A3D792" w14:textId="77777777" w:rsidR="00B42E08" w:rsidRPr="00B42E08" w:rsidRDefault="00B42E08" w:rsidP="00B42E08">
      <w:pPr>
        <w:autoSpaceDE w:val="0"/>
        <w:autoSpaceDN w:val="0"/>
        <w:adjustRightInd w:val="0"/>
        <w:rPr>
          <w:rFonts w:ascii="Arial" w:hAnsi="Arial" w:cs="Arial"/>
          <w:color w:val="000000"/>
          <w:sz w:val="24"/>
          <w:szCs w:val="24"/>
          <w:lang w:eastAsia="es-CO"/>
        </w:rPr>
      </w:pPr>
    </w:p>
    <w:p w14:paraId="031BE6EC" w14:textId="046299AC" w:rsidR="00B42E08" w:rsidRPr="00B42E08" w:rsidRDefault="00B42E08" w:rsidP="00B42E08">
      <w:pPr>
        <w:autoSpaceDE w:val="0"/>
        <w:autoSpaceDN w:val="0"/>
        <w:adjustRightInd w:val="0"/>
        <w:rPr>
          <w:rFonts w:ascii="Arial" w:hAnsi="Arial" w:cs="Arial"/>
          <w:color w:val="000000"/>
          <w:sz w:val="24"/>
          <w:szCs w:val="24"/>
          <w:lang w:eastAsia="es-CO"/>
        </w:rPr>
      </w:pPr>
      <w:r w:rsidRPr="00B42E08">
        <w:rPr>
          <w:rFonts w:ascii="Arial" w:hAnsi="Arial" w:cs="Arial"/>
          <w:color w:val="000000"/>
          <w:sz w:val="24"/>
          <w:szCs w:val="24"/>
          <w:lang w:eastAsia="es-CO"/>
        </w:rPr>
        <w:t xml:space="preserve">El seguro de vida deudores cubre los créditos que fueron desembolsados antes de la fecha de estructuración de la invalidez. </w:t>
      </w:r>
    </w:p>
    <w:p w14:paraId="55ADFC60" w14:textId="77777777" w:rsidR="00B42E08" w:rsidRPr="00B42E08" w:rsidRDefault="00B42E08" w:rsidP="00B42E08">
      <w:pPr>
        <w:autoSpaceDE w:val="0"/>
        <w:autoSpaceDN w:val="0"/>
        <w:adjustRightInd w:val="0"/>
        <w:rPr>
          <w:rFonts w:ascii="Arial" w:hAnsi="Arial" w:cs="Arial"/>
          <w:color w:val="000000"/>
          <w:sz w:val="24"/>
          <w:szCs w:val="24"/>
          <w:lang w:eastAsia="es-CO"/>
        </w:rPr>
      </w:pPr>
    </w:p>
    <w:p w14:paraId="60769B76" w14:textId="07AE37F8" w:rsidR="00B42E08" w:rsidRPr="00B42E08" w:rsidRDefault="00B42E08" w:rsidP="00B42E08">
      <w:pPr>
        <w:autoSpaceDE w:val="0"/>
        <w:autoSpaceDN w:val="0"/>
        <w:adjustRightInd w:val="0"/>
        <w:rPr>
          <w:rFonts w:ascii="Arial" w:hAnsi="Arial" w:cs="Arial"/>
          <w:color w:val="000000"/>
          <w:sz w:val="24"/>
          <w:szCs w:val="24"/>
          <w:lang w:eastAsia="es-CO"/>
        </w:rPr>
      </w:pPr>
      <w:r w:rsidRPr="00B42E08">
        <w:rPr>
          <w:rFonts w:ascii="Arial" w:hAnsi="Arial" w:cs="Arial"/>
          <w:color w:val="000000"/>
          <w:sz w:val="24"/>
          <w:szCs w:val="24"/>
          <w:lang w:eastAsia="es-CO"/>
        </w:rPr>
        <w:t xml:space="preserve">Se debe hacer diligenciar el “formato de asegurabilidad” para todos los destinos y montos de crédito. </w:t>
      </w:r>
    </w:p>
    <w:p w14:paraId="41A5CCA8" w14:textId="77777777" w:rsidR="00B42E08" w:rsidRPr="00B42E08" w:rsidRDefault="00B42E08" w:rsidP="00B42E08">
      <w:pPr>
        <w:autoSpaceDE w:val="0"/>
        <w:autoSpaceDN w:val="0"/>
        <w:adjustRightInd w:val="0"/>
        <w:rPr>
          <w:rFonts w:ascii="Arial" w:hAnsi="Arial" w:cs="Arial"/>
          <w:color w:val="000000"/>
          <w:sz w:val="24"/>
          <w:szCs w:val="24"/>
          <w:lang w:eastAsia="es-CO"/>
        </w:rPr>
      </w:pPr>
    </w:p>
    <w:p w14:paraId="03E7CBD6" w14:textId="10A92AC7" w:rsidR="00B42E08" w:rsidRPr="00B42E08" w:rsidRDefault="00B42E08" w:rsidP="00B42E08">
      <w:pPr>
        <w:jc w:val="both"/>
        <w:rPr>
          <w:rFonts w:ascii="Arial" w:hAnsi="Arial" w:cs="Arial"/>
          <w:color w:val="000000"/>
          <w:sz w:val="24"/>
          <w:szCs w:val="24"/>
          <w:lang w:eastAsia="es-CO"/>
        </w:rPr>
      </w:pPr>
      <w:r w:rsidRPr="00B42E08">
        <w:rPr>
          <w:rFonts w:ascii="Arial" w:hAnsi="Arial" w:cs="Arial"/>
          <w:color w:val="000000"/>
          <w:sz w:val="24"/>
          <w:szCs w:val="24"/>
          <w:lang w:eastAsia="es-CO"/>
        </w:rPr>
        <w:t>Cuando la aseguradora realice objeciones que determinen el no pago de una obligación de crédito en virtud de una reclamación presentada por fallecimiento del asociado (deudor), dicha obligación insoluta será enviada al área de cartera para proceder a iniciar las acciones de cobro en contra del codeudor en caso de que lo hubiere, de lo contrario, en contra de herederos y el proceso de sucesión.</w:t>
      </w:r>
    </w:p>
    <w:p w14:paraId="44DAD914" w14:textId="77777777" w:rsidR="00B42E08" w:rsidRPr="00B42E08" w:rsidRDefault="00B42E08" w:rsidP="00B42E08">
      <w:pPr>
        <w:jc w:val="both"/>
        <w:rPr>
          <w:rFonts w:ascii="Arial" w:hAnsi="Arial" w:cs="Arial"/>
          <w:sz w:val="24"/>
          <w:szCs w:val="24"/>
        </w:rPr>
      </w:pPr>
    </w:p>
    <w:p w14:paraId="69E62DEF" w14:textId="4B486956" w:rsidR="00A75CBC" w:rsidRPr="00B42E08" w:rsidRDefault="00A75CBC" w:rsidP="00B42E08">
      <w:pPr>
        <w:numPr>
          <w:ilvl w:val="0"/>
          <w:numId w:val="32"/>
        </w:numPr>
        <w:jc w:val="both"/>
        <w:rPr>
          <w:rFonts w:ascii="Arial" w:hAnsi="Arial" w:cs="Arial"/>
          <w:b/>
          <w:spacing w:val="-3"/>
          <w:sz w:val="24"/>
          <w:szCs w:val="24"/>
        </w:rPr>
      </w:pPr>
      <w:r w:rsidRPr="00B42E08">
        <w:rPr>
          <w:rFonts w:ascii="Arial" w:hAnsi="Arial" w:cs="Arial"/>
          <w:b/>
          <w:spacing w:val="-3"/>
          <w:sz w:val="24"/>
          <w:szCs w:val="24"/>
        </w:rPr>
        <w:t>REGISTROS REFERENCIADOS.</w:t>
      </w:r>
    </w:p>
    <w:p w14:paraId="3AC03E5E" w14:textId="332B8C28" w:rsidR="00A75CBC" w:rsidRPr="00B42E08" w:rsidRDefault="006C0042" w:rsidP="00B42E08">
      <w:pPr>
        <w:numPr>
          <w:ilvl w:val="1"/>
          <w:numId w:val="32"/>
        </w:numPr>
        <w:jc w:val="both"/>
        <w:rPr>
          <w:rFonts w:ascii="Arial" w:hAnsi="Arial" w:cs="Arial"/>
          <w:b/>
          <w:spacing w:val="-3"/>
          <w:sz w:val="24"/>
          <w:szCs w:val="24"/>
        </w:rPr>
      </w:pPr>
      <w:r w:rsidRPr="00B42E08">
        <w:rPr>
          <w:rFonts w:ascii="Arial" w:hAnsi="Arial" w:cs="Arial"/>
          <w:b/>
          <w:spacing w:val="-3"/>
          <w:sz w:val="24"/>
          <w:szCs w:val="24"/>
        </w:rPr>
        <w:t>N/A</w:t>
      </w:r>
    </w:p>
    <w:p w14:paraId="126E2C70" w14:textId="5747B247" w:rsidR="0092336A" w:rsidRPr="00B42E08" w:rsidRDefault="0092336A" w:rsidP="00B42E08">
      <w:pPr>
        <w:jc w:val="both"/>
        <w:rPr>
          <w:rFonts w:ascii="Arial" w:hAnsi="Arial" w:cs="Arial"/>
          <w:b/>
          <w:spacing w:val="-3"/>
          <w:sz w:val="24"/>
          <w:szCs w:val="24"/>
        </w:rPr>
      </w:pPr>
    </w:p>
    <w:p w14:paraId="7C2578C2" w14:textId="77777777" w:rsidR="00A75CBC" w:rsidRPr="00B42E08" w:rsidRDefault="00A75CBC" w:rsidP="00B42E08">
      <w:pPr>
        <w:numPr>
          <w:ilvl w:val="0"/>
          <w:numId w:val="32"/>
        </w:numPr>
        <w:jc w:val="both"/>
        <w:rPr>
          <w:rFonts w:ascii="Arial" w:hAnsi="Arial" w:cs="Arial"/>
          <w:spacing w:val="-3"/>
          <w:sz w:val="24"/>
          <w:szCs w:val="24"/>
        </w:rPr>
      </w:pPr>
      <w:r w:rsidRPr="00B42E08">
        <w:rPr>
          <w:rFonts w:ascii="Arial" w:hAnsi="Arial" w:cs="Arial"/>
          <w:b/>
          <w:bCs/>
          <w:spacing w:val="-3"/>
          <w:sz w:val="24"/>
          <w:szCs w:val="24"/>
        </w:rPr>
        <w:t>ACTUALIZACIÓN</w:t>
      </w:r>
    </w:p>
    <w:p w14:paraId="449697CC" w14:textId="77777777" w:rsidR="00A75CBC" w:rsidRPr="00B42E08" w:rsidRDefault="00A75CBC" w:rsidP="00B42E08">
      <w:pPr>
        <w:jc w:val="both"/>
        <w:rPr>
          <w:rFonts w:ascii="Arial" w:hAnsi="Arial" w:cs="Arial"/>
          <w:spacing w:val="-3"/>
          <w:sz w:val="24"/>
          <w:szCs w:val="24"/>
        </w:rPr>
      </w:pPr>
    </w:p>
    <w:tbl>
      <w:tblPr>
        <w:tblStyle w:val="Tablaconcuadrcula"/>
        <w:tblW w:w="9281" w:type="dxa"/>
        <w:tblLook w:val="04A0" w:firstRow="1" w:lastRow="0" w:firstColumn="1" w:lastColumn="0" w:noHBand="0" w:noVBand="1"/>
      </w:tblPr>
      <w:tblGrid>
        <w:gridCol w:w="1087"/>
        <w:gridCol w:w="7188"/>
        <w:gridCol w:w="1006"/>
      </w:tblGrid>
      <w:tr w:rsidR="000972AD" w:rsidRPr="00477247" w14:paraId="746ABB09" w14:textId="77777777" w:rsidTr="000972AD">
        <w:tc>
          <w:tcPr>
            <w:tcW w:w="887" w:type="dxa"/>
            <w:tcBorders>
              <w:top w:val="single" w:sz="4" w:space="0" w:color="auto"/>
              <w:left w:val="single" w:sz="4" w:space="0" w:color="auto"/>
              <w:bottom w:val="single" w:sz="4" w:space="0" w:color="auto"/>
              <w:right w:val="single" w:sz="4" w:space="0" w:color="auto"/>
            </w:tcBorders>
            <w:hideMark/>
          </w:tcPr>
          <w:p w14:paraId="604A478C" w14:textId="77777777" w:rsidR="000972AD" w:rsidRPr="00477247" w:rsidRDefault="000972AD" w:rsidP="00B42E08">
            <w:pPr>
              <w:jc w:val="both"/>
              <w:rPr>
                <w:rFonts w:ascii="Arial" w:hAnsi="Arial" w:cs="Arial"/>
                <w:b/>
                <w:bCs/>
                <w:spacing w:val="-3"/>
                <w:sz w:val="18"/>
                <w:szCs w:val="18"/>
              </w:rPr>
            </w:pPr>
            <w:r w:rsidRPr="00477247">
              <w:rPr>
                <w:rFonts w:ascii="Arial" w:hAnsi="Arial" w:cs="Arial"/>
                <w:b/>
                <w:bCs/>
                <w:spacing w:val="-3"/>
                <w:sz w:val="18"/>
                <w:szCs w:val="18"/>
              </w:rPr>
              <w:t>FECHA</w:t>
            </w:r>
          </w:p>
        </w:tc>
        <w:tc>
          <w:tcPr>
            <w:tcW w:w="7568" w:type="dxa"/>
            <w:tcBorders>
              <w:top w:val="single" w:sz="4" w:space="0" w:color="auto"/>
              <w:left w:val="single" w:sz="4" w:space="0" w:color="auto"/>
              <w:bottom w:val="single" w:sz="4" w:space="0" w:color="auto"/>
              <w:right w:val="single" w:sz="4" w:space="0" w:color="auto"/>
            </w:tcBorders>
            <w:hideMark/>
          </w:tcPr>
          <w:p w14:paraId="1CA7A8EB" w14:textId="77777777" w:rsidR="000972AD" w:rsidRPr="00477247" w:rsidRDefault="000972AD" w:rsidP="00B42E08">
            <w:pPr>
              <w:jc w:val="both"/>
              <w:rPr>
                <w:rFonts w:ascii="Arial" w:hAnsi="Arial" w:cs="Arial"/>
                <w:b/>
                <w:bCs/>
                <w:spacing w:val="-3"/>
                <w:sz w:val="18"/>
                <w:szCs w:val="18"/>
              </w:rPr>
            </w:pPr>
            <w:r w:rsidRPr="00477247">
              <w:rPr>
                <w:rFonts w:ascii="Arial" w:hAnsi="Arial" w:cs="Arial"/>
                <w:b/>
                <w:bCs/>
                <w:spacing w:val="-3"/>
                <w:sz w:val="18"/>
                <w:szCs w:val="18"/>
              </w:rPr>
              <w:t>DESCRIPCIÓN</w:t>
            </w:r>
          </w:p>
        </w:tc>
        <w:tc>
          <w:tcPr>
            <w:tcW w:w="826" w:type="dxa"/>
            <w:tcBorders>
              <w:top w:val="single" w:sz="4" w:space="0" w:color="auto"/>
              <w:left w:val="single" w:sz="4" w:space="0" w:color="auto"/>
              <w:bottom w:val="single" w:sz="4" w:space="0" w:color="auto"/>
              <w:right w:val="single" w:sz="4" w:space="0" w:color="auto"/>
            </w:tcBorders>
            <w:hideMark/>
          </w:tcPr>
          <w:p w14:paraId="37B9F7F8" w14:textId="77777777" w:rsidR="000972AD" w:rsidRPr="00477247" w:rsidRDefault="000972AD" w:rsidP="00B42E08">
            <w:pPr>
              <w:jc w:val="both"/>
              <w:rPr>
                <w:rFonts w:ascii="Arial" w:hAnsi="Arial" w:cs="Arial"/>
                <w:b/>
                <w:bCs/>
                <w:spacing w:val="-3"/>
                <w:sz w:val="18"/>
                <w:szCs w:val="18"/>
              </w:rPr>
            </w:pPr>
            <w:r w:rsidRPr="00477247">
              <w:rPr>
                <w:rFonts w:ascii="Arial" w:hAnsi="Arial" w:cs="Arial"/>
                <w:b/>
                <w:bCs/>
                <w:spacing w:val="-3"/>
                <w:sz w:val="18"/>
                <w:szCs w:val="18"/>
              </w:rPr>
              <w:t>VERSIÓN</w:t>
            </w:r>
          </w:p>
        </w:tc>
      </w:tr>
      <w:tr w:rsidR="000972AD" w:rsidRPr="00477247" w14:paraId="4FAB4589" w14:textId="77777777" w:rsidTr="000972AD">
        <w:tc>
          <w:tcPr>
            <w:tcW w:w="887" w:type="dxa"/>
            <w:tcBorders>
              <w:top w:val="single" w:sz="4" w:space="0" w:color="auto"/>
              <w:left w:val="single" w:sz="4" w:space="0" w:color="auto"/>
              <w:bottom w:val="single" w:sz="4" w:space="0" w:color="auto"/>
              <w:right w:val="single" w:sz="4" w:space="0" w:color="auto"/>
            </w:tcBorders>
            <w:hideMark/>
          </w:tcPr>
          <w:p w14:paraId="3D962F39" w14:textId="6BF60A39" w:rsidR="000972AD" w:rsidRPr="00477247" w:rsidRDefault="000972AD" w:rsidP="00B42E08">
            <w:pPr>
              <w:jc w:val="both"/>
              <w:rPr>
                <w:rFonts w:ascii="Arial" w:hAnsi="Arial" w:cs="Arial"/>
                <w:spacing w:val="-3"/>
                <w:sz w:val="18"/>
                <w:szCs w:val="18"/>
              </w:rPr>
            </w:pPr>
            <w:r w:rsidRPr="00477247">
              <w:rPr>
                <w:rFonts w:ascii="Arial" w:hAnsi="Arial" w:cs="Arial"/>
                <w:spacing w:val="-3"/>
                <w:sz w:val="18"/>
                <w:szCs w:val="18"/>
              </w:rPr>
              <w:t>28/09/2021</w:t>
            </w:r>
          </w:p>
        </w:tc>
        <w:tc>
          <w:tcPr>
            <w:tcW w:w="7568" w:type="dxa"/>
            <w:tcBorders>
              <w:top w:val="single" w:sz="4" w:space="0" w:color="auto"/>
              <w:left w:val="single" w:sz="4" w:space="0" w:color="auto"/>
              <w:bottom w:val="single" w:sz="4" w:space="0" w:color="auto"/>
              <w:right w:val="single" w:sz="4" w:space="0" w:color="auto"/>
            </w:tcBorders>
            <w:hideMark/>
          </w:tcPr>
          <w:p w14:paraId="459E675D" w14:textId="77777777" w:rsidR="000972AD" w:rsidRPr="00477247" w:rsidRDefault="000972AD" w:rsidP="00B42E08">
            <w:pPr>
              <w:jc w:val="both"/>
              <w:rPr>
                <w:rFonts w:ascii="Arial" w:hAnsi="Arial" w:cs="Arial"/>
                <w:spacing w:val="-3"/>
                <w:sz w:val="18"/>
                <w:szCs w:val="18"/>
              </w:rPr>
            </w:pPr>
            <w:r w:rsidRPr="00477247">
              <w:rPr>
                <w:rFonts w:ascii="Arial" w:hAnsi="Arial" w:cs="Arial"/>
                <w:spacing w:val="-3"/>
                <w:sz w:val="18"/>
                <w:szCs w:val="18"/>
              </w:rPr>
              <w:t>Creación de documento</w:t>
            </w:r>
          </w:p>
        </w:tc>
        <w:tc>
          <w:tcPr>
            <w:tcW w:w="826" w:type="dxa"/>
            <w:tcBorders>
              <w:top w:val="single" w:sz="4" w:space="0" w:color="auto"/>
              <w:left w:val="single" w:sz="4" w:space="0" w:color="auto"/>
              <w:bottom w:val="single" w:sz="4" w:space="0" w:color="auto"/>
              <w:right w:val="single" w:sz="4" w:space="0" w:color="auto"/>
            </w:tcBorders>
            <w:hideMark/>
          </w:tcPr>
          <w:p w14:paraId="5F8D6D69" w14:textId="77777777" w:rsidR="000972AD" w:rsidRPr="00477247" w:rsidRDefault="000972AD" w:rsidP="00B42E08">
            <w:pPr>
              <w:jc w:val="right"/>
              <w:rPr>
                <w:rFonts w:ascii="Arial" w:hAnsi="Arial" w:cs="Arial"/>
                <w:spacing w:val="-3"/>
                <w:sz w:val="18"/>
                <w:szCs w:val="18"/>
              </w:rPr>
            </w:pPr>
            <w:r w:rsidRPr="00477247">
              <w:rPr>
                <w:rFonts w:ascii="Arial" w:hAnsi="Arial" w:cs="Arial"/>
                <w:spacing w:val="-3"/>
                <w:sz w:val="18"/>
                <w:szCs w:val="18"/>
              </w:rPr>
              <w:t>01</w:t>
            </w:r>
          </w:p>
        </w:tc>
      </w:tr>
    </w:tbl>
    <w:p w14:paraId="7897844A" w14:textId="77777777" w:rsidR="00A75CBC" w:rsidRPr="00B42E08" w:rsidRDefault="00A75CBC" w:rsidP="00B42E08">
      <w:pPr>
        <w:jc w:val="both"/>
        <w:rPr>
          <w:rFonts w:ascii="Arial" w:hAnsi="Arial" w:cs="Arial"/>
          <w:spacing w:val="-3"/>
          <w:sz w:val="24"/>
          <w:szCs w:val="24"/>
        </w:rPr>
      </w:pPr>
    </w:p>
    <w:p w14:paraId="67BAFDD2" w14:textId="77777777" w:rsidR="003071AA" w:rsidRPr="00B42E08" w:rsidRDefault="003071AA" w:rsidP="00B42E08">
      <w:pPr>
        <w:jc w:val="both"/>
        <w:rPr>
          <w:rFonts w:ascii="Arial" w:hAnsi="Arial" w:cs="Arial"/>
          <w:spacing w:val="-3"/>
          <w:sz w:val="24"/>
          <w:szCs w:val="24"/>
        </w:rPr>
      </w:pPr>
    </w:p>
    <w:sectPr w:rsidR="003071AA" w:rsidRPr="00B42E08" w:rsidSect="00CD730D">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EA09" w14:textId="77777777" w:rsidR="00287CC5" w:rsidRDefault="00287CC5">
      <w:r>
        <w:separator/>
      </w:r>
    </w:p>
  </w:endnote>
  <w:endnote w:type="continuationSeparator" w:id="0">
    <w:p w14:paraId="238099DA" w14:textId="77777777" w:rsidR="00287CC5" w:rsidRDefault="0028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40EE" w14:textId="77777777" w:rsidR="00C72F7F" w:rsidRPr="00C72F7F" w:rsidRDefault="00C72F7F" w:rsidP="00C72F7F">
    <w:pPr>
      <w:pStyle w:val="Piedepgina1"/>
      <w:jc w:val="center"/>
      <w:rPr>
        <w:color w:val="808080"/>
      </w:rPr>
    </w:pPr>
    <w:bookmarkStart w:id="4"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9064" w14:textId="77777777" w:rsidR="00287CC5" w:rsidRDefault="00287CC5">
      <w:r>
        <w:separator/>
      </w:r>
    </w:p>
  </w:footnote>
  <w:footnote w:type="continuationSeparator" w:id="0">
    <w:p w14:paraId="7CC5824A" w14:textId="77777777" w:rsidR="00287CC5" w:rsidRDefault="0028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99" w:type="pct"/>
      <w:tblLook w:val="04A0" w:firstRow="1" w:lastRow="0" w:firstColumn="1" w:lastColumn="0" w:noHBand="0" w:noVBand="1"/>
    </w:tblPr>
    <w:tblGrid>
      <w:gridCol w:w="2346"/>
      <w:gridCol w:w="920"/>
      <w:gridCol w:w="1110"/>
      <w:gridCol w:w="803"/>
      <w:gridCol w:w="305"/>
      <w:gridCol w:w="839"/>
      <w:gridCol w:w="1017"/>
      <w:gridCol w:w="732"/>
      <w:gridCol w:w="1278"/>
    </w:tblGrid>
    <w:tr w:rsidR="00315E49" w:rsidRPr="00287C2C" w14:paraId="2B6EEEDF" w14:textId="77777777" w:rsidTr="00CD730D">
      <w:trPr>
        <w:trHeight w:val="20"/>
      </w:trPr>
      <w:tc>
        <w:tcPr>
          <w:tcW w:w="1162" w:type="pct"/>
          <w:vMerge w:val="restart"/>
          <w:noWrap/>
          <w:vAlign w:val="center"/>
          <w:hideMark/>
        </w:tcPr>
        <w:p w14:paraId="61508323" w14:textId="5994F87C" w:rsidR="00114871" w:rsidRPr="00287C2C" w:rsidRDefault="00E304E9" w:rsidP="00114871">
          <w:pPr>
            <w:rPr>
              <w:rFonts w:ascii="Arial" w:hAnsi="Arial" w:cs="Arial"/>
              <w:sz w:val="16"/>
              <w:szCs w:val="16"/>
            </w:rPr>
          </w:pPr>
          <w:bookmarkStart w:id="3" w:name="_Hlk9596007"/>
          <w:r>
            <w:rPr>
              <w:rFonts w:ascii="Arial Narrow" w:hAnsi="Arial Narrow"/>
              <w:noProof/>
              <w:sz w:val="18"/>
              <w:szCs w:val="18"/>
            </w:rPr>
            <w:drawing>
              <wp:inline distT="0" distB="0" distL="0" distR="0" wp14:anchorId="430D9918" wp14:editId="7BB704B5">
                <wp:extent cx="1351721" cy="266705"/>
                <wp:effectExtent l="0" t="0" r="127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611" cy="278127"/>
                        </a:xfrm>
                        <a:prstGeom prst="rect">
                          <a:avLst/>
                        </a:prstGeom>
                      </pic:spPr>
                    </pic:pic>
                  </a:graphicData>
                </a:graphic>
              </wp:inline>
            </w:drawing>
          </w:r>
        </w:p>
      </w:tc>
      <w:tc>
        <w:tcPr>
          <w:tcW w:w="907" w:type="pct"/>
          <w:gridSpan w:val="2"/>
          <w:noWrap/>
          <w:vAlign w:val="center"/>
          <w:hideMark/>
        </w:tcPr>
        <w:p w14:paraId="68C3B6BF" w14:textId="77777777" w:rsidR="00114871" w:rsidRPr="00287C2C" w:rsidRDefault="00114871" w:rsidP="00114871">
          <w:pPr>
            <w:rPr>
              <w:rFonts w:ascii="Arial" w:hAnsi="Arial" w:cs="Arial"/>
              <w:b/>
              <w:bCs/>
              <w:sz w:val="16"/>
              <w:szCs w:val="16"/>
            </w:rPr>
          </w:pPr>
          <w:r w:rsidRPr="00287C2C">
            <w:rPr>
              <w:rFonts w:ascii="Arial" w:hAnsi="Arial" w:cs="Arial"/>
              <w:b/>
              <w:bCs/>
              <w:sz w:val="16"/>
              <w:szCs w:val="16"/>
            </w:rPr>
            <w:t>PROCESO</w:t>
          </w:r>
        </w:p>
      </w:tc>
      <w:tc>
        <w:tcPr>
          <w:tcW w:w="2930" w:type="pct"/>
          <w:gridSpan w:val="6"/>
          <w:vAlign w:val="center"/>
        </w:tcPr>
        <w:p w14:paraId="37469FD8" w14:textId="77777777" w:rsidR="00114871" w:rsidRPr="00287C2C" w:rsidRDefault="00114871" w:rsidP="00114871">
          <w:pPr>
            <w:rPr>
              <w:rFonts w:ascii="Arial" w:hAnsi="Arial" w:cs="Arial"/>
              <w:b/>
              <w:bCs/>
              <w:sz w:val="16"/>
              <w:szCs w:val="16"/>
            </w:rPr>
          </w:pPr>
          <w:r w:rsidRPr="00287C2C">
            <w:rPr>
              <w:rFonts w:ascii="Arial" w:hAnsi="Arial" w:cs="Arial"/>
              <w:b/>
              <w:bCs/>
              <w:sz w:val="16"/>
              <w:szCs w:val="16"/>
            </w:rPr>
            <w:t>GESTIÓN DE CRÉDITO</w:t>
          </w:r>
        </w:p>
      </w:tc>
    </w:tr>
    <w:tr w:rsidR="00315E49" w:rsidRPr="00287C2C" w14:paraId="6A209BF0" w14:textId="77777777" w:rsidTr="00CD730D">
      <w:trPr>
        <w:trHeight w:val="20"/>
      </w:trPr>
      <w:tc>
        <w:tcPr>
          <w:tcW w:w="1162" w:type="pct"/>
          <w:vMerge/>
          <w:noWrap/>
          <w:vAlign w:val="center"/>
        </w:tcPr>
        <w:p w14:paraId="59CEACD7" w14:textId="77777777" w:rsidR="00114871" w:rsidRPr="00287C2C" w:rsidRDefault="00114871" w:rsidP="00114871">
          <w:pPr>
            <w:rPr>
              <w:rFonts w:ascii="Arial" w:hAnsi="Arial" w:cs="Arial"/>
              <w:noProof/>
              <w:sz w:val="16"/>
              <w:szCs w:val="16"/>
            </w:rPr>
          </w:pPr>
        </w:p>
      </w:tc>
      <w:tc>
        <w:tcPr>
          <w:tcW w:w="907" w:type="pct"/>
          <w:gridSpan w:val="2"/>
          <w:noWrap/>
          <w:vAlign w:val="center"/>
        </w:tcPr>
        <w:p w14:paraId="68C9870D" w14:textId="4B224428" w:rsidR="00114871" w:rsidRPr="00287C2C" w:rsidRDefault="00E304E9" w:rsidP="00114871">
          <w:pPr>
            <w:rPr>
              <w:rFonts w:ascii="Arial" w:hAnsi="Arial" w:cs="Arial"/>
              <w:b/>
              <w:sz w:val="16"/>
              <w:szCs w:val="16"/>
              <w:lang w:eastAsia="en-US"/>
            </w:rPr>
          </w:pPr>
          <w:r>
            <w:rPr>
              <w:rFonts w:ascii="Arial" w:hAnsi="Arial" w:cs="Arial"/>
              <w:b/>
              <w:sz w:val="16"/>
              <w:szCs w:val="16"/>
              <w:lang w:eastAsia="en-US"/>
            </w:rPr>
            <w:t>DOCUMENTO TÉCNICO</w:t>
          </w:r>
        </w:p>
      </w:tc>
      <w:tc>
        <w:tcPr>
          <w:tcW w:w="2930" w:type="pct"/>
          <w:gridSpan w:val="6"/>
          <w:vAlign w:val="center"/>
        </w:tcPr>
        <w:p w14:paraId="164EDA7D" w14:textId="01496C00" w:rsidR="00114871" w:rsidRPr="00287C2C" w:rsidRDefault="00155C96" w:rsidP="00114871">
          <w:pPr>
            <w:rPr>
              <w:rFonts w:ascii="Arial" w:hAnsi="Arial" w:cs="Arial"/>
              <w:b/>
              <w:sz w:val="16"/>
              <w:szCs w:val="16"/>
              <w:lang w:eastAsia="en-US"/>
            </w:rPr>
          </w:pPr>
          <w:r w:rsidRPr="00287C2C">
            <w:rPr>
              <w:rFonts w:ascii="Arial" w:hAnsi="Arial" w:cs="Arial"/>
              <w:b/>
              <w:sz w:val="16"/>
              <w:szCs w:val="16"/>
              <w:lang w:eastAsia="en-US"/>
            </w:rPr>
            <w:t xml:space="preserve">METODOLOGÍA PARA EL CALCULO </w:t>
          </w:r>
          <w:r w:rsidR="00912F9A">
            <w:rPr>
              <w:rFonts w:ascii="Arial" w:hAnsi="Arial" w:cs="Arial"/>
              <w:b/>
              <w:sz w:val="16"/>
              <w:szCs w:val="16"/>
              <w:lang w:eastAsia="en-US"/>
            </w:rPr>
            <w:t xml:space="preserve">VARIABLES EN EL OTORGAMIENTO DE CRÉDITOS </w:t>
          </w:r>
        </w:p>
      </w:tc>
    </w:tr>
    <w:tr w:rsidR="00315E49" w:rsidRPr="00287C2C" w14:paraId="0E0B4A86" w14:textId="77777777" w:rsidTr="00CD730D">
      <w:trPr>
        <w:trHeight w:val="20"/>
      </w:trPr>
      <w:tc>
        <w:tcPr>
          <w:tcW w:w="1162" w:type="pct"/>
          <w:vMerge/>
          <w:vAlign w:val="center"/>
          <w:hideMark/>
        </w:tcPr>
        <w:p w14:paraId="000B3EAD" w14:textId="77777777" w:rsidR="00114871" w:rsidRPr="00287C2C" w:rsidRDefault="00114871" w:rsidP="00114871">
          <w:pPr>
            <w:rPr>
              <w:rFonts w:ascii="Arial" w:hAnsi="Arial" w:cs="Arial"/>
              <w:sz w:val="16"/>
              <w:szCs w:val="16"/>
            </w:rPr>
          </w:pPr>
        </w:p>
      </w:tc>
      <w:tc>
        <w:tcPr>
          <w:tcW w:w="411" w:type="pct"/>
          <w:noWrap/>
          <w:vAlign w:val="center"/>
          <w:hideMark/>
        </w:tcPr>
        <w:p w14:paraId="4A702952"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Código</w:t>
          </w:r>
        </w:p>
      </w:tc>
      <w:tc>
        <w:tcPr>
          <w:tcW w:w="496" w:type="pct"/>
          <w:noWrap/>
          <w:vAlign w:val="center"/>
          <w:hideMark/>
        </w:tcPr>
        <w:p w14:paraId="4BEE0AA7" w14:textId="561DF810" w:rsidR="00114871" w:rsidRPr="00287C2C" w:rsidRDefault="00114871" w:rsidP="00114871">
          <w:pPr>
            <w:rPr>
              <w:rFonts w:ascii="Arial" w:hAnsi="Arial" w:cs="Arial"/>
              <w:b/>
              <w:bCs/>
              <w:sz w:val="16"/>
              <w:szCs w:val="16"/>
            </w:rPr>
          </w:pPr>
          <w:r w:rsidRPr="00287C2C">
            <w:rPr>
              <w:rFonts w:ascii="Arial" w:hAnsi="Arial" w:cs="Arial"/>
              <w:b/>
              <w:sz w:val="16"/>
              <w:szCs w:val="16"/>
              <w:lang w:eastAsia="en-US"/>
            </w:rPr>
            <w:t>CC-</w:t>
          </w:r>
          <w:r w:rsidR="00CD730D" w:rsidRPr="00287C2C">
            <w:rPr>
              <w:rFonts w:ascii="Arial" w:hAnsi="Arial" w:cs="Arial"/>
              <w:b/>
              <w:sz w:val="16"/>
              <w:szCs w:val="16"/>
              <w:lang w:eastAsia="en-US"/>
            </w:rPr>
            <w:t>DT</w:t>
          </w:r>
          <w:r w:rsidRPr="00287C2C">
            <w:rPr>
              <w:rFonts w:ascii="Arial" w:hAnsi="Arial" w:cs="Arial"/>
              <w:b/>
              <w:sz w:val="16"/>
              <w:szCs w:val="16"/>
              <w:lang w:eastAsia="en-US"/>
            </w:rPr>
            <w:t>-1</w:t>
          </w:r>
        </w:p>
      </w:tc>
      <w:tc>
        <w:tcPr>
          <w:tcW w:w="430" w:type="pct"/>
          <w:noWrap/>
          <w:vAlign w:val="center"/>
          <w:hideMark/>
        </w:tcPr>
        <w:p w14:paraId="061B844F"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Versión</w:t>
          </w:r>
        </w:p>
      </w:tc>
      <w:tc>
        <w:tcPr>
          <w:tcW w:w="167" w:type="pct"/>
          <w:noWrap/>
          <w:vAlign w:val="center"/>
          <w:hideMark/>
        </w:tcPr>
        <w:p w14:paraId="68AF83CB" w14:textId="77777777" w:rsidR="00114871" w:rsidRPr="00287C2C" w:rsidRDefault="00C72F7F" w:rsidP="00114871">
          <w:pPr>
            <w:rPr>
              <w:rFonts w:ascii="Arial" w:hAnsi="Arial" w:cs="Arial"/>
              <w:b/>
              <w:sz w:val="16"/>
              <w:szCs w:val="16"/>
            </w:rPr>
          </w:pPr>
          <w:r w:rsidRPr="00287C2C">
            <w:rPr>
              <w:rFonts w:ascii="Arial" w:hAnsi="Arial" w:cs="Arial"/>
              <w:b/>
              <w:sz w:val="16"/>
              <w:szCs w:val="16"/>
            </w:rPr>
            <w:t>1</w:t>
          </w:r>
        </w:p>
      </w:tc>
      <w:tc>
        <w:tcPr>
          <w:tcW w:w="449" w:type="pct"/>
          <w:noWrap/>
          <w:vAlign w:val="center"/>
          <w:hideMark/>
        </w:tcPr>
        <w:p w14:paraId="305FEC52" w14:textId="77777777" w:rsidR="00114871" w:rsidRPr="00287C2C" w:rsidRDefault="00114871" w:rsidP="00114871">
          <w:pPr>
            <w:rPr>
              <w:rFonts w:ascii="Arial" w:hAnsi="Arial" w:cs="Arial"/>
              <w:b/>
              <w:sz w:val="16"/>
              <w:szCs w:val="16"/>
            </w:rPr>
          </w:pPr>
          <w:r w:rsidRPr="00287C2C">
            <w:rPr>
              <w:rFonts w:ascii="Arial" w:hAnsi="Arial" w:cs="Arial"/>
              <w:b/>
              <w:sz w:val="16"/>
              <w:szCs w:val="16"/>
              <w:lang w:eastAsia="en-US"/>
            </w:rPr>
            <w:t>Emisión</w:t>
          </w:r>
        </w:p>
      </w:tc>
      <w:tc>
        <w:tcPr>
          <w:tcW w:w="544" w:type="pct"/>
          <w:noWrap/>
          <w:vAlign w:val="center"/>
          <w:hideMark/>
        </w:tcPr>
        <w:p w14:paraId="6AF9DD01" w14:textId="0A98CA21" w:rsidR="00114871" w:rsidRPr="00287C2C" w:rsidRDefault="00155C96" w:rsidP="00114871">
          <w:pPr>
            <w:rPr>
              <w:rFonts w:ascii="Arial" w:hAnsi="Arial" w:cs="Arial"/>
              <w:b/>
              <w:noProof/>
              <w:sz w:val="16"/>
              <w:szCs w:val="16"/>
              <w:lang w:eastAsia="en-US"/>
            </w:rPr>
          </w:pPr>
          <w:r w:rsidRPr="00287C2C">
            <w:rPr>
              <w:rFonts w:ascii="Arial" w:hAnsi="Arial" w:cs="Arial"/>
              <w:b/>
              <w:noProof/>
              <w:sz w:val="16"/>
              <w:szCs w:val="16"/>
              <w:lang w:eastAsia="en-US"/>
            </w:rPr>
            <w:t>2</w:t>
          </w:r>
          <w:r w:rsidR="00E304E9">
            <w:rPr>
              <w:rFonts w:ascii="Arial" w:hAnsi="Arial" w:cs="Arial"/>
              <w:b/>
              <w:noProof/>
              <w:sz w:val="16"/>
              <w:szCs w:val="16"/>
              <w:lang w:eastAsia="en-US"/>
            </w:rPr>
            <w:t>9</w:t>
          </w:r>
          <w:r w:rsidRPr="00287C2C">
            <w:rPr>
              <w:rFonts w:ascii="Arial" w:hAnsi="Arial" w:cs="Arial"/>
              <w:b/>
              <w:noProof/>
              <w:sz w:val="16"/>
              <w:szCs w:val="16"/>
              <w:lang w:eastAsia="en-US"/>
            </w:rPr>
            <w:t>/09/2021</w:t>
          </w:r>
        </w:p>
      </w:tc>
      <w:tc>
        <w:tcPr>
          <w:tcW w:w="393" w:type="pct"/>
          <w:noWrap/>
          <w:vAlign w:val="center"/>
          <w:hideMark/>
        </w:tcPr>
        <w:p w14:paraId="0EA059B1" w14:textId="77777777" w:rsidR="00114871" w:rsidRPr="00287C2C" w:rsidRDefault="00114871" w:rsidP="00114871">
          <w:pPr>
            <w:rPr>
              <w:rFonts w:ascii="Arial" w:hAnsi="Arial" w:cs="Arial"/>
              <w:b/>
              <w:sz w:val="16"/>
              <w:szCs w:val="16"/>
            </w:rPr>
          </w:pPr>
          <w:r w:rsidRPr="00287C2C">
            <w:rPr>
              <w:rFonts w:ascii="Arial" w:hAnsi="Arial" w:cs="Arial"/>
              <w:b/>
              <w:sz w:val="16"/>
              <w:szCs w:val="16"/>
            </w:rPr>
            <w:t>pagina</w:t>
          </w:r>
        </w:p>
      </w:tc>
      <w:tc>
        <w:tcPr>
          <w:tcW w:w="946" w:type="pct"/>
          <w:noWrap/>
          <w:vAlign w:val="center"/>
          <w:hideMark/>
        </w:tcPr>
        <w:p w14:paraId="389D8530" w14:textId="77777777" w:rsidR="00114871" w:rsidRPr="00287C2C" w:rsidRDefault="00114871" w:rsidP="00114871">
          <w:pPr>
            <w:pStyle w:val="Piedepgina"/>
            <w:rPr>
              <w:rFonts w:ascii="Arial" w:hAnsi="Arial" w:cs="Arial"/>
              <w:b/>
              <w:color w:val="auto"/>
              <w:sz w:val="16"/>
              <w:szCs w:val="16"/>
              <w:lang w:eastAsia="en-US"/>
            </w:rPr>
          </w:pPr>
          <w:r w:rsidRPr="00287C2C">
            <w:rPr>
              <w:rFonts w:ascii="Arial" w:hAnsi="Arial" w:cs="Arial"/>
              <w:b/>
              <w:color w:val="auto"/>
              <w:spacing w:val="-3"/>
              <w:sz w:val="16"/>
              <w:szCs w:val="16"/>
              <w:lang w:val="pt-BR" w:eastAsia="en-US"/>
            </w:rPr>
            <w:t xml:space="preserve"> </w:t>
          </w:r>
          <w:r w:rsidRPr="00287C2C">
            <w:rPr>
              <w:rFonts w:ascii="Arial" w:hAnsi="Arial" w:cs="Arial"/>
              <w:b/>
              <w:color w:val="auto"/>
              <w:spacing w:val="-3"/>
              <w:sz w:val="16"/>
              <w:szCs w:val="16"/>
              <w:lang w:eastAsia="en-US"/>
            </w:rPr>
            <w:fldChar w:fldCharType="begin"/>
          </w:r>
          <w:r w:rsidRPr="00287C2C">
            <w:rPr>
              <w:rFonts w:ascii="Arial" w:hAnsi="Arial" w:cs="Arial"/>
              <w:b/>
              <w:color w:val="auto"/>
              <w:spacing w:val="-3"/>
              <w:sz w:val="16"/>
              <w:szCs w:val="16"/>
              <w:lang w:val="pt-BR" w:eastAsia="en-US"/>
            </w:rPr>
            <w:instrText xml:space="preserve"> PAGE  \* MERGEFORMAT </w:instrText>
          </w:r>
          <w:r w:rsidRPr="00287C2C">
            <w:rPr>
              <w:rFonts w:ascii="Arial" w:hAnsi="Arial" w:cs="Arial"/>
              <w:b/>
              <w:color w:val="auto"/>
              <w:spacing w:val="-3"/>
              <w:sz w:val="16"/>
              <w:szCs w:val="16"/>
              <w:lang w:eastAsia="en-US"/>
            </w:rPr>
            <w:fldChar w:fldCharType="separate"/>
          </w:r>
          <w:r w:rsidRPr="00287C2C">
            <w:rPr>
              <w:rFonts w:ascii="Arial" w:hAnsi="Arial" w:cs="Arial"/>
              <w:b/>
              <w:noProof/>
              <w:color w:val="auto"/>
              <w:spacing w:val="-3"/>
              <w:sz w:val="16"/>
              <w:szCs w:val="16"/>
              <w:lang w:eastAsia="en-US"/>
            </w:rPr>
            <w:t>1</w:t>
          </w:r>
          <w:r w:rsidRPr="00287C2C">
            <w:rPr>
              <w:rFonts w:ascii="Arial" w:hAnsi="Arial" w:cs="Arial"/>
              <w:b/>
              <w:color w:val="auto"/>
              <w:spacing w:val="-3"/>
              <w:sz w:val="16"/>
              <w:szCs w:val="16"/>
              <w:lang w:eastAsia="en-US"/>
            </w:rPr>
            <w:fldChar w:fldCharType="end"/>
          </w:r>
          <w:r w:rsidRPr="00287C2C">
            <w:rPr>
              <w:rFonts w:ascii="Arial" w:hAnsi="Arial" w:cs="Arial"/>
              <w:b/>
              <w:color w:val="auto"/>
              <w:spacing w:val="-3"/>
              <w:sz w:val="16"/>
              <w:szCs w:val="16"/>
              <w:lang w:eastAsia="en-US"/>
            </w:rPr>
            <w:t xml:space="preserve"> de </w:t>
          </w:r>
          <w:r w:rsidRPr="00287C2C">
            <w:rPr>
              <w:rFonts w:ascii="Arial" w:hAnsi="Arial" w:cs="Arial"/>
              <w:b/>
              <w:color w:val="auto"/>
              <w:spacing w:val="-3"/>
              <w:sz w:val="16"/>
              <w:szCs w:val="16"/>
              <w:lang w:eastAsia="en-US"/>
            </w:rPr>
            <w:fldChar w:fldCharType="begin"/>
          </w:r>
          <w:r w:rsidRPr="00287C2C">
            <w:rPr>
              <w:rFonts w:ascii="Arial" w:hAnsi="Arial" w:cs="Arial"/>
              <w:b/>
              <w:color w:val="auto"/>
              <w:spacing w:val="-3"/>
              <w:sz w:val="16"/>
              <w:szCs w:val="16"/>
              <w:lang w:eastAsia="en-US"/>
            </w:rPr>
            <w:instrText xml:space="preserve"> NUMPAGES  \* MERGEFORMAT </w:instrText>
          </w:r>
          <w:r w:rsidRPr="00287C2C">
            <w:rPr>
              <w:rFonts w:ascii="Arial" w:hAnsi="Arial" w:cs="Arial"/>
              <w:b/>
              <w:color w:val="auto"/>
              <w:spacing w:val="-3"/>
              <w:sz w:val="16"/>
              <w:szCs w:val="16"/>
              <w:lang w:eastAsia="en-US"/>
            </w:rPr>
            <w:fldChar w:fldCharType="separate"/>
          </w:r>
          <w:r w:rsidRPr="00287C2C">
            <w:rPr>
              <w:rFonts w:ascii="Arial" w:hAnsi="Arial" w:cs="Arial"/>
              <w:b/>
              <w:noProof/>
              <w:color w:val="auto"/>
              <w:spacing w:val="-3"/>
              <w:sz w:val="16"/>
              <w:szCs w:val="16"/>
              <w:lang w:eastAsia="en-US"/>
            </w:rPr>
            <w:t>13</w:t>
          </w:r>
          <w:r w:rsidRPr="00287C2C">
            <w:rPr>
              <w:rFonts w:ascii="Arial" w:hAnsi="Arial" w:cs="Arial"/>
              <w:b/>
              <w:color w:val="auto"/>
              <w:spacing w:val="-3"/>
              <w:sz w:val="16"/>
              <w:szCs w:val="16"/>
              <w:lang w:eastAsia="en-US"/>
            </w:rPr>
            <w:fldChar w:fldCharType="end"/>
          </w:r>
        </w:p>
      </w:tc>
    </w:tr>
    <w:bookmarkEnd w:id="3"/>
  </w:tbl>
  <w:p w14:paraId="6236A01D" w14:textId="77777777" w:rsidR="00114871" w:rsidRPr="00C47B52" w:rsidRDefault="00114871"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4DCEF"/>
    <w:multiLevelType w:val="hybridMultilevel"/>
    <w:tmpl w:val="D44158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78D43F"/>
    <w:multiLevelType w:val="hybridMultilevel"/>
    <w:tmpl w:val="4F2E6C87"/>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96F1BE"/>
    <w:multiLevelType w:val="hybridMultilevel"/>
    <w:tmpl w:val="BFBF64FD"/>
    <w:lvl w:ilvl="0" w:tplc="FFFFFFFF">
      <w:start w:val="1"/>
      <w:numFmt w:val="lowerLetter"/>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0065740"/>
    <w:multiLevelType w:val="hybridMultilevel"/>
    <w:tmpl w:val="AFAA2C6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0845CD6"/>
    <w:multiLevelType w:val="hybridMultilevel"/>
    <w:tmpl w:val="128F8D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FD0449"/>
    <w:multiLevelType w:val="multilevel"/>
    <w:tmpl w:val="C6A2E47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bullet"/>
      <w:lvlText w:val=""/>
      <w:lvlJc w:val="left"/>
      <w:pPr>
        <w:ind w:left="680" w:hanging="680"/>
      </w:pPr>
      <w:rPr>
        <w:rFonts w:ascii="Symbol" w:hAnsi="Symbol"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8"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0"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2CA57338"/>
    <w:multiLevelType w:val="hybridMultilevel"/>
    <w:tmpl w:val="05A86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A434A0D"/>
    <w:multiLevelType w:val="hybridMultilevel"/>
    <w:tmpl w:val="320C4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B532C8B"/>
    <w:multiLevelType w:val="hybridMultilevel"/>
    <w:tmpl w:val="2FD6A4DC"/>
    <w:lvl w:ilvl="0" w:tplc="7D10539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0" w15:restartNumberingAfterBreak="0">
    <w:nsid w:val="4DC13085"/>
    <w:multiLevelType w:val="hybridMultilevel"/>
    <w:tmpl w:val="31E6B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64ECB39"/>
    <w:multiLevelType w:val="hybridMultilevel"/>
    <w:tmpl w:val="DF91DF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6F53791"/>
    <w:multiLevelType w:val="multilevel"/>
    <w:tmpl w:val="C6A2E47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bullet"/>
      <w:lvlText w:val=""/>
      <w:lvlJc w:val="left"/>
      <w:pPr>
        <w:ind w:left="680" w:hanging="680"/>
      </w:pPr>
      <w:rPr>
        <w:rFonts w:ascii="Symbol" w:hAnsi="Symbol"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072F84"/>
    <w:multiLevelType w:val="hybridMultilevel"/>
    <w:tmpl w:val="48928F92"/>
    <w:lvl w:ilvl="0" w:tplc="7D10539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610204"/>
    <w:multiLevelType w:val="multilevel"/>
    <w:tmpl w:val="F552D5B8"/>
    <w:lvl w:ilvl="0">
      <w:start w:val="1"/>
      <w:numFmt w:val="decimal"/>
      <w:suff w:val="space"/>
      <w:lvlText w:val="%1."/>
      <w:lvlJc w:val="left"/>
      <w:pPr>
        <w:ind w:left="284" w:hanging="284"/>
      </w:pPr>
      <w:rPr>
        <w:rFonts w:hint="default"/>
        <w:b/>
        <w:i w:val="0"/>
      </w:rPr>
    </w:lvl>
    <w:lvl w:ilvl="1">
      <w:start w:val="1"/>
      <w:numFmt w:val="decimal"/>
      <w:suff w:val="space"/>
      <w:lvlText w:val="%1.%2."/>
      <w:lvlJc w:val="left"/>
      <w:pPr>
        <w:ind w:left="454" w:hanging="454"/>
      </w:pPr>
      <w:rPr>
        <w:rFonts w:ascii="Arial" w:hAnsi="Arial" w:cs="Arial" w:hint="default"/>
        <w:b/>
        <w:i w:val="0"/>
        <w:sz w:val="24"/>
        <w:szCs w:val="24"/>
      </w:rPr>
    </w:lvl>
    <w:lvl w:ilvl="2">
      <w:start w:val="1"/>
      <w:numFmt w:val="decimal"/>
      <w:suff w:val="space"/>
      <w:lvlText w:val="%1.%2.%3."/>
      <w:lvlJc w:val="left"/>
      <w:pPr>
        <w:ind w:left="680" w:hanging="680"/>
      </w:pPr>
      <w:rPr>
        <w:rFonts w:hint="default"/>
        <w:b/>
        <w:i w:val="0"/>
        <w:color w:val="auto"/>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1849F9"/>
    <w:multiLevelType w:val="hybridMultilevel"/>
    <w:tmpl w:val="47DAD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36"/>
  </w:num>
  <w:num w:numId="3">
    <w:abstractNumId w:val="37"/>
  </w:num>
  <w:num w:numId="4">
    <w:abstractNumId w:val="9"/>
  </w:num>
  <w:num w:numId="5">
    <w:abstractNumId w:val="38"/>
  </w:num>
  <w:num w:numId="6">
    <w:abstractNumId w:val="35"/>
  </w:num>
  <w:num w:numId="7">
    <w:abstractNumId w:val="22"/>
  </w:num>
  <w:num w:numId="8">
    <w:abstractNumId w:val="31"/>
  </w:num>
  <w:num w:numId="9">
    <w:abstractNumId w:val="46"/>
  </w:num>
  <w:num w:numId="10">
    <w:abstractNumId w:val="40"/>
  </w:num>
  <w:num w:numId="11">
    <w:abstractNumId w:val="41"/>
  </w:num>
  <w:num w:numId="12">
    <w:abstractNumId w:val="12"/>
  </w:num>
  <w:num w:numId="13">
    <w:abstractNumId w:val="44"/>
  </w:num>
  <w:num w:numId="14">
    <w:abstractNumId w:val="24"/>
  </w:num>
  <w:num w:numId="15">
    <w:abstractNumId w:val="32"/>
  </w:num>
  <w:num w:numId="16">
    <w:abstractNumId w:val="43"/>
  </w:num>
  <w:num w:numId="17">
    <w:abstractNumId w:val="16"/>
  </w:num>
  <w:num w:numId="18">
    <w:abstractNumId w:val="13"/>
  </w:num>
  <w:num w:numId="19">
    <w:abstractNumId w:val="8"/>
  </w:num>
  <w:num w:numId="20">
    <w:abstractNumId w:val="21"/>
  </w:num>
  <w:num w:numId="21">
    <w:abstractNumId w:val="15"/>
  </w:num>
  <w:num w:numId="22">
    <w:abstractNumId w:val="18"/>
  </w:num>
  <w:num w:numId="23">
    <w:abstractNumId w:val="7"/>
  </w:num>
  <w:num w:numId="24">
    <w:abstractNumId w:val="19"/>
  </w:num>
  <w:num w:numId="25">
    <w:abstractNumId w:val="14"/>
  </w:num>
  <w:num w:numId="26">
    <w:abstractNumId w:val="29"/>
  </w:num>
  <w:num w:numId="27">
    <w:abstractNumId w:val="10"/>
  </w:num>
  <w:num w:numId="28">
    <w:abstractNumId w:val="28"/>
  </w:num>
  <w:num w:numId="29">
    <w:abstractNumId w:val="11"/>
  </w:num>
  <w:num w:numId="30">
    <w:abstractNumId w:val="20"/>
  </w:num>
  <w:num w:numId="31">
    <w:abstractNumId w:val="17"/>
  </w:num>
  <w:num w:numId="32">
    <w:abstractNumId w:val="42"/>
  </w:num>
  <w:num w:numId="33">
    <w:abstractNumId w:val="5"/>
  </w:num>
  <w:num w:numId="34">
    <w:abstractNumId w:val="2"/>
  </w:num>
  <w:num w:numId="35">
    <w:abstractNumId w:val="1"/>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6"/>
  </w:num>
  <w:num w:numId="39">
    <w:abstractNumId w:val="45"/>
  </w:num>
  <w:num w:numId="40">
    <w:abstractNumId w:val="23"/>
  </w:num>
  <w:num w:numId="41">
    <w:abstractNumId w:val="30"/>
  </w:num>
  <w:num w:numId="42">
    <w:abstractNumId w:val="0"/>
  </w:num>
  <w:num w:numId="43">
    <w:abstractNumId w:val="25"/>
  </w:num>
  <w:num w:numId="44">
    <w:abstractNumId w:val="39"/>
  </w:num>
  <w:num w:numId="45">
    <w:abstractNumId w:val="33"/>
  </w:num>
  <w:num w:numId="46">
    <w:abstractNumId w:val="26"/>
  </w:num>
  <w:num w:numId="47">
    <w:abstractNumId w:val="3"/>
  </w:num>
  <w:num w:numId="4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638"/>
    <w:rsid w:val="00025BCF"/>
    <w:rsid w:val="00025E76"/>
    <w:rsid w:val="000262B1"/>
    <w:rsid w:val="000304DC"/>
    <w:rsid w:val="000307C0"/>
    <w:rsid w:val="00031336"/>
    <w:rsid w:val="00032606"/>
    <w:rsid w:val="00032C07"/>
    <w:rsid w:val="00033046"/>
    <w:rsid w:val="000340A2"/>
    <w:rsid w:val="00034B31"/>
    <w:rsid w:val="00034C42"/>
    <w:rsid w:val="00036719"/>
    <w:rsid w:val="000370E7"/>
    <w:rsid w:val="000411F1"/>
    <w:rsid w:val="00042CF2"/>
    <w:rsid w:val="000433F7"/>
    <w:rsid w:val="00045649"/>
    <w:rsid w:val="000475DF"/>
    <w:rsid w:val="00050DAB"/>
    <w:rsid w:val="00051BB5"/>
    <w:rsid w:val="00052288"/>
    <w:rsid w:val="00054D12"/>
    <w:rsid w:val="00064E3E"/>
    <w:rsid w:val="00064F2F"/>
    <w:rsid w:val="0006577D"/>
    <w:rsid w:val="00066B3B"/>
    <w:rsid w:val="000674C2"/>
    <w:rsid w:val="00067805"/>
    <w:rsid w:val="0007017E"/>
    <w:rsid w:val="00072FDA"/>
    <w:rsid w:val="000732DC"/>
    <w:rsid w:val="000741D5"/>
    <w:rsid w:val="00074C4E"/>
    <w:rsid w:val="000759AC"/>
    <w:rsid w:val="0007795A"/>
    <w:rsid w:val="0008265D"/>
    <w:rsid w:val="00087400"/>
    <w:rsid w:val="000879E7"/>
    <w:rsid w:val="00090739"/>
    <w:rsid w:val="00092435"/>
    <w:rsid w:val="00093A0B"/>
    <w:rsid w:val="000946EA"/>
    <w:rsid w:val="0009556C"/>
    <w:rsid w:val="00095581"/>
    <w:rsid w:val="00095BF7"/>
    <w:rsid w:val="000972AD"/>
    <w:rsid w:val="000974F8"/>
    <w:rsid w:val="00097687"/>
    <w:rsid w:val="00097B60"/>
    <w:rsid w:val="000A04A5"/>
    <w:rsid w:val="000A07F5"/>
    <w:rsid w:val="000A2977"/>
    <w:rsid w:val="000A3727"/>
    <w:rsid w:val="000A527C"/>
    <w:rsid w:val="000A605B"/>
    <w:rsid w:val="000B05A5"/>
    <w:rsid w:val="000B0ECD"/>
    <w:rsid w:val="000B139A"/>
    <w:rsid w:val="000B2FA7"/>
    <w:rsid w:val="000B3387"/>
    <w:rsid w:val="000B36BB"/>
    <w:rsid w:val="000B64E1"/>
    <w:rsid w:val="000B64EA"/>
    <w:rsid w:val="000B69C5"/>
    <w:rsid w:val="000C18CC"/>
    <w:rsid w:val="000C28E4"/>
    <w:rsid w:val="000C2EDC"/>
    <w:rsid w:val="000C3A19"/>
    <w:rsid w:val="000C5AC4"/>
    <w:rsid w:val="000D16F4"/>
    <w:rsid w:val="000D2181"/>
    <w:rsid w:val="000D2859"/>
    <w:rsid w:val="000D3826"/>
    <w:rsid w:val="000D6DAA"/>
    <w:rsid w:val="000E0A17"/>
    <w:rsid w:val="000E4C5F"/>
    <w:rsid w:val="000E6389"/>
    <w:rsid w:val="000E775E"/>
    <w:rsid w:val="000F2B2D"/>
    <w:rsid w:val="000F36F0"/>
    <w:rsid w:val="000F47FC"/>
    <w:rsid w:val="000F5D78"/>
    <w:rsid w:val="000F6FD0"/>
    <w:rsid w:val="000F7310"/>
    <w:rsid w:val="00100B36"/>
    <w:rsid w:val="001017C2"/>
    <w:rsid w:val="00102B04"/>
    <w:rsid w:val="00104985"/>
    <w:rsid w:val="001050AF"/>
    <w:rsid w:val="0010519D"/>
    <w:rsid w:val="00106A19"/>
    <w:rsid w:val="00106AEE"/>
    <w:rsid w:val="00107E48"/>
    <w:rsid w:val="00114119"/>
    <w:rsid w:val="00114871"/>
    <w:rsid w:val="0011524E"/>
    <w:rsid w:val="001159D6"/>
    <w:rsid w:val="00115F04"/>
    <w:rsid w:val="001169CB"/>
    <w:rsid w:val="00120AD0"/>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55C96"/>
    <w:rsid w:val="00156368"/>
    <w:rsid w:val="001639BA"/>
    <w:rsid w:val="00163D34"/>
    <w:rsid w:val="0016458A"/>
    <w:rsid w:val="001647B3"/>
    <w:rsid w:val="00164989"/>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3D55"/>
    <w:rsid w:val="0018566A"/>
    <w:rsid w:val="00185EFE"/>
    <w:rsid w:val="00186341"/>
    <w:rsid w:val="00186610"/>
    <w:rsid w:val="00186848"/>
    <w:rsid w:val="0018695C"/>
    <w:rsid w:val="00186A93"/>
    <w:rsid w:val="00186F5D"/>
    <w:rsid w:val="001878CC"/>
    <w:rsid w:val="0019030F"/>
    <w:rsid w:val="001905FC"/>
    <w:rsid w:val="00190D26"/>
    <w:rsid w:val="0019500F"/>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58C"/>
    <w:rsid w:val="001B599D"/>
    <w:rsid w:val="001B78C5"/>
    <w:rsid w:val="001C0D7B"/>
    <w:rsid w:val="001C0F82"/>
    <w:rsid w:val="001C2727"/>
    <w:rsid w:val="001C2F07"/>
    <w:rsid w:val="001C3713"/>
    <w:rsid w:val="001C4844"/>
    <w:rsid w:val="001C4A29"/>
    <w:rsid w:val="001C5509"/>
    <w:rsid w:val="001C5DD4"/>
    <w:rsid w:val="001C6393"/>
    <w:rsid w:val="001C65BF"/>
    <w:rsid w:val="001C6FB9"/>
    <w:rsid w:val="001C737C"/>
    <w:rsid w:val="001C781D"/>
    <w:rsid w:val="001D0B90"/>
    <w:rsid w:val="001D25BB"/>
    <w:rsid w:val="001D29E6"/>
    <w:rsid w:val="001D2B92"/>
    <w:rsid w:val="001D51DD"/>
    <w:rsid w:val="001D6035"/>
    <w:rsid w:val="001D6907"/>
    <w:rsid w:val="001D73EE"/>
    <w:rsid w:val="001E1697"/>
    <w:rsid w:val="001E2963"/>
    <w:rsid w:val="001E3582"/>
    <w:rsid w:val="001E6341"/>
    <w:rsid w:val="001F0B26"/>
    <w:rsid w:val="001F2981"/>
    <w:rsid w:val="001F35BB"/>
    <w:rsid w:val="001F37DA"/>
    <w:rsid w:val="001F50D8"/>
    <w:rsid w:val="001F57A6"/>
    <w:rsid w:val="001F5F27"/>
    <w:rsid w:val="001F754D"/>
    <w:rsid w:val="001F7EEE"/>
    <w:rsid w:val="001F7F6E"/>
    <w:rsid w:val="00200B5C"/>
    <w:rsid w:val="00204A8F"/>
    <w:rsid w:val="002065D4"/>
    <w:rsid w:val="00206C85"/>
    <w:rsid w:val="00206FED"/>
    <w:rsid w:val="0021112B"/>
    <w:rsid w:val="00214808"/>
    <w:rsid w:val="0021607D"/>
    <w:rsid w:val="002169B9"/>
    <w:rsid w:val="00216F85"/>
    <w:rsid w:val="002179BC"/>
    <w:rsid w:val="00217DCF"/>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38C"/>
    <w:rsid w:val="00246751"/>
    <w:rsid w:val="002469F9"/>
    <w:rsid w:val="00246D3E"/>
    <w:rsid w:val="0024771B"/>
    <w:rsid w:val="00247A01"/>
    <w:rsid w:val="002508C5"/>
    <w:rsid w:val="00250D21"/>
    <w:rsid w:val="00253104"/>
    <w:rsid w:val="0025642B"/>
    <w:rsid w:val="0025738E"/>
    <w:rsid w:val="0025774C"/>
    <w:rsid w:val="00260C18"/>
    <w:rsid w:val="002618BB"/>
    <w:rsid w:val="00263902"/>
    <w:rsid w:val="00264E5C"/>
    <w:rsid w:val="002652ED"/>
    <w:rsid w:val="00270858"/>
    <w:rsid w:val="00270D36"/>
    <w:rsid w:val="002710A8"/>
    <w:rsid w:val="00272D00"/>
    <w:rsid w:val="00273444"/>
    <w:rsid w:val="00275268"/>
    <w:rsid w:val="00276161"/>
    <w:rsid w:val="00280769"/>
    <w:rsid w:val="002809AC"/>
    <w:rsid w:val="00282338"/>
    <w:rsid w:val="00282BF2"/>
    <w:rsid w:val="00283997"/>
    <w:rsid w:val="00283C8A"/>
    <w:rsid w:val="00284C89"/>
    <w:rsid w:val="0028728F"/>
    <w:rsid w:val="00287870"/>
    <w:rsid w:val="00287C2C"/>
    <w:rsid w:val="00287CC5"/>
    <w:rsid w:val="002923BF"/>
    <w:rsid w:val="00292D2A"/>
    <w:rsid w:val="002931D4"/>
    <w:rsid w:val="00293631"/>
    <w:rsid w:val="00293EAC"/>
    <w:rsid w:val="002950B8"/>
    <w:rsid w:val="00295BEE"/>
    <w:rsid w:val="002964DD"/>
    <w:rsid w:val="002967DC"/>
    <w:rsid w:val="00297C1C"/>
    <w:rsid w:val="002A1098"/>
    <w:rsid w:val="002A11C6"/>
    <w:rsid w:val="002A39CF"/>
    <w:rsid w:val="002A3A5F"/>
    <w:rsid w:val="002A3F07"/>
    <w:rsid w:val="002A531C"/>
    <w:rsid w:val="002A54E7"/>
    <w:rsid w:val="002A66C6"/>
    <w:rsid w:val="002B0110"/>
    <w:rsid w:val="002B0503"/>
    <w:rsid w:val="002B4FED"/>
    <w:rsid w:val="002B6005"/>
    <w:rsid w:val="002C0C2F"/>
    <w:rsid w:val="002C3926"/>
    <w:rsid w:val="002C5DD3"/>
    <w:rsid w:val="002D0242"/>
    <w:rsid w:val="002D0A96"/>
    <w:rsid w:val="002D0E0A"/>
    <w:rsid w:val="002D4D45"/>
    <w:rsid w:val="002D6261"/>
    <w:rsid w:val="002D6ADD"/>
    <w:rsid w:val="002D79A6"/>
    <w:rsid w:val="002E0ABF"/>
    <w:rsid w:val="002E2A5E"/>
    <w:rsid w:val="002E5483"/>
    <w:rsid w:val="002E55CE"/>
    <w:rsid w:val="002E5BF9"/>
    <w:rsid w:val="002F10B5"/>
    <w:rsid w:val="002F1E40"/>
    <w:rsid w:val="002F2765"/>
    <w:rsid w:val="002F3DC4"/>
    <w:rsid w:val="002F79DB"/>
    <w:rsid w:val="003007E5"/>
    <w:rsid w:val="00301253"/>
    <w:rsid w:val="00302D58"/>
    <w:rsid w:val="0030413B"/>
    <w:rsid w:val="003071AA"/>
    <w:rsid w:val="003071CF"/>
    <w:rsid w:val="00307AA0"/>
    <w:rsid w:val="00307E2E"/>
    <w:rsid w:val="00311090"/>
    <w:rsid w:val="00311B5C"/>
    <w:rsid w:val="00313D3C"/>
    <w:rsid w:val="0031413D"/>
    <w:rsid w:val="003152CF"/>
    <w:rsid w:val="00315AF7"/>
    <w:rsid w:val="00315E49"/>
    <w:rsid w:val="0031686E"/>
    <w:rsid w:val="00317054"/>
    <w:rsid w:val="00317652"/>
    <w:rsid w:val="003207C6"/>
    <w:rsid w:val="00320DC9"/>
    <w:rsid w:val="00320FDF"/>
    <w:rsid w:val="0032352A"/>
    <w:rsid w:val="00323EF7"/>
    <w:rsid w:val="003273BE"/>
    <w:rsid w:val="003305C1"/>
    <w:rsid w:val="00330E47"/>
    <w:rsid w:val="003315BA"/>
    <w:rsid w:val="00333333"/>
    <w:rsid w:val="0033354B"/>
    <w:rsid w:val="00334C82"/>
    <w:rsid w:val="00334CC8"/>
    <w:rsid w:val="003354DC"/>
    <w:rsid w:val="003361A3"/>
    <w:rsid w:val="00341987"/>
    <w:rsid w:val="0034200A"/>
    <w:rsid w:val="00344286"/>
    <w:rsid w:val="00344E8D"/>
    <w:rsid w:val="00345AF4"/>
    <w:rsid w:val="00346517"/>
    <w:rsid w:val="003468D5"/>
    <w:rsid w:val="00346C0C"/>
    <w:rsid w:val="00346C29"/>
    <w:rsid w:val="00347901"/>
    <w:rsid w:val="00347F08"/>
    <w:rsid w:val="003503CD"/>
    <w:rsid w:val="00351AB1"/>
    <w:rsid w:val="00351AE4"/>
    <w:rsid w:val="0035240D"/>
    <w:rsid w:val="00352CD6"/>
    <w:rsid w:val="00354A71"/>
    <w:rsid w:val="00354FEB"/>
    <w:rsid w:val="003557DF"/>
    <w:rsid w:val="00355EBF"/>
    <w:rsid w:val="00356FDF"/>
    <w:rsid w:val="0036345E"/>
    <w:rsid w:val="00363A13"/>
    <w:rsid w:val="003641C6"/>
    <w:rsid w:val="00364289"/>
    <w:rsid w:val="00366D1D"/>
    <w:rsid w:val="003722E3"/>
    <w:rsid w:val="0037243B"/>
    <w:rsid w:val="00372546"/>
    <w:rsid w:val="0037563B"/>
    <w:rsid w:val="00375BB0"/>
    <w:rsid w:val="00382628"/>
    <w:rsid w:val="0038358A"/>
    <w:rsid w:val="0038621A"/>
    <w:rsid w:val="00390C76"/>
    <w:rsid w:val="003913FC"/>
    <w:rsid w:val="0039238A"/>
    <w:rsid w:val="00394A44"/>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2F28"/>
    <w:rsid w:val="003C395D"/>
    <w:rsid w:val="003C3E5D"/>
    <w:rsid w:val="003C56BE"/>
    <w:rsid w:val="003C5CA8"/>
    <w:rsid w:val="003C60DC"/>
    <w:rsid w:val="003C6212"/>
    <w:rsid w:val="003D0C68"/>
    <w:rsid w:val="003D1707"/>
    <w:rsid w:val="003D25F1"/>
    <w:rsid w:val="003D340D"/>
    <w:rsid w:val="003D431F"/>
    <w:rsid w:val="003D78A3"/>
    <w:rsid w:val="003E14D6"/>
    <w:rsid w:val="003E2C3F"/>
    <w:rsid w:val="003E51A0"/>
    <w:rsid w:val="003E51CF"/>
    <w:rsid w:val="003E64EB"/>
    <w:rsid w:val="003E7B5C"/>
    <w:rsid w:val="003E7DA7"/>
    <w:rsid w:val="003F01B3"/>
    <w:rsid w:val="003F1FF3"/>
    <w:rsid w:val="003F2E84"/>
    <w:rsid w:val="003F77F8"/>
    <w:rsid w:val="00401748"/>
    <w:rsid w:val="00403371"/>
    <w:rsid w:val="00403672"/>
    <w:rsid w:val="004049FD"/>
    <w:rsid w:val="004051DE"/>
    <w:rsid w:val="0040525B"/>
    <w:rsid w:val="00405702"/>
    <w:rsid w:val="004065A5"/>
    <w:rsid w:val="00410738"/>
    <w:rsid w:val="00411656"/>
    <w:rsid w:val="00411A8C"/>
    <w:rsid w:val="00411B37"/>
    <w:rsid w:val="00411FB3"/>
    <w:rsid w:val="004143BE"/>
    <w:rsid w:val="004164A7"/>
    <w:rsid w:val="0041724F"/>
    <w:rsid w:val="00420403"/>
    <w:rsid w:val="0042147F"/>
    <w:rsid w:val="00422D21"/>
    <w:rsid w:val="004235BA"/>
    <w:rsid w:val="00423AA3"/>
    <w:rsid w:val="00426131"/>
    <w:rsid w:val="00426C59"/>
    <w:rsid w:val="00427998"/>
    <w:rsid w:val="00430F5B"/>
    <w:rsid w:val="00433C3B"/>
    <w:rsid w:val="004354C9"/>
    <w:rsid w:val="004356B5"/>
    <w:rsid w:val="00436A80"/>
    <w:rsid w:val="00437B02"/>
    <w:rsid w:val="00437B66"/>
    <w:rsid w:val="004403E8"/>
    <w:rsid w:val="00440774"/>
    <w:rsid w:val="00440DF8"/>
    <w:rsid w:val="0044322F"/>
    <w:rsid w:val="00444464"/>
    <w:rsid w:val="00444885"/>
    <w:rsid w:val="00444DF2"/>
    <w:rsid w:val="00447BF8"/>
    <w:rsid w:val="00452610"/>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45C"/>
    <w:rsid w:val="00473B12"/>
    <w:rsid w:val="00474482"/>
    <w:rsid w:val="004758A0"/>
    <w:rsid w:val="00475CE3"/>
    <w:rsid w:val="00475DDE"/>
    <w:rsid w:val="00476117"/>
    <w:rsid w:val="00476A59"/>
    <w:rsid w:val="00476EED"/>
    <w:rsid w:val="00477247"/>
    <w:rsid w:val="004810C7"/>
    <w:rsid w:val="00481D85"/>
    <w:rsid w:val="00483DBB"/>
    <w:rsid w:val="00484E24"/>
    <w:rsid w:val="004852E5"/>
    <w:rsid w:val="00486D75"/>
    <w:rsid w:val="00491118"/>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5BA0"/>
    <w:rsid w:val="004A6021"/>
    <w:rsid w:val="004A71A4"/>
    <w:rsid w:val="004B158A"/>
    <w:rsid w:val="004B3266"/>
    <w:rsid w:val="004B3BF8"/>
    <w:rsid w:val="004B51AE"/>
    <w:rsid w:val="004B7FD4"/>
    <w:rsid w:val="004C0F5F"/>
    <w:rsid w:val="004C20AE"/>
    <w:rsid w:val="004C2E7D"/>
    <w:rsid w:val="004C680F"/>
    <w:rsid w:val="004C75A9"/>
    <w:rsid w:val="004C7733"/>
    <w:rsid w:val="004C7C03"/>
    <w:rsid w:val="004D06A0"/>
    <w:rsid w:val="004D1665"/>
    <w:rsid w:val="004D402E"/>
    <w:rsid w:val="004D49E0"/>
    <w:rsid w:val="004D5C2D"/>
    <w:rsid w:val="004D76A9"/>
    <w:rsid w:val="004D7756"/>
    <w:rsid w:val="004E0805"/>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3C34"/>
    <w:rsid w:val="00535088"/>
    <w:rsid w:val="00535729"/>
    <w:rsid w:val="00537465"/>
    <w:rsid w:val="00540310"/>
    <w:rsid w:val="005414B8"/>
    <w:rsid w:val="00542FFF"/>
    <w:rsid w:val="00543365"/>
    <w:rsid w:val="00544A6B"/>
    <w:rsid w:val="005460AE"/>
    <w:rsid w:val="00550A46"/>
    <w:rsid w:val="00551779"/>
    <w:rsid w:val="00551CCC"/>
    <w:rsid w:val="0055442D"/>
    <w:rsid w:val="00554790"/>
    <w:rsid w:val="00555E24"/>
    <w:rsid w:val="00556125"/>
    <w:rsid w:val="00556671"/>
    <w:rsid w:val="00557DC5"/>
    <w:rsid w:val="00560E90"/>
    <w:rsid w:val="0056231C"/>
    <w:rsid w:val="005629DC"/>
    <w:rsid w:val="005631CB"/>
    <w:rsid w:val="00567294"/>
    <w:rsid w:val="00567B54"/>
    <w:rsid w:val="005707F7"/>
    <w:rsid w:val="005710B4"/>
    <w:rsid w:val="005722D0"/>
    <w:rsid w:val="0057284D"/>
    <w:rsid w:val="00573E5D"/>
    <w:rsid w:val="0057551E"/>
    <w:rsid w:val="005756BF"/>
    <w:rsid w:val="005776E0"/>
    <w:rsid w:val="005815C5"/>
    <w:rsid w:val="00581A0D"/>
    <w:rsid w:val="005820B0"/>
    <w:rsid w:val="005841AC"/>
    <w:rsid w:val="005855E8"/>
    <w:rsid w:val="00585FC8"/>
    <w:rsid w:val="005861D6"/>
    <w:rsid w:val="00586B10"/>
    <w:rsid w:val="00587557"/>
    <w:rsid w:val="005917D7"/>
    <w:rsid w:val="00591F99"/>
    <w:rsid w:val="005935F6"/>
    <w:rsid w:val="00593909"/>
    <w:rsid w:val="00595BCD"/>
    <w:rsid w:val="005A3B01"/>
    <w:rsid w:val="005A4AAC"/>
    <w:rsid w:val="005A4D35"/>
    <w:rsid w:val="005A58D7"/>
    <w:rsid w:val="005A727D"/>
    <w:rsid w:val="005A7C30"/>
    <w:rsid w:val="005B02CB"/>
    <w:rsid w:val="005B0E12"/>
    <w:rsid w:val="005B0F62"/>
    <w:rsid w:val="005B18F7"/>
    <w:rsid w:val="005B2598"/>
    <w:rsid w:val="005B305D"/>
    <w:rsid w:val="005B6960"/>
    <w:rsid w:val="005B7C07"/>
    <w:rsid w:val="005B7C60"/>
    <w:rsid w:val="005C153C"/>
    <w:rsid w:val="005C211C"/>
    <w:rsid w:val="005C3175"/>
    <w:rsid w:val="005C3EE3"/>
    <w:rsid w:val="005C4375"/>
    <w:rsid w:val="005C4AE2"/>
    <w:rsid w:val="005C4B8A"/>
    <w:rsid w:val="005C515A"/>
    <w:rsid w:val="005C5335"/>
    <w:rsid w:val="005C61FC"/>
    <w:rsid w:val="005D0530"/>
    <w:rsid w:val="005D1DCD"/>
    <w:rsid w:val="005D1E09"/>
    <w:rsid w:val="005D2C0B"/>
    <w:rsid w:val="005D2E04"/>
    <w:rsid w:val="005D6176"/>
    <w:rsid w:val="005D6321"/>
    <w:rsid w:val="005D6FF2"/>
    <w:rsid w:val="005E0E2A"/>
    <w:rsid w:val="005E2A6F"/>
    <w:rsid w:val="005E354F"/>
    <w:rsid w:val="005E3C11"/>
    <w:rsid w:val="005E4026"/>
    <w:rsid w:val="005E416E"/>
    <w:rsid w:val="005E442E"/>
    <w:rsid w:val="005E4CA7"/>
    <w:rsid w:val="005E4CEF"/>
    <w:rsid w:val="005E4E2D"/>
    <w:rsid w:val="005E5B39"/>
    <w:rsid w:val="005E6624"/>
    <w:rsid w:val="005F0CD3"/>
    <w:rsid w:val="005F133B"/>
    <w:rsid w:val="005F2723"/>
    <w:rsid w:val="005F3BE2"/>
    <w:rsid w:val="005F3C95"/>
    <w:rsid w:val="005F4C56"/>
    <w:rsid w:val="005F4CCB"/>
    <w:rsid w:val="005F61E3"/>
    <w:rsid w:val="005F75AB"/>
    <w:rsid w:val="006004E5"/>
    <w:rsid w:val="00600507"/>
    <w:rsid w:val="006014AE"/>
    <w:rsid w:val="0060309A"/>
    <w:rsid w:val="0060428E"/>
    <w:rsid w:val="006045A2"/>
    <w:rsid w:val="00606F6E"/>
    <w:rsid w:val="0061075E"/>
    <w:rsid w:val="00615395"/>
    <w:rsid w:val="00615AB3"/>
    <w:rsid w:val="00617E9F"/>
    <w:rsid w:val="00620328"/>
    <w:rsid w:val="00621132"/>
    <w:rsid w:val="00622908"/>
    <w:rsid w:val="00622BA2"/>
    <w:rsid w:val="00622BC1"/>
    <w:rsid w:val="00623575"/>
    <w:rsid w:val="00623A6C"/>
    <w:rsid w:val="00624D12"/>
    <w:rsid w:val="00626342"/>
    <w:rsid w:val="00626576"/>
    <w:rsid w:val="006269ED"/>
    <w:rsid w:val="00631409"/>
    <w:rsid w:val="00632397"/>
    <w:rsid w:val="00632BFD"/>
    <w:rsid w:val="00633DF7"/>
    <w:rsid w:val="00644744"/>
    <w:rsid w:val="0064520C"/>
    <w:rsid w:val="00647300"/>
    <w:rsid w:val="00647ACF"/>
    <w:rsid w:val="00647FF2"/>
    <w:rsid w:val="006501D9"/>
    <w:rsid w:val="006503C5"/>
    <w:rsid w:val="0065293D"/>
    <w:rsid w:val="00652966"/>
    <w:rsid w:val="006536F7"/>
    <w:rsid w:val="00653A5B"/>
    <w:rsid w:val="00653D35"/>
    <w:rsid w:val="00653E7C"/>
    <w:rsid w:val="0065432C"/>
    <w:rsid w:val="00655C5D"/>
    <w:rsid w:val="006575B2"/>
    <w:rsid w:val="00661484"/>
    <w:rsid w:val="0066232E"/>
    <w:rsid w:val="006641C7"/>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5AAB"/>
    <w:rsid w:val="00686129"/>
    <w:rsid w:val="006914B7"/>
    <w:rsid w:val="00693622"/>
    <w:rsid w:val="006937EF"/>
    <w:rsid w:val="0069452D"/>
    <w:rsid w:val="00694834"/>
    <w:rsid w:val="00694AE5"/>
    <w:rsid w:val="006950F8"/>
    <w:rsid w:val="00695240"/>
    <w:rsid w:val="0069598E"/>
    <w:rsid w:val="00695C23"/>
    <w:rsid w:val="00696A7E"/>
    <w:rsid w:val="00696DB1"/>
    <w:rsid w:val="006A0C47"/>
    <w:rsid w:val="006A12A6"/>
    <w:rsid w:val="006A1D62"/>
    <w:rsid w:val="006A4471"/>
    <w:rsid w:val="006A44D0"/>
    <w:rsid w:val="006A4ED4"/>
    <w:rsid w:val="006A6385"/>
    <w:rsid w:val="006A75EF"/>
    <w:rsid w:val="006B09F5"/>
    <w:rsid w:val="006B144D"/>
    <w:rsid w:val="006B35D5"/>
    <w:rsid w:val="006B3B47"/>
    <w:rsid w:val="006B3D1E"/>
    <w:rsid w:val="006B569A"/>
    <w:rsid w:val="006B60DF"/>
    <w:rsid w:val="006B6881"/>
    <w:rsid w:val="006B767F"/>
    <w:rsid w:val="006C0042"/>
    <w:rsid w:val="006C0B00"/>
    <w:rsid w:val="006C10B4"/>
    <w:rsid w:val="006C1615"/>
    <w:rsid w:val="006C367D"/>
    <w:rsid w:val="006C40D9"/>
    <w:rsid w:val="006C54F2"/>
    <w:rsid w:val="006C65A5"/>
    <w:rsid w:val="006C6E0E"/>
    <w:rsid w:val="006D0BC8"/>
    <w:rsid w:val="006D189A"/>
    <w:rsid w:val="006D2234"/>
    <w:rsid w:val="006D270D"/>
    <w:rsid w:val="006D4BC2"/>
    <w:rsid w:val="006D5EC8"/>
    <w:rsid w:val="006D6F41"/>
    <w:rsid w:val="006D7171"/>
    <w:rsid w:val="006D74D9"/>
    <w:rsid w:val="006E2296"/>
    <w:rsid w:val="006E2764"/>
    <w:rsid w:val="006E4075"/>
    <w:rsid w:val="006E547B"/>
    <w:rsid w:val="006E5E80"/>
    <w:rsid w:val="006E756F"/>
    <w:rsid w:val="006E7671"/>
    <w:rsid w:val="006E7960"/>
    <w:rsid w:val="006E7B48"/>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562C2"/>
    <w:rsid w:val="00756E86"/>
    <w:rsid w:val="0076390A"/>
    <w:rsid w:val="0076414D"/>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120"/>
    <w:rsid w:val="00792942"/>
    <w:rsid w:val="00792A10"/>
    <w:rsid w:val="00796281"/>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1687"/>
    <w:rsid w:val="007C2314"/>
    <w:rsid w:val="007C2AA3"/>
    <w:rsid w:val="007C4430"/>
    <w:rsid w:val="007C454E"/>
    <w:rsid w:val="007C48F1"/>
    <w:rsid w:val="007C5BDB"/>
    <w:rsid w:val="007D06FE"/>
    <w:rsid w:val="007D2ED2"/>
    <w:rsid w:val="007D3219"/>
    <w:rsid w:val="007D35EF"/>
    <w:rsid w:val="007D4450"/>
    <w:rsid w:val="007D590B"/>
    <w:rsid w:val="007D67D4"/>
    <w:rsid w:val="007E0CF3"/>
    <w:rsid w:val="007E21E3"/>
    <w:rsid w:val="007E2FF9"/>
    <w:rsid w:val="007E38C9"/>
    <w:rsid w:val="007E58C6"/>
    <w:rsid w:val="007F035E"/>
    <w:rsid w:val="007F313A"/>
    <w:rsid w:val="007F5146"/>
    <w:rsid w:val="007F5FDB"/>
    <w:rsid w:val="007F7155"/>
    <w:rsid w:val="00803255"/>
    <w:rsid w:val="00803B45"/>
    <w:rsid w:val="008047A7"/>
    <w:rsid w:val="0080519C"/>
    <w:rsid w:val="0080709C"/>
    <w:rsid w:val="00807C12"/>
    <w:rsid w:val="008145DE"/>
    <w:rsid w:val="00815259"/>
    <w:rsid w:val="00816560"/>
    <w:rsid w:val="008177AA"/>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1EC"/>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3F04"/>
    <w:rsid w:val="00864843"/>
    <w:rsid w:val="00865658"/>
    <w:rsid w:val="00865B0C"/>
    <w:rsid w:val="00866BA4"/>
    <w:rsid w:val="00867EBC"/>
    <w:rsid w:val="0087129D"/>
    <w:rsid w:val="008713B8"/>
    <w:rsid w:val="0087199D"/>
    <w:rsid w:val="008727AB"/>
    <w:rsid w:val="00873ABB"/>
    <w:rsid w:val="00874247"/>
    <w:rsid w:val="00874DDE"/>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B21C7"/>
    <w:rsid w:val="008B2D28"/>
    <w:rsid w:val="008B3563"/>
    <w:rsid w:val="008B3922"/>
    <w:rsid w:val="008B3B4E"/>
    <w:rsid w:val="008B3D5F"/>
    <w:rsid w:val="008B3EE2"/>
    <w:rsid w:val="008B68C4"/>
    <w:rsid w:val="008B7A2A"/>
    <w:rsid w:val="008C0421"/>
    <w:rsid w:val="008C0534"/>
    <w:rsid w:val="008C16E5"/>
    <w:rsid w:val="008C1E7D"/>
    <w:rsid w:val="008C2DE4"/>
    <w:rsid w:val="008C352A"/>
    <w:rsid w:val="008C3A23"/>
    <w:rsid w:val="008C4AAF"/>
    <w:rsid w:val="008C589E"/>
    <w:rsid w:val="008C5F25"/>
    <w:rsid w:val="008D09C2"/>
    <w:rsid w:val="008D44E6"/>
    <w:rsid w:val="008D5286"/>
    <w:rsid w:val="008E0509"/>
    <w:rsid w:val="008E3597"/>
    <w:rsid w:val="008E3E5A"/>
    <w:rsid w:val="008E4F1E"/>
    <w:rsid w:val="008E574D"/>
    <w:rsid w:val="008F0B2D"/>
    <w:rsid w:val="008F0B9E"/>
    <w:rsid w:val="008F13C0"/>
    <w:rsid w:val="008F1C08"/>
    <w:rsid w:val="008F1D70"/>
    <w:rsid w:val="008F1ECB"/>
    <w:rsid w:val="008F27A2"/>
    <w:rsid w:val="008F3D5D"/>
    <w:rsid w:val="008F687A"/>
    <w:rsid w:val="008F7470"/>
    <w:rsid w:val="00900771"/>
    <w:rsid w:val="0090110B"/>
    <w:rsid w:val="00901C60"/>
    <w:rsid w:val="00901D5C"/>
    <w:rsid w:val="009023A4"/>
    <w:rsid w:val="009044E6"/>
    <w:rsid w:val="009046B3"/>
    <w:rsid w:val="009049B6"/>
    <w:rsid w:val="00904F10"/>
    <w:rsid w:val="00905492"/>
    <w:rsid w:val="00907B01"/>
    <w:rsid w:val="00907C1F"/>
    <w:rsid w:val="00911134"/>
    <w:rsid w:val="00911B5E"/>
    <w:rsid w:val="00912F9A"/>
    <w:rsid w:val="009139A2"/>
    <w:rsid w:val="00914566"/>
    <w:rsid w:val="00914F36"/>
    <w:rsid w:val="00915780"/>
    <w:rsid w:val="00920635"/>
    <w:rsid w:val="00921AC3"/>
    <w:rsid w:val="00922182"/>
    <w:rsid w:val="00922459"/>
    <w:rsid w:val="00922E17"/>
    <w:rsid w:val="0092336A"/>
    <w:rsid w:val="009238FE"/>
    <w:rsid w:val="00924CA6"/>
    <w:rsid w:val="00925476"/>
    <w:rsid w:val="00936555"/>
    <w:rsid w:val="00936D5E"/>
    <w:rsid w:val="00937B99"/>
    <w:rsid w:val="009402EF"/>
    <w:rsid w:val="009404B1"/>
    <w:rsid w:val="009424BB"/>
    <w:rsid w:val="009430A8"/>
    <w:rsid w:val="00944EFA"/>
    <w:rsid w:val="00945D60"/>
    <w:rsid w:val="0094640A"/>
    <w:rsid w:val="00950E52"/>
    <w:rsid w:val="0095127D"/>
    <w:rsid w:val="00952736"/>
    <w:rsid w:val="00953B54"/>
    <w:rsid w:val="009543C6"/>
    <w:rsid w:val="00954541"/>
    <w:rsid w:val="00954E28"/>
    <w:rsid w:val="009564BF"/>
    <w:rsid w:val="00961220"/>
    <w:rsid w:val="00961575"/>
    <w:rsid w:val="00962C40"/>
    <w:rsid w:val="00962E91"/>
    <w:rsid w:val="00963204"/>
    <w:rsid w:val="0096333A"/>
    <w:rsid w:val="00965EA4"/>
    <w:rsid w:val="00965F05"/>
    <w:rsid w:val="00967ED6"/>
    <w:rsid w:val="00970252"/>
    <w:rsid w:val="00970339"/>
    <w:rsid w:val="009708CB"/>
    <w:rsid w:val="00971280"/>
    <w:rsid w:val="00971DC8"/>
    <w:rsid w:val="00974B83"/>
    <w:rsid w:val="00975125"/>
    <w:rsid w:val="0097566D"/>
    <w:rsid w:val="00977363"/>
    <w:rsid w:val="00977D52"/>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30CF"/>
    <w:rsid w:val="009B3F3F"/>
    <w:rsid w:val="009B45DB"/>
    <w:rsid w:val="009B5F40"/>
    <w:rsid w:val="009B7A08"/>
    <w:rsid w:val="009C2FE4"/>
    <w:rsid w:val="009C3028"/>
    <w:rsid w:val="009C322D"/>
    <w:rsid w:val="009C3701"/>
    <w:rsid w:val="009C7BFD"/>
    <w:rsid w:val="009D05FE"/>
    <w:rsid w:val="009D08A1"/>
    <w:rsid w:val="009D2813"/>
    <w:rsid w:val="009D28B4"/>
    <w:rsid w:val="009D2BF6"/>
    <w:rsid w:val="009D4018"/>
    <w:rsid w:val="009D5073"/>
    <w:rsid w:val="009D6AA4"/>
    <w:rsid w:val="009E09F1"/>
    <w:rsid w:val="009E21A3"/>
    <w:rsid w:val="009E2BEC"/>
    <w:rsid w:val="009E3F12"/>
    <w:rsid w:val="009E426D"/>
    <w:rsid w:val="009E46EB"/>
    <w:rsid w:val="009E5073"/>
    <w:rsid w:val="009E5700"/>
    <w:rsid w:val="009E66D7"/>
    <w:rsid w:val="009E76D5"/>
    <w:rsid w:val="009F0900"/>
    <w:rsid w:val="009F1A18"/>
    <w:rsid w:val="009F49CB"/>
    <w:rsid w:val="009F52FE"/>
    <w:rsid w:val="009F5C9A"/>
    <w:rsid w:val="009F5CAD"/>
    <w:rsid w:val="009F6629"/>
    <w:rsid w:val="00A02F77"/>
    <w:rsid w:val="00A03167"/>
    <w:rsid w:val="00A03B9C"/>
    <w:rsid w:val="00A052E6"/>
    <w:rsid w:val="00A05D39"/>
    <w:rsid w:val="00A065EF"/>
    <w:rsid w:val="00A0765B"/>
    <w:rsid w:val="00A13C28"/>
    <w:rsid w:val="00A140B1"/>
    <w:rsid w:val="00A169D4"/>
    <w:rsid w:val="00A219B0"/>
    <w:rsid w:val="00A24DF4"/>
    <w:rsid w:val="00A25AE6"/>
    <w:rsid w:val="00A267A5"/>
    <w:rsid w:val="00A27944"/>
    <w:rsid w:val="00A31BF7"/>
    <w:rsid w:val="00A32202"/>
    <w:rsid w:val="00A324A4"/>
    <w:rsid w:val="00A34374"/>
    <w:rsid w:val="00A349FC"/>
    <w:rsid w:val="00A3534A"/>
    <w:rsid w:val="00A35DFA"/>
    <w:rsid w:val="00A37798"/>
    <w:rsid w:val="00A37B84"/>
    <w:rsid w:val="00A40276"/>
    <w:rsid w:val="00A417EB"/>
    <w:rsid w:val="00A42203"/>
    <w:rsid w:val="00A45A8E"/>
    <w:rsid w:val="00A46038"/>
    <w:rsid w:val="00A46208"/>
    <w:rsid w:val="00A46FCB"/>
    <w:rsid w:val="00A47875"/>
    <w:rsid w:val="00A5069F"/>
    <w:rsid w:val="00A51D47"/>
    <w:rsid w:val="00A54628"/>
    <w:rsid w:val="00A55B09"/>
    <w:rsid w:val="00A57FD8"/>
    <w:rsid w:val="00A57FDE"/>
    <w:rsid w:val="00A61347"/>
    <w:rsid w:val="00A637E4"/>
    <w:rsid w:val="00A63FCF"/>
    <w:rsid w:val="00A65CF8"/>
    <w:rsid w:val="00A66A56"/>
    <w:rsid w:val="00A66B30"/>
    <w:rsid w:val="00A66BB0"/>
    <w:rsid w:val="00A66EA0"/>
    <w:rsid w:val="00A70C6E"/>
    <w:rsid w:val="00A7101C"/>
    <w:rsid w:val="00A717FE"/>
    <w:rsid w:val="00A71D1F"/>
    <w:rsid w:val="00A73200"/>
    <w:rsid w:val="00A7337A"/>
    <w:rsid w:val="00A7351B"/>
    <w:rsid w:val="00A73A4B"/>
    <w:rsid w:val="00A745ED"/>
    <w:rsid w:val="00A74CF6"/>
    <w:rsid w:val="00A75CBC"/>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171"/>
    <w:rsid w:val="00AA3C9A"/>
    <w:rsid w:val="00AA4343"/>
    <w:rsid w:val="00AA52DD"/>
    <w:rsid w:val="00AB1B21"/>
    <w:rsid w:val="00AB277A"/>
    <w:rsid w:val="00AB2A6D"/>
    <w:rsid w:val="00AB5686"/>
    <w:rsid w:val="00AC2B4E"/>
    <w:rsid w:val="00AC71AB"/>
    <w:rsid w:val="00AD029F"/>
    <w:rsid w:val="00AD25E3"/>
    <w:rsid w:val="00AD3114"/>
    <w:rsid w:val="00AD3BDE"/>
    <w:rsid w:val="00AD4B9C"/>
    <w:rsid w:val="00AD521D"/>
    <w:rsid w:val="00AD5C5E"/>
    <w:rsid w:val="00AD5D7A"/>
    <w:rsid w:val="00AD665C"/>
    <w:rsid w:val="00AD7008"/>
    <w:rsid w:val="00AD79E9"/>
    <w:rsid w:val="00AE0088"/>
    <w:rsid w:val="00AE0A8E"/>
    <w:rsid w:val="00AE14E5"/>
    <w:rsid w:val="00AE1CE7"/>
    <w:rsid w:val="00AE1E22"/>
    <w:rsid w:val="00AE266B"/>
    <w:rsid w:val="00AE2C05"/>
    <w:rsid w:val="00AE353B"/>
    <w:rsid w:val="00AE4B1B"/>
    <w:rsid w:val="00AE5462"/>
    <w:rsid w:val="00AE6C7E"/>
    <w:rsid w:val="00AE6D58"/>
    <w:rsid w:val="00AE79AA"/>
    <w:rsid w:val="00AF2B5B"/>
    <w:rsid w:val="00AF389F"/>
    <w:rsid w:val="00B026B3"/>
    <w:rsid w:val="00B04824"/>
    <w:rsid w:val="00B0533D"/>
    <w:rsid w:val="00B057AD"/>
    <w:rsid w:val="00B06287"/>
    <w:rsid w:val="00B06288"/>
    <w:rsid w:val="00B066A4"/>
    <w:rsid w:val="00B079D4"/>
    <w:rsid w:val="00B11931"/>
    <w:rsid w:val="00B13E23"/>
    <w:rsid w:val="00B144DD"/>
    <w:rsid w:val="00B14B4B"/>
    <w:rsid w:val="00B16BBB"/>
    <w:rsid w:val="00B177C1"/>
    <w:rsid w:val="00B20E95"/>
    <w:rsid w:val="00B22BDA"/>
    <w:rsid w:val="00B23382"/>
    <w:rsid w:val="00B27913"/>
    <w:rsid w:val="00B3198A"/>
    <w:rsid w:val="00B344AD"/>
    <w:rsid w:val="00B3493A"/>
    <w:rsid w:val="00B34FF5"/>
    <w:rsid w:val="00B3705D"/>
    <w:rsid w:val="00B406E4"/>
    <w:rsid w:val="00B412A5"/>
    <w:rsid w:val="00B42E08"/>
    <w:rsid w:val="00B44B63"/>
    <w:rsid w:val="00B51167"/>
    <w:rsid w:val="00B534E1"/>
    <w:rsid w:val="00B53D8D"/>
    <w:rsid w:val="00B53E61"/>
    <w:rsid w:val="00B5417E"/>
    <w:rsid w:val="00B5444C"/>
    <w:rsid w:val="00B55B0A"/>
    <w:rsid w:val="00B5748D"/>
    <w:rsid w:val="00B602CA"/>
    <w:rsid w:val="00B67CAC"/>
    <w:rsid w:val="00B706B5"/>
    <w:rsid w:val="00B72EAA"/>
    <w:rsid w:val="00B7520C"/>
    <w:rsid w:val="00B765D3"/>
    <w:rsid w:val="00B77A5A"/>
    <w:rsid w:val="00B80780"/>
    <w:rsid w:val="00B835D2"/>
    <w:rsid w:val="00B837FC"/>
    <w:rsid w:val="00B83AA1"/>
    <w:rsid w:val="00B84ED2"/>
    <w:rsid w:val="00B85F39"/>
    <w:rsid w:val="00B86331"/>
    <w:rsid w:val="00B87082"/>
    <w:rsid w:val="00B92FCC"/>
    <w:rsid w:val="00B93A53"/>
    <w:rsid w:val="00B957F6"/>
    <w:rsid w:val="00B96052"/>
    <w:rsid w:val="00B960AD"/>
    <w:rsid w:val="00B9714E"/>
    <w:rsid w:val="00B978FE"/>
    <w:rsid w:val="00B97CC9"/>
    <w:rsid w:val="00BA1A56"/>
    <w:rsid w:val="00BA2DD1"/>
    <w:rsid w:val="00BA4273"/>
    <w:rsid w:val="00BA5296"/>
    <w:rsid w:val="00BA76CA"/>
    <w:rsid w:val="00BA7998"/>
    <w:rsid w:val="00BB5187"/>
    <w:rsid w:val="00BB55A6"/>
    <w:rsid w:val="00BC28C2"/>
    <w:rsid w:val="00BC2AD1"/>
    <w:rsid w:val="00BC5A5D"/>
    <w:rsid w:val="00BC625B"/>
    <w:rsid w:val="00BC65D5"/>
    <w:rsid w:val="00BD0D63"/>
    <w:rsid w:val="00BD21F0"/>
    <w:rsid w:val="00BD297A"/>
    <w:rsid w:val="00BD3BF1"/>
    <w:rsid w:val="00BD592E"/>
    <w:rsid w:val="00BD5A53"/>
    <w:rsid w:val="00BD718A"/>
    <w:rsid w:val="00BE03C3"/>
    <w:rsid w:val="00BE2404"/>
    <w:rsid w:val="00BE29CE"/>
    <w:rsid w:val="00BE3547"/>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6CE"/>
    <w:rsid w:val="00C1083E"/>
    <w:rsid w:val="00C10F9B"/>
    <w:rsid w:val="00C1104D"/>
    <w:rsid w:val="00C12B03"/>
    <w:rsid w:val="00C13692"/>
    <w:rsid w:val="00C13F96"/>
    <w:rsid w:val="00C151D7"/>
    <w:rsid w:val="00C155A5"/>
    <w:rsid w:val="00C164FE"/>
    <w:rsid w:val="00C2009D"/>
    <w:rsid w:val="00C20149"/>
    <w:rsid w:val="00C20319"/>
    <w:rsid w:val="00C20F94"/>
    <w:rsid w:val="00C22CAA"/>
    <w:rsid w:val="00C230C1"/>
    <w:rsid w:val="00C2474C"/>
    <w:rsid w:val="00C24BC3"/>
    <w:rsid w:val="00C27548"/>
    <w:rsid w:val="00C30F94"/>
    <w:rsid w:val="00C310FD"/>
    <w:rsid w:val="00C32422"/>
    <w:rsid w:val="00C32C25"/>
    <w:rsid w:val="00C33A46"/>
    <w:rsid w:val="00C34277"/>
    <w:rsid w:val="00C342A2"/>
    <w:rsid w:val="00C34E44"/>
    <w:rsid w:val="00C34EB6"/>
    <w:rsid w:val="00C37418"/>
    <w:rsid w:val="00C408BE"/>
    <w:rsid w:val="00C44688"/>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708D3"/>
    <w:rsid w:val="00C70CD3"/>
    <w:rsid w:val="00C72F7F"/>
    <w:rsid w:val="00C73169"/>
    <w:rsid w:val="00C73CFC"/>
    <w:rsid w:val="00C74550"/>
    <w:rsid w:val="00C74FA8"/>
    <w:rsid w:val="00C77BCA"/>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3139"/>
    <w:rsid w:val="00CA4C0C"/>
    <w:rsid w:val="00CA6E56"/>
    <w:rsid w:val="00CA74A4"/>
    <w:rsid w:val="00CB0C21"/>
    <w:rsid w:val="00CB195C"/>
    <w:rsid w:val="00CC1218"/>
    <w:rsid w:val="00CC1C55"/>
    <w:rsid w:val="00CC2D75"/>
    <w:rsid w:val="00CC367E"/>
    <w:rsid w:val="00CC3CC9"/>
    <w:rsid w:val="00CC3E12"/>
    <w:rsid w:val="00CC5A41"/>
    <w:rsid w:val="00CC612F"/>
    <w:rsid w:val="00CC64F8"/>
    <w:rsid w:val="00CC7528"/>
    <w:rsid w:val="00CD0995"/>
    <w:rsid w:val="00CD0A76"/>
    <w:rsid w:val="00CD1677"/>
    <w:rsid w:val="00CD179A"/>
    <w:rsid w:val="00CD1C0D"/>
    <w:rsid w:val="00CD42C3"/>
    <w:rsid w:val="00CD5600"/>
    <w:rsid w:val="00CD72BF"/>
    <w:rsid w:val="00CD730D"/>
    <w:rsid w:val="00CE1481"/>
    <w:rsid w:val="00CE2C09"/>
    <w:rsid w:val="00CE2F36"/>
    <w:rsid w:val="00CE2FC3"/>
    <w:rsid w:val="00CE3691"/>
    <w:rsid w:val="00CE3AD1"/>
    <w:rsid w:val="00CE65A7"/>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528A"/>
    <w:rsid w:val="00D069D5"/>
    <w:rsid w:val="00D1083F"/>
    <w:rsid w:val="00D11BBC"/>
    <w:rsid w:val="00D15D61"/>
    <w:rsid w:val="00D173AA"/>
    <w:rsid w:val="00D17803"/>
    <w:rsid w:val="00D21632"/>
    <w:rsid w:val="00D21945"/>
    <w:rsid w:val="00D22CB5"/>
    <w:rsid w:val="00D22E0B"/>
    <w:rsid w:val="00D23F26"/>
    <w:rsid w:val="00D24DC7"/>
    <w:rsid w:val="00D319E3"/>
    <w:rsid w:val="00D31A8F"/>
    <w:rsid w:val="00D31D2A"/>
    <w:rsid w:val="00D31F77"/>
    <w:rsid w:val="00D3337B"/>
    <w:rsid w:val="00D34DB8"/>
    <w:rsid w:val="00D35586"/>
    <w:rsid w:val="00D35800"/>
    <w:rsid w:val="00D36C21"/>
    <w:rsid w:val="00D41993"/>
    <w:rsid w:val="00D44123"/>
    <w:rsid w:val="00D445D1"/>
    <w:rsid w:val="00D46471"/>
    <w:rsid w:val="00D46E8B"/>
    <w:rsid w:val="00D50D6E"/>
    <w:rsid w:val="00D50FEC"/>
    <w:rsid w:val="00D524B1"/>
    <w:rsid w:val="00D53110"/>
    <w:rsid w:val="00D53193"/>
    <w:rsid w:val="00D53B7F"/>
    <w:rsid w:val="00D55681"/>
    <w:rsid w:val="00D600D7"/>
    <w:rsid w:val="00D604BE"/>
    <w:rsid w:val="00D60CA9"/>
    <w:rsid w:val="00D61B2B"/>
    <w:rsid w:val="00D62273"/>
    <w:rsid w:val="00D62F9E"/>
    <w:rsid w:val="00D63668"/>
    <w:rsid w:val="00D63C68"/>
    <w:rsid w:val="00D64573"/>
    <w:rsid w:val="00D65357"/>
    <w:rsid w:val="00D66B2D"/>
    <w:rsid w:val="00D676D1"/>
    <w:rsid w:val="00D67C3B"/>
    <w:rsid w:val="00D71634"/>
    <w:rsid w:val="00D732C5"/>
    <w:rsid w:val="00D733D8"/>
    <w:rsid w:val="00D806F7"/>
    <w:rsid w:val="00D83E1F"/>
    <w:rsid w:val="00D87A96"/>
    <w:rsid w:val="00D91ECA"/>
    <w:rsid w:val="00D9394A"/>
    <w:rsid w:val="00D94B3E"/>
    <w:rsid w:val="00D962F0"/>
    <w:rsid w:val="00D9667B"/>
    <w:rsid w:val="00DA0565"/>
    <w:rsid w:val="00DA165E"/>
    <w:rsid w:val="00DA39E0"/>
    <w:rsid w:val="00DA3F28"/>
    <w:rsid w:val="00DA56E6"/>
    <w:rsid w:val="00DA6D7B"/>
    <w:rsid w:val="00DA6E26"/>
    <w:rsid w:val="00DB10E7"/>
    <w:rsid w:val="00DB2F6E"/>
    <w:rsid w:val="00DB3845"/>
    <w:rsid w:val="00DB3D1D"/>
    <w:rsid w:val="00DB4EFF"/>
    <w:rsid w:val="00DB7C50"/>
    <w:rsid w:val="00DC6CD9"/>
    <w:rsid w:val="00DD0D01"/>
    <w:rsid w:val="00DD1218"/>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243"/>
    <w:rsid w:val="00E024A3"/>
    <w:rsid w:val="00E025CC"/>
    <w:rsid w:val="00E028A2"/>
    <w:rsid w:val="00E046BF"/>
    <w:rsid w:val="00E0471F"/>
    <w:rsid w:val="00E04BF5"/>
    <w:rsid w:val="00E05F34"/>
    <w:rsid w:val="00E0657A"/>
    <w:rsid w:val="00E06782"/>
    <w:rsid w:val="00E07A2C"/>
    <w:rsid w:val="00E116C7"/>
    <w:rsid w:val="00E116E9"/>
    <w:rsid w:val="00E143AE"/>
    <w:rsid w:val="00E1559C"/>
    <w:rsid w:val="00E15AC1"/>
    <w:rsid w:val="00E222E2"/>
    <w:rsid w:val="00E223C2"/>
    <w:rsid w:val="00E235B5"/>
    <w:rsid w:val="00E25574"/>
    <w:rsid w:val="00E25905"/>
    <w:rsid w:val="00E2612B"/>
    <w:rsid w:val="00E26FE2"/>
    <w:rsid w:val="00E27BDB"/>
    <w:rsid w:val="00E27F7A"/>
    <w:rsid w:val="00E3010E"/>
    <w:rsid w:val="00E304E9"/>
    <w:rsid w:val="00E308CE"/>
    <w:rsid w:val="00E30AFA"/>
    <w:rsid w:val="00E31178"/>
    <w:rsid w:val="00E31D74"/>
    <w:rsid w:val="00E31EE2"/>
    <w:rsid w:val="00E32094"/>
    <w:rsid w:val="00E33A4E"/>
    <w:rsid w:val="00E34346"/>
    <w:rsid w:val="00E35028"/>
    <w:rsid w:val="00E36A0B"/>
    <w:rsid w:val="00E378D1"/>
    <w:rsid w:val="00E37EA3"/>
    <w:rsid w:val="00E4094E"/>
    <w:rsid w:val="00E4095B"/>
    <w:rsid w:val="00E42E38"/>
    <w:rsid w:val="00E44266"/>
    <w:rsid w:val="00E4694E"/>
    <w:rsid w:val="00E47DBD"/>
    <w:rsid w:val="00E51FB2"/>
    <w:rsid w:val="00E5217E"/>
    <w:rsid w:val="00E52317"/>
    <w:rsid w:val="00E52389"/>
    <w:rsid w:val="00E530DF"/>
    <w:rsid w:val="00E54E45"/>
    <w:rsid w:val="00E56FC8"/>
    <w:rsid w:val="00E6106A"/>
    <w:rsid w:val="00E65298"/>
    <w:rsid w:val="00E655CE"/>
    <w:rsid w:val="00E65F4D"/>
    <w:rsid w:val="00E66FF6"/>
    <w:rsid w:val="00E67D61"/>
    <w:rsid w:val="00E75082"/>
    <w:rsid w:val="00E75D1F"/>
    <w:rsid w:val="00E76130"/>
    <w:rsid w:val="00E76671"/>
    <w:rsid w:val="00E7781E"/>
    <w:rsid w:val="00E77A69"/>
    <w:rsid w:val="00E81016"/>
    <w:rsid w:val="00E8632C"/>
    <w:rsid w:val="00E878E3"/>
    <w:rsid w:val="00E908FB"/>
    <w:rsid w:val="00E909CE"/>
    <w:rsid w:val="00E91343"/>
    <w:rsid w:val="00E914E0"/>
    <w:rsid w:val="00E91DFA"/>
    <w:rsid w:val="00E948A6"/>
    <w:rsid w:val="00EA0E63"/>
    <w:rsid w:val="00EA0EFB"/>
    <w:rsid w:val="00EA22E2"/>
    <w:rsid w:val="00EA4E53"/>
    <w:rsid w:val="00EA5097"/>
    <w:rsid w:val="00EA6487"/>
    <w:rsid w:val="00EA79F9"/>
    <w:rsid w:val="00EB0D5F"/>
    <w:rsid w:val="00EB2AD9"/>
    <w:rsid w:val="00EB40AA"/>
    <w:rsid w:val="00EB435B"/>
    <w:rsid w:val="00EB5EB8"/>
    <w:rsid w:val="00EB685C"/>
    <w:rsid w:val="00EC006C"/>
    <w:rsid w:val="00EC3426"/>
    <w:rsid w:val="00EC4DE7"/>
    <w:rsid w:val="00EC630B"/>
    <w:rsid w:val="00EC7961"/>
    <w:rsid w:val="00ED0D2C"/>
    <w:rsid w:val="00ED54FA"/>
    <w:rsid w:val="00EE0EBF"/>
    <w:rsid w:val="00EE3621"/>
    <w:rsid w:val="00EE390A"/>
    <w:rsid w:val="00EE4446"/>
    <w:rsid w:val="00EE4AA6"/>
    <w:rsid w:val="00EE5786"/>
    <w:rsid w:val="00EE5BFF"/>
    <w:rsid w:val="00EE6AE8"/>
    <w:rsid w:val="00EE6BFD"/>
    <w:rsid w:val="00EF1C5E"/>
    <w:rsid w:val="00EF22BA"/>
    <w:rsid w:val="00EF25BE"/>
    <w:rsid w:val="00EF3579"/>
    <w:rsid w:val="00EF3F62"/>
    <w:rsid w:val="00EF4EDC"/>
    <w:rsid w:val="00EF6098"/>
    <w:rsid w:val="00EF61DD"/>
    <w:rsid w:val="00EF6AC9"/>
    <w:rsid w:val="00EF6F03"/>
    <w:rsid w:val="00F003F2"/>
    <w:rsid w:val="00F02F80"/>
    <w:rsid w:val="00F0392A"/>
    <w:rsid w:val="00F03A97"/>
    <w:rsid w:val="00F044C2"/>
    <w:rsid w:val="00F047C0"/>
    <w:rsid w:val="00F0625E"/>
    <w:rsid w:val="00F10309"/>
    <w:rsid w:val="00F108B9"/>
    <w:rsid w:val="00F114B0"/>
    <w:rsid w:val="00F16ACB"/>
    <w:rsid w:val="00F20D87"/>
    <w:rsid w:val="00F21165"/>
    <w:rsid w:val="00F2171C"/>
    <w:rsid w:val="00F231BC"/>
    <w:rsid w:val="00F23B41"/>
    <w:rsid w:val="00F23E1A"/>
    <w:rsid w:val="00F24389"/>
    <w:rsid w:val="00F2481F"/>
    <w:rsid w:val="00F26561"/>
    <w:rsid w:val="00F27911"/>
    <w:rsid w:val="00F27DDC"/>
    <w:rsid w:val="00F31776"/>
    <w:rsid w:val="00F32F02"/>
    <w:rsid w:val="00F34374"/>
    <w:rsid w:val="00F34ECE"/>
    <w:rsid w:val="00F370C7"/>
    <w:rsid w:val="00F40690"/>
    <w:rsid w:val="00F408F0"/>
    <w:rsid w:val="00F415A6"/>
    <w:rsid w:val="00F41893"/>
    <w:rsid w:val="00F42CD1"/>
    <w:rsid w:val="00F4307C"/>
    <w:rsid w:val="00F43E14"/>
    <w:rsid w:val="00F44672"/>
    <w:rsid w:val="00F45013"/>
    <w:rsid w:val="00F4523F"/>
    <w:rsid w:val="00F45DE2"/>
    <w:rsid w:val="00F50A99"/>
    <w:rsid w:val="00F510E8"/>
    <w:rsid w:val="00F54AA2"/>
    <w:rsid w:val="00F55002"/>
    <w:rsid w:val="00F552C4"/>
    <w:rsid w:val="00F55CA5"/>
    <w:rsid w:val="00F569DB"/>
    <w:rsid w:val="00F57AA2"/>
    <w:rsid w:val="00F6086D"/>
    <w:rsid w:val="00F62421"/>
    <w:rsid w:val="00F62993"/>
    <w:rsid w:val="00F6718F"/>
    <w:rsid w:val="00F67F28"/>
    <w:rsid w:val="00F71298"/>
    <w:rsid w:val="00F71AC7"/>
    <w:rsid w:val="00F72636"/>
    <w:rsid w:val="00F7345D"/>
    <w:rsid w:val="00F73727"/>
    <w:rsid w:val="00F82D9B"/>
    <w:rsid w:val="00F84B75"/>
    <w:rsid w:val="00F84E27"/>
    <w:rsid w:val="00F85769"/>
    <w:rsid w:val="00F864AE"/>
    <w:rsid w:val="00F87344"/>
    <w:rsid w:val="00F90E8C"/>
    <w:rsid w:val="00F9150D"/>
    <w:rsid w:val="00F91972"/>
    <w:rsid w:val="00F93A6A"/>
    <w:rsid w:val="00F94F95"/>
    <w:rsid w:val="00F95AC4"/>
    <w:rsid w:val="00F96E16"/>
    <w:rsid w:val="00F9715E"/>
    <w:rsid w:val="00FA16AE"/>
    <w:rsid w:val="00FA20DF"/>
    <w:rsid w:val="00FA3610"/>
    <w:rsid w:val="00FA5807"/>
    <w:rsid w:val="00FA5EA8"/>
    <w:rsid w:val="00FB0F51"/>
    <w:rsid w:val="00FB157D"/>
    <w:rsid w:val="00FB1D77"/>
    <w:rsid w:val="00FB2D82"/>
    <w:rsid w:val="00FB2EB8"/>
    <w:rsid w:val="00FB2F29"/>
    <w:rsid w:val="00FB48DD"/>
    <w:rsid w:val="00FB743F"/>
    <w:rsid w:val="00FC0855"/>
    <w:rsid w:val="00FC18F7"/>
    <w:rsid w:val="00FC32DE"/>
    <w:rsid w:val="00FC3D2D"/>
    <w:rsid w:val="00FC4AB0"/>
    <w:rsid w:val="00FC6428"/>
    <w:rsid w:val="00FC78BF"/>
    <w:rsid w:val="00FD1B75"/>
    <w:rsid w:val="00FD525E"/>
    <w:rsid w:val="00FD592B"/>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53EA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2E2"/>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19500F"/>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semiHidden/>
    <w:unhideWhenUsed/>
    <w:rsid w:val="004235BA"/>
    <w:rPr>
      <w:sz w:val="16"/>
      <w:szCs w:val="16"/>
    </w:rPr>
  </w:style>
  <w:style w:type="paragraph" w:styleId="Textocomentario">
    <w:name w:val="annotation text"/>
    <w:basedOn w:val="Normal"/>
    <w:link w:val="TextocomentarioCar"/>
    <w:semiHidden/>
    <w:unhideWhenUsed/>
    <w:rsid w:val="004235BA"/>
  </w:style>
  <w:style w:type="character" w:customStyle="1" w:styleId="TextocomentarioCar">
    <w:name w:val="Texto comentario Car"/>
    <w:basedOn w:val="Fuentedeprrafopredeter"/>
    <w:link w:val="Textocomentario"/>
    <w:semiHidden/>
    <w:rsid w:val="004235BA"/>
    <w:rPr>
      <w:lang w:eastAsia="es-ES"/>
    </w:rPr>
  </w:style>
  <w:style w:type="paragraph" w:styleId="Asuntodelcomentario">
    <w:name w:val="annotation subject"/>
    <w:basedOn w:val="Textocomentario"/>
    <w:next w:val="Textocomentario"/>
    <w:link w:val="AsuntodelcomentarioCar"/>
    <w:semiHidden/>
    <w:unhideWhenUsed/>
    <w:rsid w:val="004235BA"/>
    <w:rPr>
      <w:b/>
      <w:bCs/>
    </w:rPr>
  </w:style>
  <w:style w:type="character" w:customStyle="1" w:styleId="AsuntodelcomentarioCar">
    <w:name w:val="Asunto del comentario Car"/>
    <w:basedOn w:val="TextocomentarioCar"/>
    <w:link w:val="Asuntodelcomentario"/>
    <w:semiHidden/>
    <w:rsid w:val="004235BA"/>
    <w:rPr>
      <w:b/>
      <w:bCs/>
      <w:lang w:eastAsia="es-ES"/>
    </w:rPr>
  </w:style>
  <w:style w:type="paragraph" w:customStyle="1" w:styleId="Piedepgina1">
    <w:name w:val="Pie de página1"/>
    <w:basedOn w:val="Normal"/>
    <w:next w:val="Piedepgina"/>
    <w:uiPriority w:val="99"/>
    <w:unhideWhenUsed/>
    <w:rsid w:val="00C72F7F"/>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3519">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15479860">
      <w:bodyDiv w:val="1"/>
      <w:marLeft w:val="0"/>
      <w:marRight w:val="0"/>
      <w:marTop w:val="0"/>
      <w:marBottom w:val="0"/>
      <w:divBdr>
        <w:top w:val="none" w:sz="0" w:space="0" w:color="auto"/>
        <w:left w:val="none" w:sz="0" w:space="0" w:color="auto"/>
        <w:bottom w:val="none" w:sz="0" w:space="0" w:color="auto"/>
        <w:right w:val="none" w:sz="0" w:space="0" w:color="auto"/>
      </w:divBdr>
    </w:div>
    <w:div w:id="848981755">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68633599">
      <w:bodyDiv w:val="1"/>
      <w:marLeft w:val="0"/>
      <w:marRight w:val="0"/>
      <w:marTop w:val="0"/>
      <w:marBottom w:val="0"/>
      <w:divBdr>
        <w:top w:val="none" w:sz="0" w:space="0" w:color="auto"/>
        <w:left w:val="none" w:sz="0" w:space="0" w:color="auto"/>
        <w:bottom w:val="none" w:sz="0" w:space="0" w:color="auto"/>
        <w:right w:val="none" w:sz="0" w:space="0" w:color="auto"/>
      </w:divBdr>
    </w:div>
    <w:div w:id="1039938153">
      <w:bodyDiv w:val="1"/>
      <w:marLeft w:val="0"/>
      <w:marRight w:val="0"/>
      <w:marTop w:val="0"/>
      <w:marBottom w:val="0"/>
      <w:divBdr>
        <w:top w:val="none" w:sz="0" w:space="0" w:color="auto"/>
        <w:left w:val="none" w:sz="0" w:space="0" w:color="auto"/>
        <w:bottom w:val="none" w:sz="0" w:space="0" w:color="auto"/>
        <w:right w:val="none" w:sz="0" w:space="0" w:color="auto"/>
      </w:divBdr>
    </w:div>
    <w:div w:id="1140927579">
      <w:bodyDiv w:val="1"/>
      <w:marLeft w:val="0"/>
      <w:marRight w:val="0"/>
      <w:marTop w:val="0"/>
      <w:marBottom w:val="0"/>
      <w:divBdr>
        <w:top w:val="none" w:sz="0" w:space="0" w:color="auto"/>
        <w:left w:val="none" w:sz="0" w:space="0" w:color="auto"/>
        <w:bottom w:val="none" w:sz="0" w:space="0" w:color="auto"/>
        <w:right w:val="none" w:sz="0" w:space="0" w:color="auto"/>
      </w:divBdr>
    </w:div>
    <w:div w:id="1741321982">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C74D-5429-48F7-A4B9-046D2BE3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4939</Words>
  <Characters>27169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32044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Alexander Izquierdo Arizmendi</cp:lastModifiedBy>
  <cp:revision>49</cp:revision>
  <cp:lastPrinted>2012-08-25T17:05:00Z</cp:lastPrinted>
  <dcterms:created xsi:type="dcterms:W3CDTF">2018-11-28T17:56:00Z</dcterms:created>
  <dcterms:modified xsi:type="dcterms:W3CDTF">2022-02-03T00:47:00Z</dcterms:modified>
</cp:coreProperties>
</file>