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C72F7F" w:rsidRPr="000972AD" w14:paraId="332A9579" w14:textId="77777777" w:rsidTr="000B7B85">
        <w:trPr>
          <w:trHeight w:val="102"/>
        </w:trPr>
        <w:tc>
          <w:tcPr>
            <w:tcW w:w="1610" w:type="pct"/>
            <w:gridSpan w:val="2"/>
            <w:shd w:val="clear" w:color="auto" w:fill="auto"/>
            <w:hideMark/>
          </w:tcPr>
          <w:p w14:paraId="13999A90" w14:textId="77777777" w:rsidR="00C72F7F" w:rsidRPr="000972AD" w:rsidRDefault="00C72F7F" w:rsidP="00D87A96">
            <w:pPr>
              <w:ind w:left="708" w:hanging="708"/>
              <w:jc w:val="both"/>
              <w:rPr>
                <w:rFonts w:ascii="Arial" w:eastAsia="Calibri" w:hAnsi="Arial" w:cs="Arial"/>
                <w:sz w:val="14"/>
                <w:szCs w:val="14"/>
                <w:lang w:eastAsia="en-US"/>
              </w:rPr>
            </w:pPr>
            <w:bookmarkStart w:id="0" w:name="_Hlk54964152"/>
          </w:p>
        </w:tc>
        <w:tc>
          <w:tcPr>
            <w:tcW w:w="1921" w:type="pct"/>
            <w:gridSpan w:val="2"/>
            <w:shd w:val="clear" w:color="auto" w:fill="auto"/>
            <w:hideMark/>
          </w:tcPr>
          <w:p w14:paraId="06CB34FF" w14:textId="77777777" w:rsidR="00C72F7F" w:rsidRPr="000972AD" w:rsidRDefault="00C72F7F" w:rsidP="000B7B85">
            <w:pPr>
              <w:jc w:val="both"/>
              <w:rPr>
                <w:rFonts w:ascii="Arial" w:eastAsia="Calibri" w:hAnsi="Arial" w:cs="Arial"/>
                <w:sz w:val="14"/>
                <w:szCs w:val="14"/>
                <w:lang w:eastAsia="en-US"/>
              </w:rPr>
            </w:pPr>
            <w:r w:rsidRPr="000972AD">
              <w:rPr>
                <w:rFonts w:ascii="Arial" w:eastAsia="Calibri" w:hAnsi="Arial" w:cs="Arial"/>
                <w:b/>
                <w:sz w:val="14"/>
                <w:szCs w:val="14"/>
                <w:lang w:val="es-ES_tradnl"/>
              </w:rPr>
              <w:t xml:space="preserve"> </w:t>
            </w:r>
          </w:p>
        </w:tc>
        <w:tc>
          <w:tcPr>
            <w:tcW w:w="1469" w:type="pct"/>
            <w:gridSpan w:val="2"/>
            <w:shd w:val="clear" w:color="auto" w:fill="auto"/>
            <w:hideMark/>
          </w:tcPr>
          <w:p w14:paraId="3CBCD455" w14:textId="77777777" w:rsidR="00C72F7F" w:rsidRPr="000972AD" w:rsidRDefault="00C72F7F" w:rsidP="000B7B85">
            <w:pPr>
              <w:jc w:val="both"/>
              <w:rPr>
                <w:rFonts w:ascii="Arial" w:eastAsia="Calibri" w:hAnsi="Arial" w:cs="Arial"/>
                <w:b/>
                <w:sz w:val="14"/>
                <w:szCs w:val="14"/>
                <w:lang w:val="es-ES_tradnl"/>
              </w:rPr>
            </w:pPr>
            <w:r w:rsidRPr="000972AD">
              <w:rPr>
                <w:rFonts w:ascii="Arial" w:eastAsia="Calibri" w:hAnsi="Arial" w:cs="Arial"/>
                <w:b/>
                <w:sz w:val="14"/>
                <w:szCs w:val="14"/>
                <w:lang w:val="es-ES_tradnl"/>
              </w:rPr>
              <w:t>Aprobó</w:t>
            </w:r>
            <w:r w:rsidRPr="000972AD">
              <w:rPr>
                <w:rFonts w:ascii="Arial" w:eastAsia="Calibri" w:hAnsi="Arial" w:cs="Arial"/>
                <w:sz w:val="14"/>
                <w:szCs w:val="14"/>
                <w:lang w:val="es-ES_tradnl" w:eastAsia="en-US"/>
              </w:rPr>
              <w:t xml:space="preserve"> </w:t>
            </w:r>
          </w:p>
        </w:tc>
      </w:tr>
      <w:tr w:rsidR="00A7351B" w:rsidRPr="000972AD" w14:paraId="7FE45DE1" w14:textId="77777777" w:rsidTr="000B7B85">
        <w:trPr>
          <w:trHeight w:val="64"/>
        </w:trPr>
        <w:tc>
          <w:tcPr>
            <w:tcW w:w="442" w:type="pct"/>
            <w:shd w:val="clear" w:color="auto" w:fill="auto"/>
            <w:hideMark/>
          </w:tcPr>
          <w:p w14:paraId="03B51F93"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Nombre:</w:t>
            </w:r>
          </w:p>
        </w:tc>
        <w:tc>
          <w:tcPr>
            <w:tcW w:w="1168" w:type="pct"/>
            <w:shd w:val="clear" w:color="auto" w:fill="auto"/>
          </w:tcPr>
          <w:p w14:paraId="5688EAFF" w14:textId="77777777" w:rsidR="00C72F7F" w:rsidRPr="000972AD" w:rsidRDefault="00C72F7F"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Edward Izquierdo Arizmendi</w:t>
            </w:r>
          </w:p>
        </w:tc>
        <w:tc>
          <w:tcPr>
            <w:tcW w:w="444" w:type="pct"/>
            <w:shd w:val="clear" w:color="auto" w:fill="auto"/>
            <w:hideMark/>
          </w:tcPr>
          <w:p w14:paraId="5DAC1300"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Nombre:</w:t>
            </w:r>
          </w:p>
        </w:tc>
        <w:tc>
          <w:tcPr>
            <w:tcW w:w="1477" w:type="pct"/>
            <w:shd w:val="clear" w:color="auto" w:fill="auto"/>
          </w:tcPr>
          <w:p w14:paraId="2D61C317" w14:textId="30364225" w:rsidR="00C72F7F" w:rsidRPr="000972AD" w:rsidRDefault="00CD730D"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Oliver Quimbaya</w:t>
            </w:r>
          </w:p>
        </w:tc>
        <w:tc>
          <w:tcPr>
            <w:tcW w:w="441" w:type="pct"/>
            <w:shd w:val="clear" w:color="auto" w:fill="auto"/>
            <w:hideMark/>
          </w:tcPr>
          <w:p w14:paraId="1A8605E6"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Nombre:</w:t>
            </w:r>
          </w:p>
        </w:tc>
        <w:tc>
          <w:tcPr>
            <w:tcW w:w="1028" w:type="pct"/>
            <w:shd w:val="clear" w:color="auto" w:fill="auto"/>
          </w:tcPr>
          <w:p w14:paraId="229D1968" w14:textId="77777777" w:rsidR="00C72F7F" w:rsidRPr="000972AD" w:rsidRDefault="00C72F7F"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Yolanda Vargas</w:t>
            </w:r>
          </w:p>
        </w:tc>
      </w:tr>
      <w:tr w:rsidR="00A7351B" w:rsidRPr="000972AD" w14:paraId="5B7B007A" w14:textId="77777777" w:rsidTr="000B7B85">
        <w:tc>
          <w:tcPr>
            <w:tcW w:w="442" w:type="pct"/>
            <w:shd w:val="clear" w:color="auto" w:fill="auto"/>
            <w:hideMark/>
          </w:tcPr>
          <w:p w14:paraId="76F27C4B"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Cargo:</w:t>
            </w:r>
          </w:p>
        </w:tc>
        <w:tc>
          <w:tcPr>
            <w:tcW w:w="1168" w:type="pct"/>
            <w:shd w:val="clear" w:color="auto" w:fill="auto"/>
          </w:tcPr>
          <w:p w14:paraId="4F973751" w14:textId="77777777" w:rsidR="00C72F7F" w:rsidRPr="000972AD" w:rsidRDefault="00C72F7F"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Asesor externo de Procesos</w:t>
            </w:r>
          </w:p>
        </w:tc>
        <w:tc>
          <w:tcPr>
            <w:tcW w:w="444" w:type="pct"/>
            <w:shd w:val="clear" w:color="auto" w:fill="auto"/>
            <w:hideMark/>
          </w:tcPr>
          <w:p w14:paraId="7731F1D1"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Cargo:</w:t>
            </w:r>
          </w:p>
        </w:tc>
        <w:tc>
          <w:tcPr>
            <w:tcW w:w="1477" w:type="pct"/>
            <w:shd w:val="clear" w:color="auto" w:fill="auto"/>
          </w:tcPr>
          <w:p w14:paraId="5216E57F" w14:textId="5406C0E2" w:rsidR="00C72F7F" w:rsidRPr="000972AD" w:rsidRDefault="00CD730D"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Asesor de Crédito y Cartera</w:t>
            </w:r>
          </w:p>
        </w:tc>
        <w:tc>
          <w:tcPr>
            <w:tcW w:w="441" w:type="pct"/>
            <w:shd w:val="clear" w:color="auto" w:fill="auto"/>
            <w:hideMark/>
          </w:tcPr>
          <w:p w14:paraId="536F1BAB"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Cargo:</w:t>
            </w:r>
          </w:p>
        </w:tc>
        <w:tc>
          <w:tcPr>
            <w:tcW w:w="1028" w:type="pct"/>
            <w:shd w:val="clear" w:color="auto" w:fill="auto"/>
          </w:tcPr>
          <w:p w14:paraId="6885437D" w14:textId="77777777" w:rsidR="00C72F7F" w:rsidRPr="000972AD" w:rsidRDefault="00C72F7F"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Gerente</w:t>
            </w:r>
          </w:p>
        </w:tc>
      </w:tr>
      <w:tr w:rsidR="00A7351B" w:rsidRPr="000972AD" w14:paraId="5475AFE5" w14:textId="77777777" w:rsidTr="000B7B85">
        <w:tc>
          <w:tcPr>
            <w:tcW w:w="442" w:type="pct"/>
            <w:shd w:val="clear" w:color="auto" w:fill="auto"/>
            <w:hideMark/>
          </w:tcPr>
          <w:p w14:paraId="18CE4202"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Fecha:</w:t>
            </w:r>
          </w:p>
        </w:tc>
        <w:tc>
          <w:tcPr>
            <w:tcW w:w="1168" w:type="pct"/>
            <w:shd w:val="clear" w:color="auto" w:fill="auto"/>
          </w:tcPr>
          <w:p w14:paraId="3BC6F99A" w14:textId="599F68DE" w:rsidR="00C72F7F" w:rsidRPr="000972AD" w:rsidRDefault="00CD730D"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28/09/2021</w:t>
            </w:r>
          </w:p>
        </w:tc>
        <w:tc>
          <w:tcPr>
            <w:tcW w:w="444" w:type="pct"/>
            <w:shd w:val="clear" w:color="auto" w:fill="auto"/>
            <w:hideMark/>
          </w:tcPr>
          <w:p w14:paraId="5B626F99"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Fecha:</w:t>
            </w:r>
          </w:p>
        </w:tc>
        <w:tc>
          <w:tcPr>
            <w:tcW w:w="1477" w:type="pct"/>
            <w:shd w:val="clear" w:color="auto" w:fill="auto"/>
          </w:tcPr>
          <w:p w14:paraId="6A601493" w14:textId="73D5C710" w:rsidR="00C72F7F" w:rsidRPr="000972AD" w:rsidRDefault="00CD730D"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28/09/2021</w:t>
            </w:r>
          </w:p>
        </w:tc>
        <w:tc>
          <w:tcPr>
            <w:tcW w:w="441" w:type="pct"/>
            <w:shd w:val="clear" w:color="auto" w:fill="auto"/>
            <w:hideMark/>
          </w:tcPr>
          <w:p w14:paraId="03023CFF" w14:textId="77777777" w:rsidR="00C72F7F" w:rsidRPr="000972AD" w:rsidRDefault="00C72F7F" w:rsidP="000B7B85">
            <w:pPr>
              <w:jc w:val="both"/>
              <w:rPr>
                <w:rFonts w:ascii="Arial" w:eastAsia="Calibri" w:hAnsi="Arial" w:cs="Arial"/>
                <w:b/>
                <w:sz w:val="14"/>
                <w:szCs w:val="14"/>
                <w:lang w:eastAsia="en-US"/>
              </w:rPr>
            </w:pPr>
            <w:r w:rsidRPr="000972AD">
              <w:rPr>
                <w:rFonts w:ascii="Arial" w:eastAsia="Calibri" w:hAnsi="Arial" w:cs="Arial"/>
                <w:b/>
                <w:sz w:val="14"/>
                <w:szCs w:val="14"/>
                <w:lang w:eastAsia="en-US"/>
              </w:rPr>
              <w:t>Fecha:</w:t>
            </w:r>
          </w:p>
        </w:tc>
        <w:tc>
          <w:tcPr>
            <w:tcW w:w="1028" w:type="pct"/>
            <w:shd w:val="clear" w:color="auto" w:fill="auto"/>
          </w:tcPr>
          <w:p w14:paraId="07EAC434" w14:textId="1CA8C85D" w:rsidR="00C72F7F" w:rsidRPr="000972AD" w:rsidRDefault="00CD730D" w:rsidP="000B7B85">
            <w:pPr>
              <w:jc w:val="both"/>
              <w:rPr>
                <w:rFonts w:ascii="Arial" w:eastAsia="Calibri" w:hAnsi="Arial" w:cs="Arial"/>
                <w:sz w:val="14"/>
                <w:szCs w:val="14"/>
                <w:lang w:eastAsia="en-US"/>
              </w:rPr>
            </w:pPr>
            <w:r w:rsidRPr="000972AD">
              <w:rPr>
                <w:rFonts w:ascii="Arial" w:eastAsia="Calibri" w:hAnsi="Arial" w:cs="Arial"/>
                <w:sz w:val="14"/>
                <w:szCs w:val="14"/>
                <w:lang w:eastAsia="en-US"/>
              </w:rPr>
              <w:t>28/09/2021</w:t>
            </w:r>
          </w:p>
        </w:tc>
      </w:tr>
      <w:bookmarkEnd w:id="0"/>
    </w:tbl>
    <w:p w14:paraId="41E9CD15" w14:textId="77777777" w:rsidR="00C72F7F" w:rsidRPr="003305C1" w:rsidRDefault="00C72F7F" w:rsidP="00EC006C">
      <w:pPr>
        <w:ind w:left="680" w:hanging="680"/>
        <w:jc w:val="both"/>
        <w:rPr>
          <w:rFonts w:ascii="Arial" w:hAnsi="Arial" w:cs="Arial"/>
          <w:sz w:val="24"/>
          <w:szCs w:val="24"/>
        </w:rPr>
      </w:pPr>
    </w:p>
    <w:p w14:paraId="1F1DEBFE" w14:textId="4AE4DC3B" w:rsidR="00430F5B" w:rsidRPr="003305C1" w:rsidRDefault="003071AA" w:rsidP="00287C2C">
      <w:pPr>
        <w:numPr>
          <w:ilvl w:val="0"/>
          <w:numId w:val="32"/>
        </w:numPr>
        <w:jc w:val="both"/>
        <w:rPr>
          <w:rFonts w:ascii="Arial" w:hAnsi="Arial" w:cs="Arial"/>
          <w:b/>
          <w:spacing w:val="-3"/>
          <w:sz w:val="24"/>
          <w:szCs w:val="24"/>
        </w:rPr>
      </w:pPr>
      <w:r w:rsidRPr="003305C1">
        <w:rPr>
          <w:rFonts w:ascii="Arial" w:hAnsi="Arial" w:cs="Arial"/>
          <w:b/>
          <w:spacing w:val="-3"/>
          <w:sz w:val="24"/>
          <w:szCs w:val="24"/>
        </w:rPr>
        <w:t>OBJETIVO</w:t>
      </w:r>
      <w:r w:rsidR="00430F5B" w:rsidRPr="003305C1">
        <w:rPr>
          <w:rFonts w:ascii="Arial" w:hAnsi="Arial" w:cs="Arial"/>
          <w:b/>
          <w:spacing w:val="-3"/>
          <w:sz w:val="24"/>
          <w:szCs w:val="24"/>
        </w:rPr>
        <w:t>.</w:t>
      </w:r>
    </w:p>
    <w:p w14:paraId="48E1A4EA" w14:textId="77777777" w:rsidR="00287C2C" w:rsidRPr="003305C1" w:rsidRDefault="00287C2C" w:rsidP="00287C2C">
      <w:pPr>
        <w:jc w:val="both"/>
        <w:rPr>
          <w:rFonts w:ascii="Arial" w:hAnsi="Arial" w:cs="Arial"/>
          <w:b/>
          <w:spacing w:val="-3"/>
          <w:sz w:val="24"/>
          <w:szCs w:val="24"/>
        </w:rPr>
      </w:pPr>
    </w:p>
    <w:p w14:paraId="62D60B66" w14:textId="05972770" w:rsidR="003071AA" w:rsidRPr="003305C1" w:rsidRDefault="00287C2C" w:rsidP="00EC006C">
      <w:pPr>
        <w:tabs>
          <w:tab w:val="left" w:pos="-720"/>
        </w:tabs>
        <w:suppressAutoHyphens/>
        <w:jc w:val="both"/>
        <w:rPr>
          <w:rFonts w:ascii="Arial" w:hAnsi="Arial" w:cs="Arial"/>
          <w:spacing w:val="-3"/>
          <w:sz w:val="24"/>
          <w:szCs w:val="24"/>
          <w:lang w:val="es-MX" w:eastAsia="es-MX"/>
        </w:rPr>
      </w:pPr>
      <w:r w:rsidRPr="003305C1">
        <w:rPr>
          <w:rFonts w:ascii="Arial" w:hAnsi="Arial" w:cs="Arial"/>
          <w:spacing w:val="-3"/>
          <w:sz w:val="24"/>
          <w:szCs w:val="24"/>
          <w:lang w:val="es-MX" w:eastAsia="es-MX"/>
        </w:rPr>
        <w:t>El presente instrumento direcciona el cumplimiento de la política establecida en el reglamento SARC y facilita la comprensión de las condiciones, requisitos y características de las diferentes modalidades de crédito gracias a su información precisa y estructurada. Este documento es una herramienta fundamental para el buen desarrollo del SARC, especialmente para todos los funcionarios que se encuentran inherentes al proceso de otorgamiento de crédito.</w:t>
      </w:r>
    </w:p>
    <w:p w14:paraId="4831FDD9" w14:textId="77777777" w:rsidR="00287C2C" w:rsidRPr="003305C1" w:rsidRDefault="00287C2C" w:rsidP="00EC006C">
      <w:pPr>
        <w:tabs>
          <w:tab w:val="left" w:pos="-720"/>
        </w:tabs>
        <w:suppressAutoHyphens/>
        <w:jc w:val="both"/>
        <w:rPr>
          <w:rFonts w:ascii="Arial" w:hAnsi="Arial" w:cs="Arial"/>
          <w:spacing w:val="-3"/>
          <w:sz w:val="24"/>
          <w:szCs w:val="24"/>
        </w:rPr>
      </w:pPr>
    </w:p>
    <w:p w14:paraId="4880317B" w14:textId="77777777" w:rsidR="003071AA" w:rsidRPr="003305C1" w:rsidRDefault="00CE2FC3" w:rsidP="00EC006C">
      <w:pPr>
        <w:numPr>
          <w:ilvl w:val="0"/>
          <w:numId w:val="32"/>
        </w:numPr>
        <w:jc w:val="both"/>
        <w:rPr>
          <w:rFonts w:ascii="Arial" w:hAnsi="Arial" w:cs="Arial"/>
          <w:b/>
          <w:spacing w:val="-3"/>
          <w:sz w:val="24"/>
          <w:szCs w:val="24"/>
        </w:rPr>
      </w:pPr>
      <w:r w:rsidRPr="003305C1">
        <w:rPr>
          <w:rFonts w:ascii="Arial" w:hAnsi="Arial" w:cs="Arial"/>
          <w:b/>
          <w:spacing w:val="-3"/>
          <w:sz w:val="24"/>
          <w:szCs w:val="24"/>
        </w:rPr>
        <w:t>APLICA.</w:t>
      </w:r>
    </w:p>
    <w:p w14:paraId="78F704F6" w14:textId="77777777" w:rsidR="000C5AC4" w:rsidRPr="003305C1" w:rsidRDefault="000C5AC4" w:rsidP="00EC006C">
      <w:pPr>
        <w:jc w:val="both"/>
        <w:rPr>
          <w:rFonts w:ascii="Arial" w:hAnsi="Arial" w:cs="Arial"/>
          <w:b/>
          <w:spacing w:val="-3"/>
          <w:sz w:val="24"/>
          <w:szCs w:val="24"/>
        </w:rPr>
      </w:pPr>
    </w:p>
    <w:p w14:paraId="34E8F753" w14:textId="11D4AC53" w:rsidR="003071AA" w:rsidRPr="003305C1" w:rsidRDefault="00287C2C" w:rsidP="00EC006C">
      <w:pPr>
        <w:tabs>
          <w:tab w:val="left" w:pos="-720"/>
        </w:tabs>
        <w:suppressAutoHyphens/>
        <w:jc w:val="both"/>
        <w:rPr>
          <w:rFonts w:ascii="Arial" w:hAnsi="Arial" w:cs="Arial"/>
          <w:spacing w:val="-3"/>
          <w:sz w:val="24"/>
          <w:szCs w:val="24"/>
        </w:rPr>
      </w:pPr>
      <w:r w:rsidRPr="003305C1">
        <w:rPr>
          <w:rFonts w:ascii="Arial" w:hAnsi="Arial" w:cs="Arial"/>
          <w:spacing w:val="-3"/>
          <w:sz w:val="24"/>
          <w:szCs w:val="24"/>
        </w:rPr>
        <w:t>Estandarizar y determinar los lineamientos y directrices en el otorgamiento de crédito, aplica a todos los funcionarios que intervienen en el proceso de otorgamiento de crédito por lo cual deben guiarse, acogerse y regirse a lo definido en este documento.</w:t>
      </w:r>
    </w:p>
    <w:p w14:paraId="6BE246D4" w14:textId="77777777" w:rsidR="00287C2C" w:rsidRPr="003305C1" w:rsidRDefault="00287C2C" w:rsidP="00EC006C">
      <w:pPr>
        <w:tabs>
          <w:tab w:val="left" w:pos="-720"/>
        </w:tabs>
        <w:suppressAutoHyphens/>
        <w:jc w:val="both"/>
        <w:rPr>
          <w:rFonts w:ascii="Arial" w:hAnsi="Arial" w:cs="Arial"/>
          <w:spacing w:val="-3"/>
          <w:sz w:val="24"/>
          <w:szCs w:val="24"/>
        </w:rPr>
      </w:pPr>
    </w:p>
    <w:p w14:paraId="6864FA46" w14:textId="77777777" w:rsidR="00863F04" w:rsidRPr="003305C1" w:rsidRDefault="00863F04" w:rsidP="00863F04">
      <w:pPr>
        <w:numPr>
          <w:ilvl w:val="0"/>
          <w:numId w:val="32"/>
        </w:numPr>
        <w:jc w:val="both"/>
        <w:rPr>
          <w:rFonts w:ascii="Arial" w:hAnsi="Arial" w:cs="Arial"/>
          <w:spacing w:val="-3"/>
          <w:sz w:val="24"/>
          <w:szCs w:val="24"/>
        </w:rPr>
      </w:pPr>
      <w:r w:rsidRPr="003305C1">
        <w:rPr>
          <w:rFonts w:ascii="Arial" w:hAnsi="Arial" w:cs="Arial"/>
          <w:b/>
          <w:spacing w:val="-3"/>
          <w:sz w:val="24"/>
          <w:szCs w:val="24"/>
        </w:rPr>
        <w:t>NORMATIVIDAD.</w:t>
      </w:r>
    </w:p>
    <w:p w14:paraId="04E24871" w14:textId="77777777" w:rsidR="00863F04" w:rsidRPr="003305C1" w:rsidRDefault="00863F04" w:rsidP="00863F04">
      <w:pPr>
        <w:jc w:val="both"/>
        <w:rPr>
          <w:rFonts w:ascii="Arial" w:hAnsi="Arial" w:cs="Arial"/>
          <w:spacing w:val="-3"/>
          <w:sz w:val="24"/>
          <w:szCs w:val="24"/>
        </w:rPr>
      </w:pPr>
    </w:p>
    <w:p w14:paraId="79C5F790" w14:textId="0DB4E43F" w:rsidR="00863F04" w:rsidRPr="003305C1" w:rsidRDefault="00863F04" w:rsidP="00863F04">
      <w:pPr>
        <w:pStyle w:val="Prrafodelista"/>
        <w:numPr>
          <w:ilvl w:val="1"/>
          <w:numId w:val="32"/>
        </w:numPr>
        <w:rPr>
          <w:rFonts w:ascii="Arial" w:hAnsi="Arial" w:cs="Arial"/>
          <w:spacing w:val="-3"/>
          <w:sz w:val="24"/>
          <w:szCs w:val="24"/>
        </w:rPr>
      </w:pPr>
      <w:r w:rsidRPr="003305C1">
        <w:rPr>
          <w:rFonts w:ascii="Arial" w:hAnsi="Arial" w:cs="Arial"/>
          <w:b/>
          <w:spacing w:val="-3"/>
          <w:sz w:val="24"/>
          <w:szCs w:val="24"/>
        </w:rPr>
        <w:t>INTERNA.</w:t>
      </w:r>
    </w:p>
    <w:p w14:paraId="3AB74660" w14:textId="77777777" w:rsidR="00863F04" w:rsidRPr="003305C1" w:rsidRDefault="00863F04" w:rsidP="00863F04">
      <w:pPr>
        <w:pStyle w:val="Prrafodelista"/>
        <w:numPr>
          <w:ilvl w:val="2"/>
          <w:numId w:val="32"/>
        </w:numPr>
        <w:rPr>
          <w:rFonts w:ascii="Arial" w:hAnsi="Arial" w:cs="Arial"/>
          <w:spacing w:val="-3"/>
          <w:sz w:val="24"/>
          <w:szCs w:val="24"/>
        </w:rPr>
      </w:pPr>
      <w:r w:rsidRPr="003305C1">
        <w:rPr>
          <w:rFonts w:ascii="Arial" w:hAnsi="Arial" w:cs="Arial"/>
          <w:spacing w:val="-3"/>
          <w:sz w:val="24"/>
          <w:szCs w:val="24"/>
        </w:rPr>
        <w:t>Reglamento SARC</w:t>
      </w:r>
    </w:p>
    <w:p w14:paraId="24139C7B" w14:textId="77777777" w:rsidR="00863F04" w:rsidRPr="003305C1" w:rsidRDefault="00863F04" w:rsidP="00863F04">
      <w:pPr>
        <w:rPr>
          <w:rFonts w:ascii="Arial" w:hAnsi="Arial" w:cs="Arial"/>
          <w:spacing w:val="-3"/>
          <w:sz w:val="24"/>
          <w:szCs w:val="24"/>
        </w:rPr>
      </w:pPr>
    </w:p>
    <w:p w14:paraId="47951A55" w14:textId="4FF49D97" w:rsidR="00C72F7F" w:rsidRPr="003305C1" w:rsidRDefault="00863F04" w:rsidP="00C72F7F">
      <w:pPr>
        <w:pStyle w:val="Prrafodelista"/>
        <w:numPr>
          <w:ilvl w:val="1"/>
          <w:numId w:val="32"/>
        </w:numPr>
        <w:rPr>
          <w:rFonts w:ascii="Arial" w:hAnsi="Arial" w:cs="Arial"/>
          <w:spacing w:val="-3"/>
          <w:sz w:val="24"/>
          <w:szCs w:val="24"/>
        </w:rPr>
      </w:pPr>
      <w:r w:rsidRPr="003305C1">
        <w:rPr>
          <w:rFonts w:ascii="Arial" w:hAnsi="Arial" w:cs="Arial"/>
          <w:b/>
          <w:spacing w:val="-3"/>
          <w:sz w:val="24"/>
          <w:szCs w:val="24"/>
        </w:rPr>
        <w:t>EXTERNA.</w:t>
      </w:r>
    </w:p>
    <w:p w14:paraId="3E2002A6" w14:textId="77777777" w:rsidR="00863F04" w:rsidRPr="003305C1" w:rsidRDefault="00863F04" w:rsidP="00863F04">
      <w:pPr>
        <w:pStyle w:val="Prrafodelista"/>
        <w:numPr>
          <w:ilvl w:val="2"/>
          <w:numId w:val="32"/>
        </w:numPr>
        <w:rPr>
          <w:rFonts w:ascii="Arial" w:hAnsi="Arial" w:cs="Arial"/>
          <w:b/>
          <w:spacing w:val="-3"/>
          <w:sz w:val="24"/>
          <w:szCs w:val="24"/>
        </w:rPr>
      </w:pPr>
      <w:r w:rsidRPr="003305C1">
        <w:rPr>
          <w:rFonts w:ascii="Arial" w:hAnsi="Arial" w:cs="Arial"/>
          <w:b/>
          <w:spacing w:val="-3"/>
          <w:sz w:val="24"/>
          <w:szCs w:val="24"/>
        </w:rPr>
        <w:t>N/A.</w:t>
      </w:r>
    </w:p>
    <w:p w14:paraId="6D1276FD" w14:textId="77777777" w:rsidR="00863F04" w:rsidRPr="003305C1" w:rsidRDefault="00863F04" w:rsidP="00863F04">
      <w:pPr>
        <w:rPr>
          <w:rFonts w:ascii="Arial" w:hAnsi="Arial" w:cs="Arial"/>
          <w:b/>
          <w:spacing w:val="-3"/>
          <w:sz w:val="24"/>
          <w:szCs w:val="24"/>
        </w:rPr>
      </w:pPr>
    </w:p>
    <w:p w14:paraId="786BBC32" w14:textId="77777777" w:rsidR="003071AA" w:rsidRPr="003305C1" w:rsidRDefault="003071AA" w:rsidP="00EC006C">
      <w:pPr>
        <w:numPr>
          <w:ilvl w:val="0"/>
          <w:numId w:val="32"/>
        </w:numPr>
        <w:jc w:val="both"/>
        <w:rPr>
          <w:rFonts w:ascii="Arial" w:hAnsi="Arial" w:cs="Arial"/>
          <w:b/>
          <w:spacing w:val="-3"/>
          <w:sz w:val="24"/>
          <w:szCs w:val="24"/>
        </w:rPr>
      </w:pPr>
      <w:r w:rsidRPr="003305C1">
        <w:rPr>
          <w:rFonts w:ascii="Arial" w:hAnsi="Arial" w:cs="Arial"/>
          <w:b/>
          <w:spacing w:val="-3"/>
          <w:sz w:val="24"/>
          <w:szCs w:val="24"/>
        </w:rPr>
        <w:t>DEFINICIONES</w:t>
      </w:r>
      <w:r w:rsidR="002D0E0A" w:rsidRPr="003305C1">
        <w:rPr>
          <w:rFonts w:ascii="Arial" w:hAnsi="Arial" w:cs="Arial"/>
          <w:b/>
          <w:spacing w:val="-3"/>
          <w:sz w:val="24"/>
          <w:szCs w:val="24"/>
        </w:rPr>
        <w:t>.</w:t>
      </w:r>
    </w:p>
    <w:p w14:paraId="581FC6C5" w14:textId="77777777" w:rsidR="0019500F" w:rsidRPr="003305C1" w:rsidRDefault="0019500F" w:rsidP="00EC006C">
      <w:pPr>
        <w:ind w:left="680"/>
        <w:jc w:val="both"/>
        <w:rPr>
          <w:rFonts w:ascii="Arial" w:hAnsi="Arial" w:cs="Arial"/>
          <w:b/>
          <w:spacing w:val="-3"/>
          <w:sz w:val="24"/>
          <w:szCs w:val="24"/>
        </w:rPr>
      </w:pPr>
    </w:p>
    <w:p w14:paraId="3B807AEB" w14:textId="7CAD7029" w:rsidR="00C12B03" w:rsidRPr="003305C1" w:rsidRDefault="00F41893" w:rsidP="000C3A19">
      <w:pPr>
        <w:numPr>
          <w:ilvl w:val="1"/>
          <w:numId w:val="32"/>
        </w:numPr>
        <w:jc w:val="both"/>
        <w:rPr>
          <w:rFonts w:ascii="Arial" w:hAnsi="Arial" w:cs="Arial"/>
          <w:bCs/>
          <w:spacing w:val="-3"/>
          <w:sz w:val="24"/>
          <w:szCs w:val="24"/>
        </w:rPr>
      </w:pPr>
      <w:r w:rsidRPr="003305C1">
        <w:rPr>
          <w:rFonts w:ascii="Arial" w:hAnsi="Arial" w:cs="Arial"/>
          <w:b/>
          <w:spacing w:val="-3"/>
          <w:sz w:val="24"/>
          <w:szCs w:val="24"/>
        </w:rPr>
        <w:t xml:space="preserve">PERSONA NATURAL: </w:t>
      </w:r>
      <w:r w:rsidRPr="003305C1">
        <w:rPr>
          <w:rFonts w:ascii="Arial" w:hAnsi="Arial" w:cs="Arial"/>
          <w:bCs/>
          <w:spacing w:val="-3"/>
          <w:sz w:val="24"/>
          <w:szCs w:val="24"/>
        </w:rPr>
        <w:t>Se entiende por persona natural mayor de edad cualquier individuo asociado a, capaz de contraer obligaciones y adquirir derechos</w:t>
      </w:r>
      <w:r w:rsidR="00C12B03" w:rsidRPr="003305C1">
        <w:rPr>
          <w:rFonts w:ascii="Arial" w:hAnsi="Arial" w:cs="Arial"/>
          <w:bCs/>
          <w:spacing w:val="-3"/>
          <w:sz w:val="24"/>
          <w:szCs w:val="24"/>
        </w:rPr>
        <w:t xml:space="preserve"> y se dividen en :</w:t>
      </w:r>
    </w:p>
    <w:p w14:paraId="24B4BD6C" w14:textId="77777777" w:rsidR="000C3A19" w:rsidRPr="003305C1" w:rsidRDefault="000C3A19" w:rsidP="000C3A19">
      <w:pPr>
        <w:jc w:val="both"/>
        <w:rPr>
          <w:rFonts w:ascii="Arial" w:hAnsi="Arial" w:cs="Arial"/>
          <w:bCs/>
          <w:spacing w:val="-3"/>
          <w:sz w:val="24"/>
          <w:szCs w:val="24"/>
        </w:rPr>
      </w:pPr>
    </w:p>
    <w:p w14:paraId="516BCFFB" w14:textId="3541C489" w:rsidR="00C12B03" w:rsidRPr="003305C1" w:rsidRDefault="00C12B03" w:rsidP="00C12B03">
      <w:pPr>
        <w:numPr>
          <w:ilvl w:val="2"/>
          <w:numId w:val="37"/>
        </w:numPr>
        <w:ind w:left="993" w:hanging="284"/>
        <w:jc w:val="both"/>
        <w:rPr>
          <w:rFonts w:ascii="Arial" w:hAnsi="Arial" w:cs="Arial"/>
          <w:bCs/>
          <w:spacing w:val="-3"/>
          <w:sz w:val="24"/>
          <w:szCs w:val="24"/>
        </w:rPr>
      </w:pPr>
      <w:r w:rsidRPr="003305C1">
        <w:rPr>
          <w:rFonts w:ascii="Arial" w:hAnsi="Arial" w:cs="Arial"/>
          <w:bCs/>
          <w:spacing w:val="-3"/>
          <w:sz w:val="24"/>
          <w:szCs w:val="24"/>
        </w:rPr>
        <w:t xml:space="preserve">Asalariados y Pensionados: Personas naturales cuyos ingresos provienen de una pensión o de una relación laboral con empresas privadas, públicas, o personas naturales. </w:t>
      </w:r>
    </w:p>
    <w:p w14:paraId="420381DD" w14:textId="53C67BA9" w:rsidR="00C12B03" w:rsidRPr="003305C1" w:rsidRDefault="00C12B03" w:rsidP="00C12B03">
      <w:pPr>
        <w:numPr>
          <w:ilvl w:val="2"/>
          <w:numId w:val="37"/>
        </w:numPr>
        <w:ind w:left="993" w:hanging="284"/>
        <w:jc w:val="both"/>
        <w:rPr>
          <w:rFonts w:ascii="Arial" w:hAnsi="Arial" w:cs="Arial"/>
          <w:bCs/>
          <w:spacing w:val="-3"/>
          <w:sz w:val="24"/>
          <w:szCs w:val="24"/>
        </w:rPr>
      </w:pPr>
      <w:r w:rsidRPr="003305C1">
        <w:rPr>
          <w:rFonts w:ascii="Arial" w:hAnsi="Arial" w:cs="Arial"/>
          <w:bCs/>
          <w:spacing w:val="-3"/>
          <w:sz w:val="24"/>
          <w:szCs w:val="24"/>
        </w:rPr>
        <w:t xml:space="preserve">Independientes: Personas naturales cuyos ingresos provienen de las actividades económicas como la industria, comercio, servicios, agricultura, ganadería, profesionales sin vínculo laboral y otros. Se clasifican en Formales, Informales y Agropecuarios. </w:t>
      </w:r>
    </w:p>
    <w:p w14:paraId="0082EA06" w14:textId="77777777" w:rsidR="000C3A19" w:rsidRPr="003305C1" w:rsidRDefault="000C3A19" w:rsidP="000C3A19">
      <w:pPr>
        <w:ind w:left="993"/>
        <w:jc w:val="both"/>
        <w:rPr>
          <w:rFonts w:ascii="Arial" w:hAnsi="Arial" w:cs="Arial"/>
          <w:bCs/>
          <w:spacing w:val="-3"/>
          <w:sz w:val="24"/>
          <w:szCs w:val="24"/>
        </w:rPr>
      </w:pPr>
    </w:p>
    <w:p w14:paraId="5619501A" w14:textId="1DD7872F" w:rsidR="0019500F" w:rsidRPr="003305C1" w:rsidRDefault="0019500F" w:rsidP="003B5872">
      <w:pPr>
        <w:numPr>
          <w:ilvl w:val="1"/>
          <w:numId w:val="32"/>
        </w:numPr>
        <w:jc w:val="both"/>
        <w:rPr>
          <w:rFonts w:ascii="Arial" w:hAnsi="Arial" w:cs="Arial"/>
          <w:bCs/>
          <w:spacing w:val="-3"/>
          <w:sz w:val="24"/>
          <w:szCs w:val="24"/>
        </w:rPr>
      </w:pPr>
      <w:r w:rsidRPr="003305C1">
        <w:rPr>
          <w:rFonts w:ascii="Arial" w:hAnsi="Arial" w:cs="Arial"/>
          <w:b/>
          <w:spacing w:val="-3"/>
          <w:sz w:val="24"/>
          <w:szCs w:val="24"/>
        </w:rPr>
        <w:lastRenderedPageBreak/>
        <w:t xml:space="preserve">Créditos de Consumo: </w:t>
      </w:r>
      <w:r w:rsidRPr="003305C1">
        <w:rPr>
          <w:rFonts w:ascii="Arial" w:hAnsi="Arial" w:cs="Arial"/>
          <w:bCs/>
          <w:spacing w:val="-3"/>
          <w:sz w:val="24"/>
          <w:szCs w:val="24"/>
        </w:rPr>
        <w:t>Se entienden como créditos de consumo las operaciones activas de crédito otorgadas a personas naturales, cuyo objeto sea financiar la adquisición de bienes de consumo o el pago de servicios para fines no comerciales o empresariales, independientemente de su monto. Dentro de los créditos de consumo se encuentran las operaciones de Consumo de Bajo Monto, de conformidad con las disposiciones legales vigentes.</w:t>
      </w:r>
    </w:p>
    <w:p w14:paraId="7069DFF3" w14:textId="77777777" w:rsidR="000C3A19" w:rsidRPr="003305C1" w:rsidRDefault="000C3A19" w:rsidP="000C3A19">
      <w:pPr>
        <w:ind w:left="680"/>
        <w:jc w:val="both"/>
        <w:rPr>
          <w:rFonts w:ascii="Arial" w:hAnsi="Arial" w:cs="Arial"/>
          <w:bCs/>
          <w:spacing w:val="-3"/>
          <w:sz w:val="24"/>
          <w:szCs w:val="24"/>
        </w:rPr>
      </w:pPr>
    </w:p>
    <w:p w14:paraId="2422DBCD" w14:textId="430FDFDA" w:rsidR="0019500F" w:rsidRPr="003305C1" w:rsidRDefault="0019500F" w:rsidP="00EC006C">
      <w:pPr>
        <w:pStyle w:val="Default"/>
        <w:numPr>
          <w:ilvl w:val="1"/>
          <w:numId w:val="32"/>
        </w:numPr>
        <w:jc w:val="both"/>
      </w:pPr>
      <w:r w:rsidRPr="003305C1">
        <w:rPr>
          <w:b/>
          <w:bCs/>
        </w:rPr>
        <w:t xml:space="preserve">Créditos de Vivienda: </w:t>
      </w:r>
      <w:r w:rsidRPr="003305C1">
        <w:t>Se entienden como créditos de vivienda las operaciones activas de crédito otorgadas a personas naturales, destinadas a la adquisición de vivienda nueva o usada, a la construcción de vivienda individual o liberación de gravamen hipotecario, independientemente de la cuantía y amparadas con garantía hipotecaria</w:t>
      </w:r>
      <w:r w:rsidR="000C3A19" w:rsidRPr="003305C1">
        <w:t>.</w:t>
      </w:r>
    </w:p>
    <w:p w14:paraId="530B8B08" w14:textId="77777777" w:rsidR="000C3A19" w:rsidRPr="003305C1" w:rsidRDefault="000C3A19" w:rsidP="000C3A19">
      <w:pPr>
        <w:pStyle w:val="Default"/>
        <w:jc w:val="both"/>
      </w:pPr>
    </w:p>
    <w:p w14:paraId="6856FF98" w14:textId="74088C90" w:rsidR="0019500F" w:rsidRPr="003305C1" w:rsidRDefault="0019500F" w:rsidP="00EC006C">
      <w:pPr>
        <w:pStyle w:val="Default"/>
        <w:numPr>
          <w:ilvl w:val="1"/>
          <w:numId w:val="32"/>
        </w:numPr>
        <w:jc w:val="both"/>
      </w:pPr>
      <w:r w:rsidRPr="003305C1">
        <w:rPr>
          <w:b/>
          <w:bCs/>
        </w:rPr>
        <w:t>Microcrédito:</w:t>
      </w:r>
      <w:r w:rsidR="00351AB1" w:rsidRPr="003305C1">
        <w:rPr>
          <w:b/>
          <w:bCs/>
        </w:rPr>
        <w:t xml:space="preserve"> </w:t>
      </w:r>
      <w:r w:rsidRPr="003305C1">
        <w:t xml:space="preserve">se </w:t>
      </w:r>
      <w:r w:rsidR="00351AB1" w:rsidRPr="003305C1">
        <w:t>entiende como</w:t>
      </w:r>
      <w:r w:rsidRPr="003305C1">
        <w:t xml:space="preserve"> el constituido por las operaciones activas de crédito a las cuales se refiere el artículo 39 de la Ley 590 de 2000, o las normas que la modifiquen, sustituyan o adicionen, así como las realizadas con microempresas en las cuales la principal fuente de pago de la obligación provenga de los ingresos derivados de su actividad, el saldo de endeudamiento del deudor no podrá exceder de ciento veinte (120) salarios mínimos mensuales legales vigentes al momento de la aprobación de la respectiva operación activa de crédito. Se entiende por saldo de endeudamiento el monto de las obligaciones vigentes a cargo de la correspondiente microempresa con el sector financiero y otros sectores, que se encuentren en los registros de los operadores de bancos de datos consultados por el respectivo acreedor, excluyendo los créditos hipotecarios para financiación de vivienda y adicionando el valor de la nueva obligación. Se tendrá por definición de microempresa aquella consagrada en las disposiciones normativas vigentes. </w:t>
      </w:r>
    </w:p>
    <w:p w14:paraId="070573F7" w14:textId="77777777" w:rsidR="000C3A19" w:rsidRPr="003305C1" w:rsidRDefault="000C3A19" w:rsidP="000C3A19">
      <w:pPr>
        <w:pStyle w:val="Default"/>
        <w:jc w:val="both"/>
      </w:pPr>
    </w:p>
    <w:p w14:paraId="0D5A48E5" w14:textId="77777777" w:rsidR="00C12B03" w:rsidRPr="003305C1" w:rsidRDefault="0019500F" w:rsidP="00C12B03">
      <w:pPr>
        <w:pStyle w:val="Default"/>
        <w:numPr>
          <w:ilvl w:val="1"/>
          <w:numId w:val="32"/>
        </w:numPr>
        <w:jc w:val="both"/>
      </w:pPr>
      <w:r w:rsidRPr="003305C1">
        <w:rPr>
          <w:b/>
          <w:bCs/>
        </w:rPr>
        <w:t>Créditos Comerciales</w:t>
      </w:r>
      <w:r w:rsidRPr="003305C1">
        <w:t>: Se entienden como créditos comerciales los otorgados a personas naturales para el desarrollo de actividades económicas organizadas, distintos a los otorgados bajo la modalidad de microcrédito, vivienda o consumo.</w:t>
      </w:r>
    </w:p>
    <w:p w14:paraId="28BFA1E4" w14:textId="77777777" w:rsidR="005F0CD3" w:rsidRPr="003305C1" w:rsidRDefault="005F0CD3" w:rsidP="00EC006C">
      <w:pPr>
        <w:ind w:left="680"/>
        <w:jc w:val="both"/>
        <w:rPr>
          <w:rFonts w:ascii="Arial" w:hAnsi="Arial" w:cs="Arial"/>
          <w:b/>
          <w:spacing w:val="-3"/>
          <w:sz w:val="24"/>
          <w:szCs w:val="24"/>
        </w:rPr>
      </w:pPr>
    </w:p>
    <w:p w14:paraId="5AB266FE" w14:textId="77777777" w:rsidR="00863F04" w:rsidRPr="003305C1" w:rsidRDefault="00863F04" w:rsidP="00863F04">
      <w:pPr>
        <w:numPr>
          <w:ilvl w:val="0"/>
          <w:numId w:val="32"/>
        </w:numPr>
        <w:jc w:val="both"/>
        <w:rPr>
          <w:rFonts w:ascii="Arial" w:hAnsi="Arial" w:cs="Arial"/>
          <w:b/>
          <w:spacing w:val="-3"/>
          <w:sz w:val="24"/>
          <w:szCs w:val="24"/>
        </w:rPr>
      </w:pPr>
      <w:r w:rsidRPr="003305C1">
        <w:rPr>
          <w:rFonts w:ascii="Arial" w:hAnsi="Arial" w:cs="Arial"/>
          <w:b/>
          <w:spacing w:val="-3"/>
          <w:sz w:val="24"/>
          <w:szCs w:val="24"/>
        </w:rPr>
        <w:t>RESPONSABLES.</w:t>
      </w:r>
    </w:p>
    <w:p w14:paraId="0925FCD6" w14:textId="77777777" w:rsidR="00863F04" w:rsidRPr="003305C1" w:rsidRDefault="00863F04" w:rsidP="00863F04">
      <w:pPr>
        <w:jc w:val="both"/>
        <w:rPr>
          <w:rFonts w:ascii="Arial" w:hAnsi="Arial" w:cs="Arial"/>
          <w:b/>
          <w:spacing w:val="-3"/>
          <w:sz w:val="24"/>
          <w:szCs w:val="24"/>
        </w:rPr>
      </w:pPr>
    </w:p>
    <w:p w14:paraId="11615A10" w14:textId="43D8BB14" w:rsidR="00863F04" w:rsidRPr="003305C1" w:rsidRDefault="00C12B03" w:rsidP="00863F04">
      <w:pPr>
        <w:numPr>
          <w:ilvl w:val="1"/>
          <w:numId w:val="32"/>
        </w:numPr>
        <w:jc w:val="both"/>
        <w:rPr>
          <w:rFonts w:ascii="Arial" w:hAnsi="Arial" w:cs="Arial"/>
          <w:spacing w:val="-3"/>
          <w:sz w:val="24"/>
          <w:szCs w:val="24"/>
        </w:rPr>
      </w:pPr>
      <w:r w:rsidRPr="003305C1">
        <w:rPr>
          <w:rFonts w:ascii="Arial" w:hAnsi="Arial" w:cs="Arial"/>
          <w:spacing w:val="-3"/>
          <w:sz w:val="24"/>
          <w:szCs w:val="24"/>
        </w:rPr>
        <w:t>Asesor de Crédito y Cartera.</w:t>
      </w:r>
    </w:p>
    <w:p w14:paraId="39FEDFE0" w14:textId="471BBB04" w:rsidR="00C12B03" w:rsidRPr="003305C1" w:rsidRDefault="00C12B03" w:rsidP="00863F04">
      <w:pPr>
        <w:numPr>
          <w:ilvl w:val="1"/>
          <w:numId w:val="32"/>
        </w:numPr>
        <w:jc w:val="both"/>
        <w:rPr>
          <w:rFonts w:ascii="Arial" w:hAnsi="Arial" w:cs="Arial"/>
          <w:spacing w:val="-3"/>
          <w:sz w:val="24"/>
          <w:szCs w:val="24"/>
        </w:rPr>
      </w:pPr>
      <w:r w:rsidRPr="003305C1">
        <w:rPr>
          <w:rFonts w:ascii="Arial" w:hAnsi="Arial" w:cs="Arial"/>
          <w:spacing w:val="-3"/>
          <w:sz w:val="24"/>
          <w:szCs w:val="24"/>
        </w:rPr>
        <w:t>Coordinador Administrativo y Financiero.</w:t>
      </w:r>
    </w:p>
    <w:p w14:paraId="35A5D4B0" w14:textId="0DE265AB" w:rsidR="00C12B03" w:rsidRPr="003305C1" w:rsidRDefault="00C12B03" w:rsidP="00863F04">
      <w:pPr>
        <w:numPr>
          <w:ilvl w:val="1"/>
          <w:numId w:val="32"/>
        </w:numPr>
        <w:jc w:val="both"/>
        <w:rPr>
          <w:rFonts w:ascii="Arial" w:hAnsi="Arial" w:cs="Arial"/>
          <w:spacing w:val="-3"/>
          <w:sz w:val="24"/>
          <w:szCs w:val="24"/>
        </w:rPr>
      </w:pPr>
      <w:r w:rsidRPr="003305C1">
        <w:rPr>
          <w:rFonts w:ascii="Arial" w:hAnsi="Arial" w:cs="Arial"/>
          <w:spacing w:val="-3"/>
          <w:sz w:val="24"/>
          <w:szCs w:val="24"/>
        </w:rPr>
        <w:t>Líder de Riesgos.</w:t>
      </w:r>
    </w:p>
    <w:p w14:paraId="5EC8D3C1" w14:textId="77777777" w:rsidR="00863F04" w:rsidRPr="003305C1" w:rsidRDefault="00863F04" w:rsidP="00863F04">
      <w:pPr>
        <w:numPr>
          <w:ilvl w:val="1"/>
          <w:numId w:val="32"/>
        </w:numPr>
        <w:jc w:val="both"/>
        <w:rPr>
          <w:rFonts w:ascii="Arial" w:hAnsi="Arial" w:cs="Arial"/>
          <w:spacing w:val="-3"/>
          <w:sz w:val="24"/>
          <w:szCs w:val="24"/>
        </w:rPr>
      </w:pPr>
      <w:r w:rsidRPr="003305C1">
        <w:rPr>
          <w:rFonts w:ascii="Arial" w:hAnsi="Arial" w:cs="Arial"/>
          <w:spacing w:val="-3"/>
          <w:sz w:val="24"/>
          <w:szCs w:val="24"/>
        </w:rPr>
        <w:t>Gerente.</w:t>
      </w:r>
    </w:p>
    <w:p w14:paraId="597078F1" w14:textId="77777777" w:rsidR="00E75082" w:rsidRPr="003305C1" w:rsidRDefault="00E75082" w:rsidP="00863F04">
      <w:pPr>
        <w:numPr>
          <w:ilvl w:val="1"/>
          <w:numId w:val="32"/>
        </w:numPr>
        <w:jc w:val="both"/>
        <w:rPr>
          <w:rFonts w:ascii="Arial" w:hAnsi="Arial" w:cs="Arial"/>
          <w:spacing w:val="-3"/>
          <w:sz w:val="24"/>
          <w:szCs w:val="24"/>
        </w:rPr>
      </w:pPr>
      <w:r w:rsidRPr="003305C1">
        <w:rPr>
          <w:rFonts w:ascii="Arial" w:hAnsi="Arial" w:cs="Arial"/>
          <w:spacing w:val="-3"/>
          <w:sz w:val="24"/>
          <w:szCs w:val="24"/>
        </w:rPr>
        <w:t>Ente de aprobación.</w:t>
      </w:r>
    </w:p>
    <w:p w14:paraId="4ADC899F" w14:textId="77777777" w:rsidR="00863F04" w:rsidRPr="003305C1" w:rsidRDefault="00863F04" w:rsidP="00863F04">
      <w:pPr>
        <w:jc w:val="both"/>
        <w:rPr>
          <w:rFonts w:ascii="Arial" w:hAnsi="Arial" w:cs="Arial"/>
          <w:spacing w:val="-3"/>
          <w:sz w:val="24"/>
          <w:szCs w:val="24"/>
        </w:rPr>
      </w:pPr>
    </w:p>
    <w:p w14:paraId="27BE3CE8" w14:textId="34513F5B" w:rsidR="00D61B2B" w:rsidRPr="003305C1" w:rsidRDefault="003071AA" w:rsidP="00D61B2B">
      <w:pPr>
        <w:numPr>
          <w:ilvl w:val="0"/>
          <w:numId w:val="32"/>
        </w:numPr>
        <w:jc w:val="both"/>
        <w:rPr>
          <w:rFonts w:ascii="Arial" w:hAnsi="Arial" w:cs="Arial"/>
          <w:b/>
          <w:spacing w:val="-3"/>
          <w:sz w:val="24"/>
          <w:szCs w:val="24"/>
        </w:rPr>
      </w:pPr>
      <w:r w:rsidRPr="003305C1">
        <w:rPr>
          <w:rFonts w:ascii="Arial" w:hAnsi="Arial" w:cs="Arial"/>
          <w:b/>
          <w:spacing w:val="-3"/>
          <w:sz w:val="24"/>
          <w:szCs w:val="24"/>
        </w:rPr>
        <w:t>CONDICIONES</w:t>
      </w:r>
      <w:r w:rsidR="00863F04" w:rsidRPr="003305C1">
        <w:rPr>
          <w:rFonts w:ascii="Arial" w:hAnsi="Arial" w:cs="Arial"/>
          <w:b/>
          <w:spacing w:val="-3"/>
          <w:sz w:val="24"/>
          <w:szCs w:val="24"/>
        </w:rPr>
        <w:t xml:space="preserve"> DE OPERACIÓN</w:t>
      </w:r>
      <w:r w:rsidR="00AD25E3" w:rsidRPr="003305C1">
        <w:rPr>
          <w:rFonts w:ascii="Arial" w:hAnsi="Arial" w:cs="Arial"/>
          <w:b/>
          <w:spacing w:val="-3"/>
          <w:sz w:val="24"/>
          <w:szCs w:val="24"/>
        </w:rPr>
        <w:t>.</w:t>
      </w:r>
      <w:r w:rsidR="00863F04" w:rsidRPr="003305C1">
        <w:rPr>
          <w:rFonts w:ascii="Arial" w:hAnsi="Arial" w:cs="Arial"/>
          <w:b/>
          <w:spacing w:val="-3"/>
          <w:sz w:val="24"/>
          <w:szCs w:val="24"/>
        </w:rPr>
        <w:t xml:space="preserve"> </w:t>
      </w:r>
    </w:p>
    <w:p w14:paraId="2BF86166" w14:textId="77777777" w:rsidR="000C3A19" w:rsidRPr="003305C1" w:rsidRDefault="000C3A19" w:rsidP="000C3A19">
      <w:pPr>
        <w:jc w:val="both"/>
        <w:rPr>
          <w:rFonts w:ascii="Arial" w:hAnsi="Arial" w:cs="Arial"/>
          <w:b/>
          <w:spacing w:val="-3"/>
          <w:sz w:val="24"/>
          <w:szCs w:val="24"/>
        </w:rPr>
      </w:pPr>
    </w:p>
    <w:p w14:paraId="5983D5A0" w14:textId="77777777" w:rsidR="000C3A19" w:rsidRPr="003305C1" w:rsidRDefault="00D61B2B" w:rsidP="00D61B2B">
      <w:pPr>
        <w:pStyle w:val="Default"/>
        <w:numPr>
          <w:ilvl w:val="1"/>
          <w:numId w:val="32"/>
        </w:numPr>
        <w:jc w:val="both"/>
      </w:pPr>
      <w:r w:rsidRPr="003305C1">
        <w:rPr>
          <w:b/>
          <w:bCs/>
        </w:rPr>
        <w:lastRenderedPageBreak/>
        <w:t>PERSONAS NO SUJETAS DE CRÉDITO</w:t>
      </w:r>
    </w:p>
    <w:p w14:paraId="77DB4B90" w14:textId="77777777" w:rsidR="000C3A19" w:rsidRPr="003305C1" w:rsidRDefault="000C3A19" w:rsidP="000C3A19">
      <w:pPr>
        <w:pStyle w:val="Default"/>
        <w:ind w:left="454"/>
        <w:jc w:val="both"/>
        <w:rPr>
          <w:b/>
          <w:bCs/>
        </w:rPr>
      </w:pPr>
    </w:p>
    <w:p w14:paraId="3EFB2C54" w14:textId="31A73CFC" w:rsidR="00D61B2B" w:rsidRPr="003305C1" w:rsidRDefault="00D61B2B" w:rsidP="00095BF7">
      <w:pPr>
        <w:pStyle w:val="Default"/>
        <w:jc w:val="both"/>
      </w:pPr>
      <w:r w:rsidRPr="003305C1">
        <w:t xml:space="preserve">FONEDH no otorgará créditos a personas que se encuentren en sectores restringidos y que representen un alto riesgo crediticio. Por responsabilidad ética y social no se consideran sujetos de crédito los siguientes grupos, tanto para deudores como codeudores que representen posibles riesgos: </w:t>
      </w:r>
    </w:p>
    <w:p w14:paraId="44E0689C" w14:textId="77777777" w:rsidR="00D61B2B" w:rsidRPr="003305C1" w:rsidRDefault="00D61B2B" w:rsidP="00D61B2B">
      <w:pPr>
        <w:pStyle w:val="Default"/>
        <w:ind w:left="680"/>
        <w:jc w:val="both"/>
      </w:pPr>
    </w:p>
    <w:p w14:paraId="7019F732" w14:textId="77777777" w:rsidR="00D61B2B" w:rsidRPr="003305C1" w:rsidRDefault="00D61B2B" w:rsidP="00D61B2B">
      <w:pPr>
        <w:numPr>
          <w:ilvl w:val="2"/>
          <w:numId w:val="37"/>
        </w:numPr>
        <w:ind w:left="993" w:hanging="284"/>
        <w:jc w:val="both"/>
        <w:rPr>
          <w:rFonts w:ascii="Arial" w:hAnsi="Arial" w:cs="Arial"/>
          <w:bCs/>
          <w:spacing w:val="-3"/>
          <w:sz w:val="24"/>
          <w:szCs w:val="24"/>
        </w:rPr>
      </w:pPr>
      <w:r w:rsidRPr="003305C1">
        <w:rPr>
          <w:rFonts w:ascii="Arial" w:hAnsi="Arial" w:cs="Arial"/>
          <w:bCs/>
          <w:spacing w:val="-3"/>
          <w:sz w:val="24"/>
          <w:szCs w:val="24"/>
        </w:rPr>
        <w:t xml:space="preserve">Casinos, juegos de azar y/o casas de apuestas. </w:t>
      </w:r>
    </w:p>
    <w:p w14:paraId="2F2D20CB" w14:textId="77777777" w:rsidR="00D61B2B" w:rsidRPr="003305C1" w:rsidRDefault="00D61B2B" w:rsidP="00D61B2B">
      <w:pPr>
        <w:numPr>
          <w:ilvl w:val="2"/>
          <w:numId w:val="37"/>
        </w:numPr>
        <w:ind w:left="993" w:hanging="284"/>
        <w:jc w:val="both"/>
        <w:rPr>
          <w:rFonts w:ascii="Arial" w:hAnsi="Arial" w:cs="Arial"/>
          <w:bCs/>
          <w:spacing w:val="-3"/>
          <w:sz w:val="24"/>
          <w:szCs w:val="24"/>
        </w:rPr>
      </w:pPr>
      <w:r w:rsidRPr="003305C1">
        <w:rPr>
          <w:rFonts w:ascii="Arial" w:hAnsi="Arial" w:cs="Arial"/>
          <w:bCs/>
          <w:spacing w:val="-3"/>
          <w:sz w:val="24"/>
          <w:szCs w:val="24"/>
        </w:rPr>
        <w:t xml:space="preserve">Minería. </w:t>
      </w:r>
    </w:p>
    <w:p w14:paraId="714FC750" w14:textId="77777777" w:rsidR="00D61B2B" w:rsidRPr="003305C1" w:rsidRDefault="00D61B2B" w:rsidP="00D61B2B">
      <w:pPr>
        <w:numPr>
          <w:ilvl w:val="2"/>
          <w:numId w:val="37"/>
        </w:numPr>
        <w:ind w:left="993" w:hanging="284"/>
        <w:jc w:val="both"/>
        <w:rPr>
          <w:rFonts w:ascii="Arial" w:hAnsi="Arial" w:cs="Arial"/>
          <w:bCs/>
          <w:spacing w:val="-3"/>
          <w:sz w:val="24"/>
          <w:szCs w:val="24"/>
        </w:rPr>
      </w:pPr>
      <w:r w:rsidRPr="003305C1">
        <w:rPr>
          <w:rFonts w:ascii="Arial" w:hAnsi="Arial" w:cs="Arial"/>
          <w:bCs/>
          <w:spacing w:val="-3"/>
          <w:sz w:val="24"/>
          <w:szCs w:val="24"/>
        </w:rPr>
        <w:t xml:space="preserve">Compraventas de vehículos. </w:t>
      </w:r>
    </w:p>
    <w:p w14:paraId="1C9E316A" w14:textId="77777777" w:rsidR="00D61B2B" w:rsidRPr="003305C1" w:rsidRDefault="00D61B2B" w:rsidP="00D61B2B">
      <w:pPr>
        <w:pStyle w:val="Default"/>
      </w:pPr>
    </w:p>
    <w:p w14:paraId="7BDA71F7" w14:textId="77777777" w:rsidR="00D61B2B" w:rsidRPr="003305C1" w:rsidRDefault="00D61B2B" w:rsidP="00095BF7">
      <w:pPr>
        <w:pStyle w:val="Default"/>
        <w:jc w:val="both"/>
      </w:pPr>
      <w:r w:rsidRPr="003305C1">
        <w:t>Las solicitudes de crédito que realicen los empleados pertenecientes a estas actividades podrán ser analizadas bajo restricciones de monto y se deberá valorar la experiencia crediticia del asociado tanto en la Fondo como en el sector.</w:t>
      </w:r>
    </w:p>
    <w:p w14:paraId="41D261B5" w14:textId="77777777" w:rsidR="00D61B2B" w:rsidRPr="003305C1" w:rsidRDefault="00D61B2B" w:rsidP="00D61B2B">
      <w:pPr>
        <w:ind w:left="680"/>
        <w:jc w:val="both"/>
        <w:rPr>
          <w:rFonts w:ascii="Arial" w:hAnsi="Arial" w:cs="Arial"/>
          <w:b/>
          <w:spacing w:val="-3"/>
          <w:sz w:val="24"/>
          <w:szCs w:val="24"/>
        </w:rPr>
      </w:pPr>
    </w:p>
    <w:p w14:paraId="22CA229B" w14:textId="67813AD4" w:rsidR="0092336A" w:rsidRPr="003305C1" w:rsidRDefault="00863F04" w:rsidP="0092336A">
      <w:pPr>
        <w:numPr>
          <w:ilvl w:val="0"/>
          <w:numId w:val="32"/>
        </w:numPr>
        <w:jc w:val="both"/>
        <w:rPr>
          <w:rFonts w:ascii="Arial" w:hAnsi="Arial" w:cs="Arial"/>
          <w:b/>
          <w:spacing w:val="-3"/>
          <w:sz w:val="24"/>
          <w:szCs w:val="24"/>
        </w:rPr>
      </w:pPr>
      <w:r w:rsidRPr="003305C1">
        <w:rPr>
          <w:rFonts w:ascii="Arial" w:hAnsi="Arial" w:cs="Arial"/>
          <w:b/>
          <w:spacing w:val="-3"/>
          <w:sz w:val="24"/>
          <w:szCs w:val="24"/>
        </w:rPr>
        <w:t>DESCRIPCIÓN DE ACTIVIDADES.</w:t>
      </w:r>
    </w:p>
    <w:p w14:paraId="63BAB6C6" w14:textId="77777777" w:rsidR="0092336A" w:rsidRPr="003305C1" w:rsidRDefault="0092336A" w:rsidP="0092336A">
      <w:pPr>
        <w:ind w:left="680"/>
        <w:jc w:val="both"/>
        <w:rPr>
          <w:rFonts w:ascii="Arial" w:hAnsi="Arial" w:cs="Arial"/>
          <w:b/>
          <w:spacing w:val="-3"/>
          <w:sz w:val="24"/>
          <w:szCs w:val="24"/>
        </w:rPr>
      </w:pPr>
    </w:p>
    <w:p w14:paraId="2038592F" w14:textId="47EE3CFF" w:rsidR="0092336A" w:rsidRPr="003305C1" w:rsidRDefault="0092336A" w:rsidP="0092336A">
      <w:pPr>
        <w:numPr>
          <w:ilvl w:val="1"/>
          <w:numId w:val="32"/>
        </w:numPr>
        <w:jc w:val="both"/>
        <w:rPr>
          <w:rFonts w:ascii="Arial" w:hAnsi="Arial" w:cs="Arial"/>
          <w:b/>
          <w:bCs/>
          <w:spacing w:val="-3"/>
          <w:sz w:val="24"/>
          <w:szCs w:val="24"/>
        </w:rPr>
      </w:pPr>
      <w:r w:rsidRPr="003305C1">
        <w:rPr>
          <w:rFonts w:ascii="Arial" w:hAnsi="Arial" w:cs="Arial"/>
          <w:b/>
          <w:bCs/>
          <w:sz w:val="24"/>
          <w:szCs w:val="24"/>
        </w:rPr>
        <w:t>NIVELES Y LÍMITES DE EXPOSICIÓN CREDITICIA</w:t>
      </w:r>
    </w:p>
    <w:p w14:paraId="19A6DEA7" w14:textId="77777777" w:rsidR="0092336A" w:rsidRPr="003305C1" w:rsidRDefault="0092336A" w:rsidP="0092336A">
      <w:pPr>
        <w:ind w:left="680"/>
        <w:jc w:val="both"/>
        <w:rPr>
          <w:rFonts w:ascii="Arial" w:hAnsi="Arial" w:cs="Arial"/>
          <w:b/>
          <w:bCs/>
          <w:spacing w:val="-3"/>
          <w:sz w:val="24"/>
          <w:szCs w:val="24"/>
        </w:rPr>
      </w:pPr>
    </w:p>
    <w:p w14:paraId="07C36D42" w14:textId="77777777" w:rsidR="000C3A19" w:rsidRPr="003305C1" w:rsidRDefault="0092336A" w:rsidP="000C3A19">
      <w:pPr>
        <w:numPr>
          <w:ilvl w:val="2"/>
          <w:numId w:val="32"/>
        </w:numPr>
        <w:jc w:val="both"/>
        <w:rPr>
          <w:rFonts w:ascii="Arial" w:hAnsi="Arial" w:cs="Arial"/>
          <w:b/>
          <w:bCs/>
          <w:spacing w:val="-3"/>
          <w:sz w:val="24"/>
          <w:szCs w:val="24"/>
        </w:rPr>
      </w:pPr>
      <w:r w:rsidRPr="003305C1">
        <w:rPr>
          <w:rFonts w:ascii="Arial" w:hAnsi="Arial" w:cs="Arial"/>
          <w:b/>
          <w:bCs/>
          <w:sz w:val="24"/>
          <w:szCs w:val="24"/>
        </w:rPr>
        <w:t>LIMITES DE EXPOSICIÓN CREDITICIA</w:t>
      </w:r>
    </w:p>
    <w:p w14:paraId="4024B4AB" w14:textId="77777777" w:rsidR="000C3A19" w:rsidRPr="003305C1" w:rsidRDefault="000C3A19" w:rsidP="000C3A19">
      <w:pPr>
        <w:ind w:left="680"/>
        <w:jc w:val="both"/>
        <w:rPr>
          <w:rFonts w:ascii="Arial" w:hAnsi="Arial" w:cs="Arial"/>
          <w:sz w:val="24"/>
          <w:szCs w:val="24"/>
        </w:rPr>
      </w:pPr>
    </w:p>
    <w:p w14:paraId="591A5163" w14:textId="4F7B16C0" w:rsidR="00B20E95" w:rsidRPr="003305C1" w:rsidRDefault="0056231C" w:rsidP="00095BF7">
      <w:pPr>
        <w:jc w:val="both"/>
        <w:rPr>
          <w:rFonts w:ascii="Arial" w:hAnsi="Arial" w:cs="Arial"/>
          <w:b/>
          <w:bCs/>
          <w:spacing w:val="-3"/>
          <w:sz w:val="24"/>
          <w:szCs w:val="24"/>
        </w:rPr>
      </w:pPr>
      <w:r w:rsidRPr="003305C1">
        <w:rPr>
          <w:rFonts w:ascii="Arial" w:hAnsi="Arial" w:cs="Arial"/>
          <w:sz w:val="24"/>
          <w:szCs w:val="24"/>
        </w:rPr>
        <w:t>FONEDH</w:t>
      </w:r>
      <w:r w:rsidR="0092336A" w:rsidRPr="003305C1">
        <w:rPr>
          <w:rFonts w:ascii="Arial" w:hAnsi="Arial" w:cs="Arial"/>
          <w:sz w:val="24"/>
          <w:szCs w:val="24"/>
        </w:rPr>
        <w:t xml:space="preserve"> de acuerdo con un análisis económico y de riesgo, establece los límites por edad de los asociados deudores y los montos máximos de crédito por modalidades para personas naturales</w:t>
      </w:r>
      <w:r w:rsidRPr="003305C1">
        <w:rPr>
          <w:rFonts w:ascii="Arial" w:hAnsi="Arial" w:cs="Arial"/>
          <w:sz w:val="24"/>
          <w:szCs w:val="24"/>
        </w:rPr>
        <w:t>.</w:t>
      </w:r>
    </w:p>
    <w:tbl>
      <w:tblPr>
        <w:tblStyle w:val="Tablaconcuadrcula"/>
        <w:tblpPr w:leftFromText="141" w:rightFromText="141" w:vertAnchor="text" w:horzAnchor="page" w:tblpX="3549" w:tblpY="162"/>
        <w:tblW w:w="0" w:type="auto"/>
        <w:tblLook w:val="04A0" w:firstRow="1" w:lastRow="0" w:firstColumn="1" w:lastColumn="0" w:noHBand="0" w:noVBand="1"/>
      </w:tblPr>
      <w:tblGrid>
        <w:gridCol w:w="1523"/>
        <w:gridCol w:w="4001"/>
      </w:tblGrid>
      <w:tr w:rsidR="00B20E95" w:rsidRPr="003305C1" w14:paraId="625E5B00" w14:textId="77777777" w:rsidTr="00344E8D">
        <w:trPr>
          <w:trHeight w:val="56"/>
        </w:trPr>
        <w:tc>
          <w:tcPr>
            <w:tcW w:w="1523" w:type="dxa"/>
            <w:vAlign w:val="center"/>
          </w:tcPr>
          <w:p w14:paraId="0B839936" w14:textId="77777777" w:rsidR="00B20E95" w:rsidRPr="003305C1" w:rsidRDefault="00B20E95" w:rsidP="00C77BCA">
            <w:pPr>
              <w:jc w:val="center"/>
              <w:rPr>
                <w:rFonts w:ascii="Arial" w:hAnsi="Arial" w:cs="Arial"/>
                <w:b/>
                <w:spacing w:val="-3"/>
                <w:sz w:val="24"/>
                <w:szCs w:val="24"/>
              </w:rPr>
            </w:pPr>
            <w:r w:rsidRPr="003305C1">
              <w:rPr>
                <w:rFonts w:ascii="Arial" w:hAnsi="Arial" w:cs="Arial"/>
                <w:b/>
                <w:bCs/>
                <w:sz w:val="24"/>
                <w:szCs w:val="24"/>
              </w:rPr>
              <w:t>Modalidad</w:t>
            </w:r>
          </w:p>
        </w:tc>
        <w:tc>
          <w:tcPr>
            <w:tcW w:w="4001" w:type="dxa"/>
            <w:vAlign w:val="center"/>
          </w:tcPr>
          <w:p w14:paraId="52996902" w14:textId="43A1311D" w:rsidR="00B20E95" w:rsidRPr="003305C1" w:rsidRDefault="00B20E95" w:rsidP="00C77BCA">
            <w:pPr>
              <w:pStyle w:val="Default"/>
              <w:jc w:val="center"/>
            </w:pPr>
            <w:r w:rsidRPr="003305C1">
              <w:rPr>
                <w:b/>
                <w:bCs/>
              </w:rPr>
              <w:t>Edad</w:t>
            </w:r>
          </w:p>
        </w:tc>
      </w:tr>
      <w:tr w:rsidR="00B20E95" w:rsidRPr="003305C1" w14:paraId="28F98734" w14:textId="77777777" w:rsidTr="00344E8D">
        <w:trPr>
          <w:trHeight w:val="56"/>
        </w:trPr>
        <w:tc>
          <w:tcPr>
            <w:tcW w:w="1523" w:type="dxa"/>
          </w:tcPr>
          <w:p w14:paraId="58D5F0B5" w14:textId="77777777" w:rsidR="00B20E95" w:rsidRPr="003305C1" w:rsidRDefault="00B20E95" w:rsidP="00B20E95">
            <w:pPr>
              <w:pStyle w:val="Default"/>
              <w:jc w:val="both"/>
            </w:pPr>
            <w:r w:rsidRPr="003305C1">
              <w:t xml:space="preserve">Consumo </w:t>
            </w:r>
          </w:p>
        </w:tc>
        <w:tc>
          <w:tcPr>
            <w:tcW w:w="4001" w:type="dxa"/>
          </w:tcPr>
          <w:p w14:paraId="22802433" w14:textId="03228063" w:rsidR="00B20E95" w:rsidRPr="003305C1" w:rsidRDefault="00B20E95" w:rsidP="00B20E95">
            <w:pPr>
              <w:pStyle w:val="Default"/>
              <w:jc w:val="both"/>
            </w:pPr>
            <w:r w:rsidRPr="003305C1">
              <w:t>Desde los 18 a 7</w:t>
            </w:r>
            <w:r w:rsidR="00344E8D">
              <w:t>0</w:t>
            </w:r>
            <w:r w:rsidRPr="003305C1">
              <w:t xml:space="preserve"> años</w:t>
            </w:r>
            <w:r w:rsidR="00344E8D">
              <w:t xml:space="preserve"> y 364 días</w:t>
            </w:r>
          </w:p>
        </w:tc>
      </w:tr>
      <w:tr w:rsidR="00B20E95" w:rsidRPr="003305C1" w14:paraId="3D75D939" w14:textId="77777777" w:rsidTr="00344E8D">
        <w:tc>
          <w:tcPr>
            <w:tcW w:w="1523" w:type="dxa"/>
          </w:tcPr>
          <w:p w14:paraId="07C4A518" w14:textId="77777777" w:rsidR="00B20E95" w:rsidRPr="003305C1" w:rsidRDefault="00B20E95" w:rsidP="00B20E95">
            <w:pPr>
              <w:pStyle w:val="Default"/>
              <w:jc w:val="both"/>
            </w:pPr>
            <w:r w:rsidRPr="003305C1">
              <w:t xml:space="preserve">Microcrédito </w:t>
            </w:r>
          </w:p>
        </w:tc>
        <w:tc>
          <w:tcPr>
            <w:tcW w:w="4001" w:type="dxa"/>
          </w:tcPr>
          <w:p w14:paraId="1DFE3CF9" w14:textId="11BC62AF" w:rsidR="00B20E95" w:rsidRPr="003305C1" w:rsidRDefault="00B20E95" w:rsidP="00B20E95">
            <w:pPr>
              <w:pStyle w:val="Default"/>
              <w:jc w:val="both"/>
            </w:pPr>
            <w:r w:rsidRPr="003305C1">
              <w:t>Desde los 18 a 7</w:t>
            </w:r>
            <w:r w:rsidR="00344E8D">
              <w:t xml:space="preserve">0 </w:t>
            </w:r>
            <w:r w:rsidR="00344E8D" w:rsidRPr="003305C1">
              <w:t>años</w:t>
            </w:r>
            <w:r w:rsidR="00344E8D">
              <w:t xml:space="preserve"> y 364 días</w:t>
            </w:r>
            <w:r w:rsidR="00344E8D" w:rsidRPr="003305C1">
              <w:t xml:space="preserve"> </w:t>
            </w:r>
            <w:r w:rsidRPr="003305C1">
              <w:t xml:space="preserve"> </w:t>
            </w:r>
          </w:p>
        </w:tc>
      </w:tr>
      <w:tr w:rsidR="00B20E95" w:rsidRPr="003305C1" w14:paraId="42E0DC7C" w14:textId="77777777" w:rsidTr="00344E8D">
        <w:tc>
          <w:tcPr>
            <w:tcW w:w="1523" w:type="dxa"/>
          </w:tcPr>
          <w:p w14:paraId="6D1B4575" w14:textId="77777777" w:rsidR="00B20E95" w:rsidRPr="003305C1" w:rsidRDefault="00B20E95" w:rsidP="00B20E95">
            <w:pPr>
              <w:pStyle w:val="Default"/>
              <w:jc w:val="both"/>
            </w:pPr>
            <w:r w:rsidRPr="003305C1">
              <w:t xml:space="preserve">Vivienda </w:t>
            </w:r>
          </w:p>
        </w:tc>
        <w:tc>
          <w:tcPr>
            <w:tcW w:w="4001" w:type="dxa"/>
          </w:tcPr>
          <w:p w14:paraId="4A448CF8" w14:textId="585D636E" w:rsidR="00B20E95" w:rsidRPr="003305C1" w:rsidRDefault="00B20E95" w:rsidP="00B20E95">
            <w:pPr>
              <w:pStyle w:val="Default"/>
              <w:jc w:val="both"/>
            </w:pPr>
            <w:r w:rsidRPr="003305C1">
              <w:t>Desde los 18 a 7</w:t>
            </w:r>
            <w:r w:rsidR="00344E8D">
              <w:t>0</w:t>
            </w:r>
            <w:r w:rsidRPr="003305C1">
              <w:t xml:space="preserve"> años</w:t>
            </w:r>
            <w:r w:rsidR="00344E8D">
              <w:t xml:space="preserve"> y 364 días</w:t>
            </w:r>
            <w:r w:rsidR="00344E8D" w:rsidRPr="003305C1">
              <w:t xml:space="preserve"> </w:t>
            </w:r>
            <w:r w:rsidRPr="003305C1">
              <w:t xml:space="preserve"> </w:t>
            </w:r>
          </w:p>
        </w:tc>
      </w:tr>
    </w:tbl>
    <w:p w14:paraId="12ACAA2C" w14:textId="733DB1C3" w:rsidR="00B20E95" w:rsidRPr="003305C1" w:rsidRDefault="00B20E95" w:rsidP="0092336A">
      <w:pPr>
        <w:ind w:left="680"/>
        <w:jc w:val="both"/>
        <w:rPr>
          <w:rFonts w:ascii="Arial" w:hAnsi="Arial" w:cs="Arial"/>
          <w:sz w:val="24"/>
          <w:szCs w:val="24"/>
        </w:rPr>
      </w:pPr>
    </w:p>
    <w:p w14:paraId="20D98E23" w14:textId="552E97C6" w:rsidR="00B20E95" w:rsidRPr="003305C1" w:rsidRDefault="00B20E95" w:rsidP="0092336A">
      <w:pPr>
        <w:ind w:left="680"/>
        <w:jc w:val="both"/>
        <w:rPr>
          <w:rFonts w:ascii="Arial" w:hAnsi="Arial" w:cs="Arial"/>
          <w:sz w:val="24"/>
          <w:szCs w:val="24"/>
        </w:rPr>
      </w:pPr>
    </w:p>
    <w:p w14:paraId="77817692" w14:textId="3CAEB19B" w:rsidR="00B20E95" w:rsidRPr="003305C1" w:rsidRDefault="00B20E95" w:rsidP="0092336A">
      <w:pPr>
        <w:ind w:left="680"/>
        <w:jc w:val="both"/>
        <w:rPr>
          <w:rFonts w:ascii="Arial" w:hAnsi="Arial" w:cs="Arial"/>
          <w:sz w:val="24"/>
          <w:szCs w:val="24"/>
        </w:rPr>
      </w:pPr>
    </w:p>
    <w:p w14:paraId="14E056CF" w14:textId="77777777" w:rsidR="00B20E95" w:rsidRPr="003305C1" w:rsidRDefault="00B20E95" w:rsidP="0092336A">
      <w:pPr>
        <w:ind w:left="680"/>
        <w:jc w:val="both"/>
        <w:rPr>
          <w:rFonts w:ascii="Arial" w:hAnsi="Arial" w:cs="Arial"/>
          <w:sz w:val="24"/>
          <w:szCs w:val="24"/>
        </w:rPr>
      </w:pPr>
    </w:p>
    <w:p w14:paraId="577F326A" w14:textId="45BDFF4C" w:rsidR="00344E8D" w:rsidRDefault="00344E8D" w:rsidP="0092336A">
      <w:pPr>
        <w:jc w:val="both"/>
        <w:rPr>
          <w:rFonts w:ascii="Arial" w:hAnsi="Arial" w:cs="Arial"/>
          <w:b/>
          <w:spacing w:val="-3"/>
          <w:sz w:val="24"/>
          <w:szCs w:val="24"/>
        </w:rPr>
      </w:pPr>
    </w:p>
    <w:p w14:paraId="24F7EAF1" w14:textId="638E36A8" w:rsidR="00344E8D" w:rsidRPr="003305C1" w:rsidRDefault="000972AD" w:rsidP="0092336A">
      <w:pPr>
        <w:jc w:val="both"/>
        <w:rPr>
          <w:rFonts w:ascii="Arial" w:hAnsi="Arial" w:cs="Arial"/>
          <w:b/>
          <w:spacing w:val="-3"/>
          <w:sz w:val="24"/>
          <w:szCs w:val="24"/>
        </w:rPr>
      </w:pPr>
      <w:r>
        <w:rPr>
          <w:rFonts w:ascii="Arial" w:hAnsi="Arial" w:cs="Arial"/>
          <w:b/>
          <w:spacing w:val="-3"/>
          <w:sz w:val="24"/>
          <w:szCs w:val="24"/>
        </w:rPr>
        <w:tab/>
      </w:r>
    </w:p>
    <w:p w14:paraId="746BA1B5" w14:textId="00689914" w:rsidR="003D431F" w:rsidRPr="003305C1" w:rsidRDefault="003D431F" w:rsidP="000C3A19">
      <w:pPr>
        <w:numPr>
          <w:ilvl w:val="2"/>
          <w:numId w:val="32"/>
        </w:numPr>
        <w:jc w:val="both"/>
        <w:rPr>
          <w:rFonts w:ascii="Arial" w:hAnsi="Arial" w:cs="Arial"/>
          <w:b/>
          <w:bCs/>
          <w:sz w:val="24"/>
          <w:szCs w:val="24"/>
        </w:rPr>
      </w:pPr>
      <w:r w:rsidRPr="003305C1">
        <w:rPr>
          <w:rFonts w:ascii="Arial" w:hAnsi="Arial" w:cs="Arial"/>
          <w:b/>
          <w:bCs/>
          <w:sz w:val="24"/>
          <w:szCs w:val="24"/>
        </w:rPr>
        <w:t>LÍMITE POR AMPAROS DE SEGUROS DE VIDA DEUDORES POR MONTO</w:t>
      </w:r>
    </w:p>
    <w:tbl>
      <w:tblPr>
        <w:tblStyle w:val="Tablaconcuadrcula"/>
        <w:tblpPr w:leftFromText="141" w:rightFromText="141" w:vertAnchor="text" w:horzAnchor="page" w:tblpX="3549" w:tblpY="162"/>
        <w:tblW w:w="0" w:type="auto"/>
        <w:tblLook w:val="04A0" w:firstRow="1" w:lastRow="0" w:firstColumn="1" w:lastColumn="0" w:noHBand="0" w:noVBand="1"/>
      </w:tblPr>
      <w:tblGrid>
        <w:gridCol w:w="1523"/>
        <w:gridCol w:w="3150"/>
      </w:tblGrid>
      <w:tr w:rsidR="003D431F" w:rsidRPr="003305C1" w14:paraId="74418CF4" w14:textId="77777777" w:rsidTr="00C77BCA">
        <w:trPr>
          <w:trHeight w:val="56"/>
        </w:trPr>
        <w:tc>
          <w:tcPr>
            <w:tcW w:w="1523" w:type="dxa"/>
            <w:vAlign w:val="center"/>
          </w:tcPr>
          <w:p w14:paraId="625745F4" w14:textId="77777777" w:rsidR="003D431F" w:rsidRPr="003305C1" w:rsidRDefault="003D431F" w:rsidP="00C77BCA">
            <w:pPr>
              <w:jc w:val="center"/>
              <w:rPr>
                <w:rFonts w:ascii="Arial" w:hAnsi="Arial" w:cs="Arial"/>
                <w:b/>
                <w:spacing w:val="-3"/>
                <w:sz w:val="24"/>
                <w:szCs w:val="24"/>
              </w:rPr>
            </w:pPr>
            <w:r w:rsidRPr="003305C1">
              <w:rPr>
                <w:rFonts w:ascii="Arial" w:hAnsi="Arial" w:cs="Arial"/>
                <w:b/>
                <w:bCs/>
                <w:sz w:val="24"/>
                <w:szCs w:val="24"/>
              </w:rPr>
              <w:t>Modalidad</w:t>
            </w:r>
          </w:p>
        </w:tc>
        <w:tc>
          <w:tcPr>
            <w:tcW w:w="3150" w:type="dxa"/>
            <w:vAlign w:val="center"/>
          </w:tcPr>
          <w:p w14:paraId="49238F69" w14:textId="258B3BD0" w:rsidR="003D431F" w:rsidRPr="003305C1" w:rsidRDefault="003D431F" w:rsidP="00C77BCA">
            <w:pPr>
              <w:pStyle w:val="Default"/>
              <w:jc w:val="center"/>
            </w:pPr>
            <w:r w:rsidRPr="003305C1">
              <w:rPr>
                <w:b/>
                <w:bCs/>
              </w:rPr>
              <w:t>Monto Amparo</w:t>
            </w:r>
          </w:p>
        </w:tc>
      </w:tr>
      <w:tr w:rsidR="003D431F" w:rsidRPr="003305C1" w14:paraId="34FD4324" w14:textId="77777777" w:rsidTr="00C77BCA">
        <w:trPr>
          <w:trHeight w:val="56"/>
        </w:trPr>
        <w:tc>
          <w:tcPr>
            <w:tcW w:w="1523" w:type="dxa"/>
          </w:tcPr>
          <w:p w14:paraId="11C9565E" w14:textId="77777777" w:rsidR="003D431F" w:rsidRPr="003305C1" w:rsidRDefault="003D431F" w:rsidP="005950B4">
            <w:pPr>
              <w:pStyle w:val="Default"/>
              <w:jc w:val="both"/>
            </w:pPr>
            <w:r w:rsidRPr="003305C1">
              <w:t xml:space="preserve">Consumo </w:t>
            </w:r>
          </w:p>
        </w:tc>
        <w:tc>
          <w:tcPr>
            <w:tcW w:w="3150" w:type="dxa"/>
            <w:vAlign w:val="center"/>
          </w:tcPr>
          <w:p w14:paraId="74031303" w14:textId="12EEDF58" w:rsidR="003D431F" w:rsidRPr="003305C1" w:rsidRDefault="00344E8D" w:rsidP="00C77BCA">
            <w:pPr>
              <w:pStyle w:val="Default"/>
              <w:jc w:val="center"/>
              <w:rPr>
                <w:color w:val="4F81BD" w:themeColor="accent1"/>
              </w:rPr>
            </w:pPr>
            <w:r w:rsidRPr="00344E8D">
              <w:rPr>
                <w:color w:val="4F81BD" w:themeColor="accent1"/>
              </w:rPr>
              <w:t>$500.000.000*</w:t>
            </w:r>
          </w:p>
        </w:tc>
      </w:tr>
      <w:tr w:rsidR="003D431F" w:rsidRPr="003305C1" w14:paraId="1EEB9C58" w14:textId="77777777" w:rsidTr="00C77BCA">
        <w:tc>
          <w:tcPr>
            <w:tcW w:w="1523" w:type="dxa"/>
          </w:tcPr>
          <w:p w14:paraId="73058907" w14:textId="77777777" w:rsidR="003D431F" w:rsidRPr="003305C1" w:rsidRDefault="003D431F" w:rsidP="005950B4">
            <w:pPr>
              <w:pStyle w:val="Default"/>
              <w:jc w:val="both"/>
            </w:pPr>
            <w:r w:rsidRPr="003305C1">
              <w:t xml:space="preserve">Microcrédito </w:t>
            </w:r>
          </w:p>
        </w:tc>
        <w:tc>
          <w:tcPr>
            <w:tcW w:w="3150" w:type="dxa"/>
            <w:vAlign w:val="center"/>
          </w:tcPr>
          <w:p w14:paraId="3666C04A" w14:textId="5B6225EC" w:rsidR="003D431F" w:rsidRPr="003305C1" w:rsidRDefault="00344E8D" w:rsidP="00C77BCA">
            <w:pPr>
              <w:pStyle w:val="Default"/>
              <w:jc w:val="center"/>
              <w:rPr>
                <w:color w:val="4F81BD" w:themeColor="accent1"/>
              </w:rPr>
            </w:pPr>
            <w:r w:rsidRPr="00344E8D">
              <w:rPr>
                <w:color w:val="4F81BD" w:themeColor="accent1"/>
              </w:rPr>
              <w:t>$500.000.000*</w:t>
            </w:r>
          </w:p>
        </w:tc>
      </w:tr>
      <w:tr w:rsidR="003D431F" w:rsidRPr="003305C1" w14:paraId="663E000F" w14:textId="77777777" w:rsidTr="00C77BCA">
        <w:tc>
          <w:tcPr>
            <w:tcW w:w="1523" w:type="dxa"/>
          </w:tcPr>
          <w:p w14:paraId="4FD99E0E" w14:textId="77777777" w:rsidR="003D431F" w:rsidRPr="003305C1" w:rsidRDefault="003D431F" w:rsidP="005950B4">
            <w:pPr>
              <w:pStyle w:val="Default"/>
              <w:jc w:val="both"/>
            </w:pPr>
            <w:r w:rsidRPr="003305C1">
              <w:t xml:space="preserve">Vivienda </w:t>
            </w:r>
          </w:p>
        </w:tc>
        <w:tc>
          <w:tcPr>
            <w:tcW w:w="3150" w:type="dxa"/>
            <w:vAlign w:val="center"/>
          </w:tcPr>
          <w:p w14:paraId="6A9160DD" w14:textId="5F983197" w:rsidR="003D431F" w:rsidRPr="003305C1" w:rsidRDefault="00344E8D" w:rsidP="00C77BCA">
            <w:pPr>
              <w:pStyle w:val="Default"/>
              <w:jc w:val="center"/>
              <w:rPr>
                <w:color w:val="4F81BD" w:themeColor="accent1"/>
              </w:rPr>
            </w:pPr>
            <w:r w:rsidRPr="00344E8D">
              <w:rPr>
                <w:color w:val="4F81BD" w:themeColor="accent1"/>
              </w:rPr>
              <w:t>$500.000.000*</w:t>
            </w:r>
          </w:p>
        </w:tc>
      </w:tr>
    </w:tbl>
    <w:p w14:paraId="687B6ED1" w14:textId="06D44444" w:rsidR="003D431F" w:rsidRPr="003305C1" w:rsidRDefault="003D431F" w:rsidP="000C3A19">
      <w:pPr>
        <w:jc w:val="both"/>
        <w:rPr>
          <w:rFonts w:ascii="Arial" w:hAnsi="Arial" w:cs="Arial"/>
          <w:b/>
          <w:spacing w:val="-3"/>
          <w:sz w:val="24"/>
          <w:szCs w:val="24"/>
        </w:rPr>
      </w:pPr>
    </w:p>
    <w:p w14:paraId="184B8E37" w14:textId="259B9F96" w:rsidR="003D431F" w:rsidRPr="003305C1" w:rsidRDefault="003D431F" w:rsidP="003D431F">
      <w:pPr>
        <w:ind w:left="680"/>
        <w:jc w:val="both"/>
        <w:rPr>
          <w:rFonts w:ascii="Arial" w:hAnsi="Arial" w:cs="Arial"/>
          <w:b/>
          <w:spacing w:val="-3"/>
          <w:sz w:val="24"/>
          <w:szCs w:val="24"/>
        </w:rPr>
      </w:pPr>
    </w:p>
    <w:p w14:paraId="37910373" w14:textId="513E1444" w:rsidR="000C3A19" w:rsidRPr="003305C1" w:rsidRDefault="000C3A19" w:rsidP="003D431F">
      <w:pPr>
        <w:ind w:left="680"/>
        <w:jc w:val="both"/>
        <w:rPr>
          <w:rFonts w:ascii="Arial" w:hAnsi="Arial" w:cs="Arial"/>
          <w:b/>
          <w:spacing w:val="-3"/>
          <w:sz w:val="24"/>
          <w:szCs w:val="24"/>
        </w:rPr>
      </w:pPr>
    </w:p>
    <w:p w14:paraId="559C451A" w14:textId="6713CC76" w:rsidR="000C3A19" w:rsidRPr="003305C1" w:rsidRDefault="000C3A19" w:rsidP="003D431F">
      <w:pPr>
        <w:ind w:left="680"/>
        <w:jc w:val="both"/>
        <w:rPr>
          <w:rFonts w:ascii="Arial" w:hAnsi="Arial" w:cs="Arial"/>
          <w:b/>
          <w:spacing w:val="-3"/>
          <w:sz w:val="24"/>
          <w:szCs w:val="24"/>
        </w:rPr>
      </w:pPr>
    </w:p>
    <w:p w14:paraId="7D97B8C9" w14:textId="4098E2C4" w:rsidR="000C3A19" w:rsidRPr="003305C1" w:rsidRDefault="000C3A19" w:rsidP="003D431F">
      <w:pPr>
        <w:ind w:left="680"/>
        <w:jc w:val="both"/>
        <w:rPr>
          <w:rFonts w:ascii="Arial" w:hAnsi="Arial" w:cs="Arial"/>
          <w:b/>
          <w:spacing w:val="-3"/>
          <w:sz w:val="24"/>
          <w:szCs w:val="24"/>
        </w:rPr>
      </w:pPr>
    </w:p>
    <w:p w14:paraId="1758127E" w14:textId="77777777" w:rsidR="00344E8D" w:rsidRDefault="00344E8D" w:rsidP="00344E8D">
      <w:pPr>
        <w:jc w:val="both"/>
        <w:rPr>
          <w:rFonts w:ascii="Arial" w:hAnsi="Arial" w:cs="Arial"/>
          <w:b/>
          <w:spacing w:val="-3"/>
          <w:sz w:val="24"/>
          <w:szCs w:val="24"/>
        </w:rPr>
      </w:pPr>
    </w:p>
    <w:p w14:paraId="44405AD6" w14:textId="61D3C011" w:rsidR="000C3A19" w:rsidRDefault="00344E8D" w:rsidP="00344E8D">
      <w:pPr>
        <w:jc w:val="both"/>
        <w:rPr>
          <w:rFonts w:ascii="Arial" w:hAnsi="Arial" w:cs="Arial"/>
          <w:bCs/>
          <w:spacing w:val="-3"/>
          <w:sz w:val="24"/>
          <w:szCs w:val="24"/>
        </w:rPr>
      </w:pPr>
      <w:r w:rsidRPr="00344E8D">
        <w:rPr>
          <w:rFonts w:ascii="Arial" w:hAnsi="Arial" w:cs="Arial"/>
          <w:bCs/>
          <w:spacing w:val="-3"/>
          <w:sz w:val="24"/>
          <w:szCs w:val="24"/>
        </w:rPr>
        <w:t xml:space="preserve">*Montos superiores a $500.000.000 previa autorización de la compañía y estudio de documentos exigidos </w:t>
      </w:r>
    </w:p>
    <w:p w14:paraId="137C41BE" w14:textId="77777777" w:rsidR="000972AD" w:rsidRPr="00344E8D" w:rsidRDefault="000972AD" w:rsidP="00344E8D">
      <w:pPr>
        <w:jc w:val="both"/>
        <w:rPr>
          <w:rFonts w:ascii="Arial" w:hAnsi="Arial" w:cs="Arial"/>
          <w:bCs/>
          <w:spacing w:val="-3"/>
          <w:sz w:val="24"/>
          <w:szCs w:val="24"/>
        </w:rPr>
      </w:pPr>
    </w:p>
    <w:p w14:paraId="21DEC489" w14:textId="77777777" w:rsidR="00344E8D" w:rsidRPr="003305C1" w:rsidRDefault="00344E8D" w:rsidP="00344E8D">
      <w:pPr>
        <w:jc w:val="both"/>
        <w:rPr>
          <w:rFonts w:ascii="Arial" w:hAnsi="Arial" w:cs="Arial"/>
          <w:b/>
          <w:spacing w:val="-3"/>
          <w:sz w:val="24"/>
          <w:szCs w:val="24"/>
        </w:rPr>
      </w:pPr>
    </w:p>
    <w:p w14:paraId="2B4D49C3" w14:textId="7C4374A7" w:rsidR="003D431F" w:rsidRPr="003305C1" w:rsidRDefault="003D431F" w:rsidP="000C3A19">
      <w:pPr>
        <w:numPr>
          <w:ilvl w:val="2"/>
          <w:numId w:val="32"/>
        </w:numPr>
        <w:jc w:val="both"/>
        <w:rPr>
          <w:rFonts w:ascii="Arial" w:hAnsi="Arial" w:cs="Arial"/>
          <w:b/>
          <w:bCs/>
          <w:sz w:val="24"/>
          <w:szCs w:val="24"/>
        </w:rPr>
      </w:pPr>
      <w:r w:rsidRPr="003305C1">
        <w:rPr>
          <w:rFonts w:ascii="Arial" w:hAnsi="Arial" w:cs="Arial"/>
          <w:b/>
          <w:bCs/>
          <w:sz w:val="24"/>
          <w:szCs w:val="24"/>
        </w:rPr>
        <w:lastRenderedPageBreak/>
        <w:t>LÍMITE POR AMPAROS DE SEGUROS DE VIDA DEUDORES POR EDAD</w:t>
      </w:r>
    </w:p>
    <w:tbl>
      <w:tblPr>
        <w:tblStyle w:val="Tablaconcuadrcula"/>
        <w:tblpPr w:leftFromText="141" w:rightFromText="141" w:vertAnchor="text" w:horzAnchor="margin" w:tblpXSpec="center" w:tblpY="162"/>
        <w:tblW w:w="0" w:type="auto"/>
        <w:tblLook w:val="04A0" w:firstRow="1" w:lastRow="0" w:firstColumn="1" w:lastColumn="0" w:noHBand="0" w:noVBand="1"/>
      </w:tblPr>
      <w:tblGrid>
        <w:gridCol w:w="1523"/>
        <w:gridCol w:w="3150"/>
      </w:tblGrid>
      <w:tr w:rsidR="000972AD" w:rsidRPr="003305C1" w14:paraId="1D224355" w14:textId="77777777" w:rsidTr="000972AD">
        <w:trPr>
          <w:trHeight w:val="56"/>
        </w:trPr>
        <w:tc>
          <w:tcPr>
            <w:tcW w:w="1523" w:type="dxa"/>
            <w:vAlign w:val="center"/>
          </w:tcPr>
          <w:p w14:paraId="68903346" w14:textId="77777777" w:rsidR="000972AD" w:rsidRPr="003305C1" w:rsidRDefault="000972AD" w:rsidP="000972AD">
            <w:pPr>
              <w:jc w:val="center"/>
              <w:rPr>
                <w:rFonts w:ascii="Arial" w:hAnsi="Arial" w:cs="Arial"/>
                <w:b/>
                <w:spacing w:val="-3"/>
                <w:sz w:val="24"/>
                <w:szCs w:val="24"/>
              </w:rPr>
            </w:pPr>
            <w:r w:rsidRPr="003305C1">
              <w:rPr>
                <w:rFonts w:ascii="Arial" w:hAnsi="Arial" w:cs="Arial"/>
                <w:b/>
                <w:bCs/>
                <w:sz w:val="24"/>
                <w:szCs w:val="24"/>
              </w:rPr>
              <w:t>Modalidad</w:t>
            </w:r>
          </w:p>
        </w:tc>
        <w:tc>
          <w:tcPr>
            <w:tcW w:w="3150" w:type="dxa"/>
            <w:vAlign w:val="center"/>
          </w:tcPr>
          <w:p w14:paraId="7F0BE875" w14:textId="77777777" w:rsidR="000972AD" w:rsidRPr="003305C1" w:rsidRDefault="000972AD" w:rsidP="000972AD">
            <w:pPr>
              <w:pStyle w:val="Default"/>
              <w:jc w:val="center"/>
              <w:rPr>
                <w:b/>
                <w:bCs/>
              </w:rPr>
            </w:pPr>
            <w:r w:rsidRPr="003305C1">
              <w:rPr>
                <w:b/>
                <w:bCs/>
              </w:rPr>
              <w:t>EDAD MÁXIMA</w:t>
            </w:r>
          </w:p>
        </w:tc>
      </w:tr>
      <w:tr w:rsidR="000972AD" w:rsidRPr="003305C1" w14:paraId="1EB490BB" w14:textId="77777777" w:rsidTr="000972AD">
        <w:trPr>
          <w:trHeight w:val="56"/>
        </w:trPr>
        <w:tc>
          <w:tcPr>
            <w:tcW w:w="1523" w:type="dxa"/>
          </w:tcPr>
          <w:p w14:paraId="467DD644" w14:textId="77777777" w:rsidR="000972AD" w:rsidRPr="003305C1" w:rsidRDefault="000972AD" w:rsidP="000972AD">
            <w:pPr>
              <w:pStyle w:val="Default"/>
              <w:jc w:val="both"/>
            </w:pPr>
            <w:r w:rsidRPr="003305C1">
              <w:t xml:space="preserve">Consumo </w:t>
            </w:r>
          </w:p>
        </w:tc>
        <w:tc>
          <w:tcPr>
            <w:tcW w:w="3150" w:type="dxa"/>
            <w:vAlign w:val="center"/>
          </w:tcPr>
          <w:p w14:paraId="6491C5FE" w14:textId="77777777" w:rsidR="000972AD" w:rsidRPr="003305C1" w:rsidRDefault="000972AD" w:rsidP="000972AD">
            <w:pPr>
              <w:pStyle w:val="Default"/>
              <w:jc w:val="center"/>
              <w:rPr>
                <w:color w:val="4F81BD" w:themeColor="accent1"/>
              </w:rPr>
            </w:pPr>
            <w:r w:rsidRPr="003305C1">
              <w:t>7</w:t>
            </w:r>
            <w:r>
              <w:t>0</w:t>
            </w:r>
            <w:r w:rsidRPr="003305C1">
              <w:t xml:space="preserve"> años</w:t>
            </w:r>
            <w:r>
              <w:t xml:space="preserve"> y 364 días</w:t>
            </w:r>
          </w:p>
        </w:tc>
      </w:tr>
      <w:tr w:rsidR="000972AD" w:rsidRPr="003305C1" w14:paraId="0C760892" w14:textId="77777777" w:rsidTr="000972AD">
        <w:tc>
          <w:tcPr>
            <w:tcW w:w="1523" w:type="dxa"/>
          </w:tcPr>
          <w:p w14:paraId="1021176D" w14:textId="77777777" w:rsidR="000972AD" w:rsidRPr="003305C1" w:rsidRDefault="000972AD" w:rsidP="000972AD">
            <w:pPr>
              <w:pStyle w:val="Default"/>
              <w:jc w:val="both"/>
            </w:pPr>
            <w:r w:rsidRPr="003305C1">
              <w:t xml:space="preserve">Microcrédito </w:t>
            </w:r>
          </w:p>
        </w:tc>
        <w:tc>
          <w:tcPr>
            <w:tcW w:w="3150" w:type="dxa"/>
            <w:vAlign w:val="center"/>
          </w:tcPr>
          <w:p w14:paraId="608C5AA1" w14:textId="77777777" w:rsidR="000972AD" w:rsidRPr="003305C1" w:rsidRDefault="000972AD" w:rsidP="000972AD">
            <w:pPr>
              <w:pStyle w:val="Default"/>
              <w:jc w:val="center"/>
              <w:rPr>
                <w:color w:val="4F81BD" w:themeColor="accent1"/>
              </w:rPr>
            </w:pPr>
            <w:r w:rsidRPr="003305C1">
              <w:t>7</w:t>
            </w:r>
            <w:r>
              <w:t>0</w:t>
            </w:r>
            <w:r w:rsidRPr="003305C1">
              <w:t xml:space="preserve"> años</w:t>
            </w:r>
            <w:r>
              <w:t xml:space="preserve"> y 364 días</w:t>
            </w:r>
          </w:p>
        </w:tc>
      </w:tr>
      <w:tr w:rsidR="000972AD" w:rsidRPr="003305C1" w14:paraId="3880AAA4" w14:textId="77777777" w:rsidTr="000972AD">
        <w:tc>
          <w:tcPr>
            <w:tcW w:w="1523" w:type="dxa"/>
          </w:tcPr>
          <w:p w14:paraId="27338E6D" w14:textId="77777777" w:rsidR="000972AD" w:rsidRPr="003305C1" w:rsidRDefault="000972AD" w:rsidP="000972AD">
            <w:pPr>
              <w:pStyle w:val="Default"/>
              <w:jc w:val="both"/>
            </w:pPr>
            <w:r w:rsidRPr="003305C1">
              <w:t xml:space="preserve">Vivienda </w:t>
            </w:r>
          </w:p>
        </w:tc>
        <w:tc>
          <w:tcPr>
            <w:tcW w:w="3150" w:type="dxa"/>
            <w:vAlign w:val="center"/>
          </w:tcPr>
          <w:p w14:paraId="7FEBA6B6" w14:textId="77777777" w:rsidR="000972AD" w:rsidRPr="003305C1" w:rsidRDefault="000972AD" w:rsidP="000972AD">
            <w:pPr>
              <w:pStyle w:val="Default"/>
              <w:jc w:val="center"/>
              <w:rPr>
                <w:color w:val="4F81BD" w:themeColor="accent1"/>
              </w:rPr>
            </w:pPr>
            <w:r w:rsidRPr="003305C1">
              <w:t>7</w:t>
            </w:r>
            <w:r>
              <w:t>0</w:t>
            </w:r>
            <w:r w:rsidRPr="003305C1">
              <w:t xml:space="preserve"> años</w:t>
            </w:r>
            <w:r>
              <w:t xml:space="preserve"> y 364 días</w:t>
            </w:r>
          </w:p>
        </w:tc>
      </w:tr>
    </w:tbl>
    <w:p w14:paraId="3BDBA4E6" w14:textId="17F4ECD2" w:rsidR="003D431F" w:rsidRPr="003305C1" w:rsidRDefault="003D431F" w:rsidP="003D431F">
      <w:pPr>
        <w:ind w:left="680"/>
        <w:jc w:val="both"/>
        <w:rPr>
          <w:rFonts w:ascii="Arial" w:hAnsi="Arial" w:cs="Arial"/>
          <w:b/>
          <w:spacing w:val="-3"/>
          <w:sz w:val="24"/>
          <w:szCs w:val="24"/>
        </w:rPr>
      </w:pPr>
    </w:p>
    <w:p w14:paraId="2A2DEA04" w14:textId="3E7757FF" w:rsidR="003D431F" w:rsidRPr="003305C1" w:rsidRDefault="003D431F" w:rsidP="003D431F">
      <w:pPr>
        <w:ind w:left="680"/>
        <w:jc w:val="both"/>
        <w:rPr>
          <w:rFonts w:ascii="Arial" w:hAnsi="Arial" w:cs="Arial"/>
          <w:b/>
          <w:spacing w:val="-3"/>
          <w:sz w:val="24"/>
          <w:szCs w:val="24"/>
        </w:rPr>
      </w:pPr>
    </w:p>
    <w:p w14:paraId="0377A27D" w14:textId="3318AC6F" w:rsidR="003D431F" w:rsidRDefault="003D431F" w:rsidP="003D431F">
      <w:pPr>
        <w:ind w:left="680"/>
        <w:jc w:val="both"/>
        <w:rPr>
          <w:rFonts w:ascii="Arial" w:hAnsi="Arial" w:cs="Arial"/>
          <w:b/>
          <w:spacing w:val="-3"/>
          <w:sz w:val="24"/>
          <w:szCs w:val="24"/>
        </w:rPr>
      </w:pPr>
    </w:p>
    <w:p w14:paraId="549BF192" w14:textId="7D8F404F" w:rsidR="00344E8D" w:rsidRDefault="00344E8D" w:rsidP="003D431F">
      <w:pPr>
        <w:ind w:left="680"/>
        <w:jc w:val="both"/>
        <w:rPr>
          <w:rFonts w:ascii="Arial" w:hAnsi="Arial" w:cs="Arial"/>
          <w:b/>
          <w:spacing w:val="-3"/>
          <w:sz w:val="24"/>
          <w:szCs w:val="24"/>
        </w:rPr>
      </w:pPr>
    </w:p>
    <w:p w14:paraId="611BF23D" w14:textId="77777777" w:rsidR="000972AD" w:rsidRPr="003305C1" w:rsidRDefault="000972AD" w:rsidP="003D431F">
      <w:pPr>
        <w:ind w:left="680"/>
        <w:jc w:val="both"/>
        <w:rPr>
          <w:rFonts w:ascii="Arial" w:hAnsi="Arial" w:cs="Arial"/>
          <w:b/>
          <w:spacing w:val="-3"/>
          <w:sz w:val="24"/>
          <w:szCs w:val="24"/>
        </w:rPr>
      </w:pPr>
    </w:p>
    <w:p w14:paraId="381498E1" w14:textId="0939BBA5" w:rsidR="00FA16AE" w:rsidRPr="003305C1" w:rsidRDefault="00FA16AE" w:rsidP="0092336A">
      <w:pPr>
        <w:jc w:val="both"/>
        <w:rPr>
          <w:rFonts w:ascii="Arial" w:hAnsi="Arial" w:cs="Arial"/>
          <w:color w:val="4F81BD" w:themeColor="accent1"/>
          <w:sz w:val="24"/>
          <w:szCs w:val="24"/>
        </w:rPr>
      </w:pPr>
    </w:p>
    <w:p w14:paraId="346B323A" w14:textId="421CA251" w:rsidR="00EF61DD" w:rsidRPr="003305C1" w:rsidRDefault="009424BB" w:rsidP="00EF61DD">
      <w:pPr>
        <w:numPr>
          <w:ilvl w:val="2"/>
          <w:numId w:val="32"/>
        </w:numPr>
        <w:jc w:val="both"/>
        <w:rPr>
          <w:rFonts w:ascii="Arial" w:hAnsi="Arial" w:cs="Arial"/>
          <w:color w:val="4F81BD" w:themeColor="accent1"/>
          <w:sz w:val="24"/>
          <w:szCs w:val="24"/>
        </w:rPr>
      </w:pPr>
      <w:bookmarkStart w:id="1" w:name="_Ref83832153"/>
      <w:r w:rsidRPr="003305C1">
        <w:rPr>
          <w:rFonts w:ascii="Arial" w:hAnsi="Arial" w:cs="Arial"/>
          <w:b/>
          <w:bCs/>
          <w:sz w:val="24"/>
          <w:szCs w:val="24"/>
        </w:rPr>
        <w:t>ENDEUDAMIENTO MÁXIMO POR TIPO DE ASOCIADO</w:t>
      </w:r>
      <w:r w:rsidRPr="003305C1">
        <w:rPr>
          <w:rFonts w:ascii="Arial" w:hAnsi="Arial" w:cs="Arial"/>
          <w:color w:val="4F81BD" w:themeColor="accent1"/>
          <w:sz w:val="24"/>
          <w:szCs w:val="24"/>
        </w:rPr>
        <w:t>.</w:t>
      </w:r>
      <w:bookmarkEnd w:id="1"/>
    </w:p>
    <w:p w14:paraId="402EC9F5" w14:textId="77777777" w:rsidR="00EF61DD" w:rsidRPr="003305C1" w:rsidRDefault="00EF61DD" w:rsidP="00EF61DD">
      <w:pPr>
        <w:jc w:val="both"/>
        <w:rPr>
          <w:rFonts w:ascii="Arial" w:hAnsi="Arial" w:cs="Arial"/>
          <w:color w:val="4F81BD" w:themeColor="accent1"/>
          <w:sz w:val="24"/>
          <w:szCs w:val="24"/>
        </w:rPr>
      </w:pPr>
    </w:p>
    <w:p w14:paraId="44B3474D" w14:textId="1B16AAF5" w:rsidR="00EF61DD" w:rsidRPr="003305C1" w:rsidRDefault="00EF61DD" w:rsidP="00095BF7">
      <w:pPr>
        <w:jc w:val="both"/>
        <w:rPr>
          <w:rFonts w:ascii="Arial" w:hAnsi="Arial" w:cs="Arial"/>
          <w:color w:val="4F81BD" w:themeColor="accent1"/>
          <w:sz w:val="24"/>
          <w:szCs w:val="24"/>
        </w:rPr>
      </w:pPr>
      <w:r w:rsidRPr="003305C1">
        <w:rPr>
          <w:rFonts w:ascii="Arial" w:hAnsi="Arial" w:cs="Arial"/>
          <w:sz w:val="24"/>
          <w:szCs w:val="24"/>
        </w:rPr>
        <w:t>El valor máximo acumulado, teniendo en cuenta todas las líneas y destinos de crédito que tengan en FONEDH, se establece de acuerdo con la cobertura de la póliza de vida deudores</w:t>
      </w:r>
      <w:r w:rsidRPr="003305C1">
        <w:rPr>
          <w:rFonts w:ascii="Arial" w:hAnsi="Arial" w:cs="Arial"/>
          <w:color w:val="4F81BD" w:themeColor="accent1"/>
          <w:sz w:val="24"/>
          <w:szCs w:val="24"/>
        </w:rPr>
        <w:t>:</w:t>
      </w:r>
    </w:p>
    <w:tbl>
      <w:tblPr>
        <w:tblStyle w:val="Tablaconcuadrcula"/>
        <w:tblpPr w:leftFromText="141" w:rightFromText="141" w:vertAnchor="text" w:horzAnchor="margin" w:tblpXSpec="center" w:tblpY="220"/>
        <w:tblW w:w="0" w:type="auto"/>
        <w:tblLook w:val="04A0" w:firstRow="1" w:lastRow="0" w:firstColumn="1" w:lastColumn="0" w:noHBand="0" w:noVBand="1"/>
      </w:tblPr>
      <w:tblGrid>
        <w:gridCol w:w="1523"/>
        <w:gridCol w:w="3150"/>
      </w:tblGrid>
      <w:tr w:rsidR="00EF61DD" w:rsidRPr="003305C1" w14:paraId="37BDE27A" w14:textId="77777777" w:rsidTr="00C77BCA">
        <w:trPr>
          <w:trHeight w:val="56"/>
        </w:trPr>
        <w:tc>
          <w:tcPr>
            <w:tcW w:w="1523" w:type="dxa"/>
            <w:vAlign w:val="center"/>
          </w:tcPr>
          <w:p w14:paraId="6210608D" w14:textId="77777777" w:rsidR="00EF61DD" w:rsidRPr="003305C1" w:rsidRDefault="00EF61DD" w:rsidP="00C77BCA">
            <w:pPr>
              <w:jc w:val="center"/>
              <w:rPr>
                <w:rFonts w:ascii="Arial" w:hAnsi="Arial" w:cs="Arial"/>
                <w:b/>
                <w:spacing w:val="-3"/>
                <w:sz w:val="24"/>
                <w:szCs w:val="24"/>
              </w:rPr>
            </w:pPr>
            <w:r w:rsidRPr="003305C1">
              <w:rPr>
                <w:rFonts w:ascii="Arial" w:hAnsi="Arial" w:cs="Arial"/>
                <w:b/>
                <w:bCs/>
                <w:sz w:val="24"/>
                <w:szCs w:val="24"/>
              </w:rPr>
              <w:t>Modalidad</w:t>
            </w:r>
          </w:p>
        </w:tc>
        <w:tc>
          <w:tcPr>
            <w:tcW w:w="3150" w:type="dxa"/>
            <w:vAlign w:val="center"/>
          </w:tcPr>
          <w:p w14:paraId="2954DD63" w14:textId="602D68A6" w:rsidR="00EF61DD" w:rsidRPr="003305C1" w:rsidRDefault="00EF61DD" w:rsidP="00C77BCA">
            <w:pPr>
              <w:pStyle w:val="Default"/>
              <w:jc w:val="center"/>
            </w:pPr>
            <w:r w:rsidRPr="003305C1">
              <w:rPr>
                <w:b/>
                <w:bCs/>
              </w:rPr>
              <w:t>Monto Máximo de endeudamiento (SMMLV)</w:t>
            </w:r>
          </w:p>
        </w:tc>
      </w:tr>
      <w:tr w:rsidR="00EF61DD" w:rsidRPr="003305C1" w14:paraId="3A38AB33" w14:textId="77777777" w:rsidTr="00C77BCA">
        <w:trPr>
          <w:trHeight w:val="56"/>
        </w:trPr>
        <w:tc>
          <w:tcPr>
            <w:tcW w:w="1523" w:type="dxa"/>
          </w:tcPr>
          <w:p w14:paraId="0AA62F0D" w14:textId="77777777" w:rsidR="00EF61DD" w:rsidRPr="003305C1" w:rsidRDefault="00EF61DD" w:rsidP="00EF61DD">
            <w:pPr>
              <w:pStyle w:val="Default"/>
              <w:jc w:val="both"/>
            </w:pPr>
            <w:r w:rsidRPr="003305C1">
              <w:t xml:space="preserve">Consumo </w:t>
            </w:r>
          </w:p>
        </w:tc>
        <w:tc>
          <w:tcPr>
            <w:tcW w:w="3150" w:type="dxa"/>
            <w:vAlign w:val="center"/>
          </w:tcPr>
          <w:p w14:paraId="2467B933" w14:textId="03B5FDF3" w:rsidR="00EF61DD" w:rsidRPr="003305C1" w:rsidRDefault="000972AD" w:rsidP="00C77BCA">
            <w:pPr>
              <w:pStyle w:val="Default"/>
              <w:jc w:val="center"/>
              <w:rPr>
                <w:color w:val="4F81BD" w:themeColor="accent1"/>
              </w:rPr>
            </w:pPr>
            <w:r w:rsidRPr="00344E8D">
              <w:rPr>
                <w:color w:val="4F81BD" w:themeColor="accent1"/>
              </w:rPr>
              <w:t>$</w:t>
            </w:r>
            <w:r w:rsidR="009424BB">
              <w:t xml:space="preserve"> </w:t>
            </w:r>
            <w:r w:rsidR="009424BB" w:rsidRPr="009424BB">
              <w:rPr>
                <w:color w:val="4F81BD" w:themeColor="accent1"/>
              </w:rPr>
              <w:t>518.529.022</w:t>
            </w:r>
          </w:p>
        </w:tc>
      </w:tr>
      <w:tr w:rsidR="00EF61DD" w:rsidRPr="003305C1" w14:paraId="1C660656" w14:textId="77777777" w:rsidTr="00C77BCA">
        <w:tc>
          <w:tcPr>
            <w:tcW w:w="1523" w:type="dxa"/>
          </w:tcPr>
          <w:p w14:paraId="2B0C9CEB" w14:textId="77777777" w:rsidR="00EF61DD" w:rsidRPr="003305C1" w:rsidRDefault="00EF61DD" w:rsidP="00EF61DD">
            <w:pPr>
              <w:pStyle w:val="Default"/>
              <w:jc w:val="both"/>
            </w:pPr>
            <w:r w:rsidRPr="003305C1">
              <w:t xml:space="preserve">Microcrédito </w:t>
            </w:r>
          </w:p>
        </w:tc>
        <w:tc>
          <w:tcPr>
            <w:tcW w:w="3150" w:type="dxa"/>
            <w:vAlign w:val="center"/>
          </w:tcPr>
          <w:p w14:paraId="1DECB199" w14:textId="3BA14570" w:rsidR="00EF61DD" w:rsidRPr="003305C1" w:rsidRDefault="000972AD" w:rsidP="00C77BCA">
            <w:pPr>
              <w:pStyle w:val="Default"/>
              <w:jc w:val="center"/>
              <w:rPr>
                <w:color w:val="4F81BD" w:themeColor="accent1"/>
              </w:rPr>
            </w:pPr>
            <w:r w:rsidRPr="00344E8D">
              <w:rPr>
                <w:color w:val="4F81BD" w:themeColor="accent1"/>
              </w:rPr>
              <w:t>$</w:t>
            </w:r>
            <w:r w:rsidR="009424BB">
              <w:t xml:space="preserve"> </w:t>
            </w:r>
            <w:r w:rsidR="009424BB" w:rsidRPr="009424BB">
              <w:rPr>
                <w:color w:val="4F81BD" w:themeColor="accent1"/>
              </w:rPr>
              <w:t>518.529.022</w:t>
            </w:r>
          </w:p>
        </w:tc>
      </w:tr>
      <w:tr w:rsidR="00EF61DD" w:rsidRPr="003305C1" w14:paraId="1D191B98" w14:textId="77777777" w:rsidTr="00C77BCA">
        <w:tc>
          <w:tcPr>
            <w:tcW w:w="1523" w:type="dxa"/>
          </w:tcPr>
          <w:p w14:paraId="110DDD39" w14:textId="77777777" w:rsidR="00EF61DD" w:rsidRPr="003305C1" w:rsidRDefault="00EF61DD" w:rsidP="00EF61DD">
            <w:pPr>
              <w:pStyle w:val="Default"/>
              <w:jc w:val="both"/>
            </w:pPr>
            <w:r w:rsidRPr="003305C1">
              <w:t xml:space="preserve">Vivienda </w:t>
            </w:r>
          </w:p>
        </w:tc>
        <w:tc>
          <w:tcPr>
            <w:tcW w:w="3150" w:type="dxa"/>
            <w:vAlign w:val="center"/>
          </w:tcPr>
          <w:p w14:paraId="5BEC8E3A" w14:textId="21E71A8D" w:rsidR="00EF61DD" w:rsidRPr="003305C1" w:rsidRDefault="000972AD" w:rsidP="00C77BCA">
            <w:pPr>
              <w:pStyle w:val="Default"/>
              <w:jc w:val="center"/>
              <w:rPr>
                <w:color w:val="4F81BD" w:themeColor="accent1"/>
              </w:rPr>
            </w:pPr>
            <w:r w:rsidRPr="00344E8D">
              <w:rPr>
                <w:color w:val="4F81BD" w:themeColor="accent1"/>
              </w:rPr>
              <w:t>$</w:t>
            </w:r>
            <w:r w:rsidR="009424BB">
              <w:t xml:space="preserve"> </w:t>
            </w:r>
            <w:r w:rsidR="009424BB" w:rsidRPr="009424BB">
              <w:rPr>
                <w:color w:val="4F81BD" w:themeColor="accent1"/>
              </w:rPr>
              <w:t>518.529.022</w:t>
            </w:r>
          </w:p>
        </w:tc>
      </w:tr>
    </w:tbl>
    <w:p w14:paraId="4FA92D9A" w14:textId="3FBB9B70" w:rsidR="00EF61DD" w:rsidRPr="003305C1" w:rsidRDefault="00EF61DD" w:rsidP="00EF61DD">
      <w:pPr>
        <w:jc w:val="both"/>
        <w:rPr>
          <w:rFonts w:ascii="Arial" w:hAnsi="Arial" w:cs="Arial"/>
          <w:color w:val="4F81BD" w:themeColor="accent1"/>
          <w:sz w:val="24"/>
          <w:szCs w:val="24"/>
        </w:rPr>
      </w:pPr>
    </w:p>
    <w:p w14:paraId="1B46F2A7" w14:textId="0BD7B7C7" w:rsidR="00EF61DD" w:rsidRPr="003305C1" w:rsidRDefault="00EF61DD" w:rsidP="00EF61DD">
      <w:pPr>
        <w:jc w:val="both"/>
        <w:rPr>
          <w:rFonts w:ascii="Arial" w:hAnsi="Arial" w:cs="Arial"/>
          <w:color w:val="4F81BD" w:themeColor="accent1"/>
          <w:sz w:val="24"/>
          <w:szCs w:val="24"/>
        </w:rPr>
      </w:pPr>
    </w:p>
    <w:p w14:paraId="6DB20F3A" w14:textId="62FF1E47" w:rsidR="00EF61DD" w:rsidRPr="003305C1" w:rsidRDefault="00EF61DD" w:rsidP="00EF61DD">
      <w:pPr>
        <w:jc w:val="both"/>
        <w:rPr>
          <w:rFonts w:ascii="Arial" w:hAnsi="Arial" w:cs="Arial"/>
          <w:color w:val="4F81BD" w:themeColor="accent1"/>
          <w:sz w:val="24"/>
          <w:szCs w:val="24"/>
        </w:rPr>
      </w:pPr>
    </w:p>
    <w:p w14:paraId="70396D85" w14:textId="77777777" w:rsidR="00EF61DD" w:rsidRPr="003305C1" w:rsidRDefault="00EF61DD" w:rsidP="00EF61DD">
      <w:pPr>
        <w:jc w:val="both"/>
        <w:rPr>
          <w:rFonts w:ascii="Arial" w:hAnsi="Arial" w:cs="Arial"/>
          <w:color w:val="4F81BD" w:themeColor="accent1"/>
          <w:sz w:val="24"/>
          <w:szCs w:val="24"/>
        </w:rPr>
      </w:pPr>
    </w:p>
    <w:p w14:paraId="54647CCF" w14:textId="77777777" w:rsidR="00EF61DD" w:rsidRPr="003305C1" w:rsidRDefault="00EF61DD" w:rsidP="00EF61DD">
      <w:pPr>
        <w:jc w:val="both"/>
        <w:rPr>
          <w:rFonts w:ascii="Arial" w:hAnsi="Arial" w:cs="Arial"/>
          <w:color w:val="4F81BD" w:themeColor="accent1"/>
          <w:sz w:val="24"/>
          <w:szCs w:val="24"/>
        </w:rPr>
      </w:pPr>
    </w:p>
    <w:p w14:paraId="3EF9E245" w14:textId="49149327" w:rsidR="00EF61DD" w:rsidRPr="003305C1" w:rsidRDefault="00EF61DD" w:rsidP="00EF61DD">
      <w:pPr>
        <w:jc w:val="both"/>
        <w:rPr>
          <w:rFonts w:ascii="Arial" w:hAnsi="Arial" w:cs="Arial"/>
          <w:color w:val="4F81BD" w:themeColor="accent1"/>
          <w:sz w:val="24"/>
          <w:szCs w:val="24"/>
        </w:rPr>
      </w:pPr>
    </w:p>
    <w:p w14:paraId="355E19C2" w14:textId="77777777" w:rsidR="00EF61DD" w:rsidRPr="003305C1" w:rsidRDefault="00EF61DD" w:rsidP="00EF61DD">
      <w:pPr>
        <w:jc w:val="both"/>
        <w:rPr>
          <w:rFonts w:ascii="Arial" w:hAnsi="Arial" w:cs="Arial"/>
          <w:color w:val="4F81BD" w:themeColor="accent1"/>
          <w:sz w:val="24"/>
          <w:szCs w:val="24"/>
        </w:rPr>
      </w:pPr>
    </w:p>
    <w:p w14:paraId="06E05C7F" w14:textId="2828EA5A" w:rsidR="00FA16AE" w:rsidRPr="003305C1" w:rsidRDefault="00EF61DD" w:rsidP="00FA16AE">
      <w:pPr>
        <w:numPr>
          <w:ilvl w:val="2"/>
          <w:numId w:val="32"/>
        </w:numPr>
        <w:jc w:val="both"/>
        <w:rPr>
          <w:rFonts w:ascii="Arial" w:hAnsi="Arial" w:cs="Arial"/>
          <w:color w:val="4F81BD" w:themeColor="accent1"/>
          <w:sz w:val="24"/>
          <w:szCs w:val="24"/>
        </w:rPr>
      </w:pPr>
      <w:r w:rsidRPr="003305C1">
        <w:rPr>
          <w:rFonts w:ascii="Arial" w:hAnsi="Arial" w:cs="Arial"/>
          <w:b/>
          <w:bCs/>
          <w:sz w:val="24"/>
          <w:szCs w:val="24"/>
        </w:rPr>
        <w:t>NÚMERO DE CRÉDITOS POR DEUDOR Y CODEUDOR</w:t>
      </w:r>
    </w:p>
    <w:p w14:paraId="02D5E458" w14:textId="62A5AA7B" w:rsidR="00FA16AE" w:rsidRPr="003305C1" w:rsidRDefault="00FA16AE" w:rsidP="0092336A">
      <w:pPr>
        <w:jc w:val="both"/>
        <w:rPr>
          <w:rFonts w:ascii="Arial" w:hAnsi="Arial" w:cs="Arial"/>
          <w:sz w:val="24"/>
          <w:szCs w:val="24"/>
        </w:rPr>
      </w:pPr>
    </w:p>
    <w:p w14:paraId="660318E0" w14:textId="0DC31CD0" w:rsidR="00C73169" w:rsidRDefault="006004E5" w:rsidP="00095BF7">
      <w:pPr>
        <w:jc w:val="both"/>
        <w:rPr>
          <w:rFonts w:ascii="Arial" w:hAnsi="Arial" w:cs="Arial"/>
          <w:sz w:val="24"/>
          <w:szCs w:val="24"/>
        </w:rPr>
      </w:pPr>
      <w:r w:rsidRPr="006004E5">
        <w:rPr>
          <w:rFonts w:ascii="Arial" w:hAnsi="Arial" w:cs="Arial"/>
          <w:sz w:val="24"/>
          <w:szCs w:val="24"/>
        </w:rPr>
        <w:t xml:space="preserve">Un deudor podrá tener un </w:t>
      </w:r>
      <w:r w:rsidRPr="006004E5">
        <w:rPr>
          <w:rFonts w:ascii="Arial" w:hAnsi="Arial" w:cs="Arial"/>
          <w:sz w:val="24"/>
          <w:szCs w:val="24"/>
        </w:rPr>
        <w:t>número</w:t>
      </w:r>
      <w:r w:rsidRPr="006004E5">
        <w:rPr>
          <w:rFonts w:ascii="Arial" w:hAnsi="Arial" w:cs="Arial"/>
          <w:sz w:val="24"/>
          <w:szCs w:val="24"/>
        </w:rPr>
        <w:t xml:space="preserve"> indeterminado de líneas de créditos en diferentes modalidades, hasta que su nivel de solvencia, endeudamiento y capacidad de pago se lo permita, además de cumplir con las condiciones de este documento técnico y sin sobre pasar la capacidad máxima instalada de la entidad, determinada por los limites individuales de acuerdo a la solvencia establecida.</w:t>
      </w:r>
    </w:p>
    <w:p w14:paraId="1BA928EB" w14:textId="77777777" w:rsidR="006004E5" w:rsidRDefault="006004E5" w:rsidP="00095BF7">
      <w:pPr>
        <w:jc w:val="both"/>
        <w:rPr>
          <w:rFonts w:ascii="Arial" w:hAnsi="Arial" w:cs="Arial"/>
          <w:sz w:val="24"/>
          <w:szCs w:val="24"/>
        </w:rPr>
      </w:pPr>
    </w:p>
    <w:p w14:paraId="29B472BD" w14:textId="219924E5" w:rsidR="00C73169" w:rsidRPr="003305C1" w:rsidRDefault="00C73169" w:rsidP="00095BF7">
      <w:pPr>
        <w:jc w:val="both"/>
        <w:rPr>
          <w:rFonts w:ascii="Arial" w:hAnsi="Arial" w:cs="Arial"/>
          <w:sz w:val="24"/>
          <w:szCs w:val="24"/>
        </w:rPr>
      </w:pPr>
      <w:r>
        <w:rPr>
          <w:rFonts w:ascii="Arial" w:hAnsi="Arial" w:cs="Arial"/>
          <w:sz w:val="24"/>
          <w:szCs w:val="24"/>
        </w:rPr>
        <w:t xml:space="preserve">Se exceptúa la </w:t>
      </w:r>
      <w:r w:rsidRPr="00C73169">
        <w:rPr>
          <w:rFonts w:ascii="Arial" w:hAnsi="Arial" w:cs="Arial"/>
          <w:sz w:val="24"/>
          <w:szCs w:val="24"/>
        </w:rPr>
        <w:t>modalidad anticipos</w:t>
      </w:r>
      <w:r>
        <w:rPr>
          <w:rFonts w:ascii="Arial" w:hAnsi="Arial" w:cs="Arial"/>
          <w:sz w:val="24"/>
          <w:szCs w:val="24"/>
        </w:rPr>
        <w:t xml:space="preserve"> en la cual el asociado solo</w:t>
      </w:r>
      <w:r w:rsidRPr="00C73169">
        <w:rPr>
          <w:rFonts w:ascii="Arial" w:hAnsi="Arial" w:cs="Arial"/>
          <w:sz w:val="24"/>
          <w:szCs w:val="24"/>
        </w:rPr>
        <w:t xml:space="preserve"> puede tener 3 líneas de crédito </w:t>
      </w:r>
      <w:r>
        <w:rPr>
          <w:rFonts w:ascii="Arial" w:hAnsi="Arial" w:cs="Arial"/>
          <w:sz w:val="24"/>
          <w:szCs w:val="24"/>
        </w:rPr>
        <w:t>bajo esta modalidad</w:t>
      </w:r>
      <w:r w:rsidR="000972AD">
        <w:rPr>
          <w:rFonts w:ascii="Arial" w:hAnsi="Arial" w:cs="Arial"/>
          <w:sz w:val="24"/>
          <w:szCs w:val="24"/>
        </w:rPr>
        <w:t>.</w:t>
      </w:r>
    </w:p>
    <w:p w14:paraId="236D036B" w14:textId="77777777" w:rsidR="00EF61DD" w:rsidRPr="003305C1" w:rsidRDefault="00EF61DD" w:rsidP="00EF61DD">
      <w:pPr>
        <w:pStyle w:val="Default"/>
        <w:rPr>
          <w:color w:val="auto"/>
          <w:lang w:eastAsia="es-ES"/>
        </w:rPr>
      </w:pPr>
    </w:p>
    <w:p w14:paraId="59522D4D" w14:textId="77777777" w:rsidR="00EF61DD" w:rsidRPr="003305C1" w:rsidRDefault="00EF61DD" w:rsidP="00095BF7">
      <w:pPr>
        <w:jc w:val="both"/>
        <w:rPr>
          <w:rFonts w:ascii="Arial" w:hAnsi="Arial" w:cs="Arial"/>
          <w:sz w:val="24"/>
          <w:szCs w:val="24"/>
        </w:rPr>
      </w:pPr>
      <w:r w:rsidRPr="003305C1">
        <w:rPr>
          <w:rFonts w:ascii="Arial" w:hAnsi="Arial" w:cs="Arial"/>
          <w:sz w:val="24"/>
          <w:szCs w:val="24"/>
        </w:rPr>
        <w:t xml:space="preserve">Los asociados podrán ser codeudores hasta un máximo de tres (3) obligaciones. </w:t>
      </w:r>
    </w:p>
    <w:p w14:paraId="6CF784B9" w14:textId="47D8F858" w:rsidR="00EF61DD" w:rsidRPr="003305C1" w:rsidRDefault="00EF61DD" w:rsidP="00EF61DD">
      <w:pPr>
        <w:jc w:val="both"/>
        <w:rPr>
          <w:rFonts w:ascii="Arial" w:hAnsi="Arial" w:cs="Arial"/>
          <w:sz w:val="24"/>
          <w:szCs w:val="24"/>
        </w:rPr>
      </w:pPr>
    </w:p>
    <w:p w14:paraId="69BC3476" w14:textId="311DEED7" w:rsidR="000C3A19" w:rsidRPr="003305C1" w:rsidRDefault="000C3A19" w:rsidP="000C3A19">
      <w:pPr>
        <w:numPr>
          <w:ilvl w:val="1"/>
          <w:numId w:val="32"/>
        </w:numPr>
        <w:jc w:val="both"/>
        <w:rPr>
          <w:rFonts w:ascii="Arial" w:hAnsi="Arial" w:cs="Arial"/>
          <w:b/>
          <w:bCs/>
          <w:sz w:val="24"/>
          <w:szCs w:val="24"/>
        </w:rPr>
      </w:pPr>
      <w:r w:rsidRPr="003305C1">
        <w:rPr>
          <w:rFonts w:ascii="Arial" w:hAnsi="Arial" w:cs="Arial"/>
          <w:b/>
          <w:bCs/>
          <w:sz w:val="24"/>
          <w:szCs w:val="24"/>
        </w:rPr>
        <w:t>COMPORTAMIENTO DE PAGO</w:t>
      </w:r>
    </w:p>
    <w:p w14:paraId="64606E78" w14:textId="69B51C31" w:rsidR="000C3A19" w:rsidRPr="003305C1" w:rsidRDefault="000C3A19" w:rsidP="00EF61DD">
      <w:pPr>
        <w:jc w:val="both"/>
        <w:rPr>
          <w:rFonts w:ascii="Arial" w:hAnsi="Arial" w:cs="Arial"/>
          <w:b/>
          <w:spacing w:val="-3"/>
          <w:sz w:val="24"/>
          <w:szCs w:val="24"/>
        </w:rPr>
      </w:pPr>
    </w:p>
    <w:p w14:paraId="64076CD9" w14:textId="71CEA5BA" w:rsidR="00095BF7" w:rsidRPr="003305C1" w:rsidRDefault="002967DC" w:rsidP="002967DC">
      <w:pPr>
        <w:numPr>
          <w:ilvl w:val="2"/>
          <w:numId w:val="32"/>
        </w:numPr>
        <w:jc w:val="both"/>
        <w:rPr>
          <w:rFonts w:ascii="Arial" w:hAnsi="Arial" w:cs="Arial"/>
          <w:b/>
          <w:spacing w:val="-3"/>
          <w:sz w:val="24"/>
          <w:szCs w:val="24"/>
        </w:rPr>
      </w:pPr>
      <w:r w:rsidRPr="003305C1">
        <w:rPr>
          <w:rFonts w:ascii="Arial" w:hAnsi="Arial" w:cs="Arial"/>
          <w:b/>
          <w:spacing w:val="-3"/>
          <w:sz w:val="24"/>
          <w:szCs w:val="24"/>
        </w:rPr>
        <w:t>PUNTAJE EN LAS CENTRALES DE INFORMACIÓN FINANCIERA</w:t>
      </w:r>
    </w:p>
    <w:p w14:paraId="1FB8CF47" w14:textId="5F66254D" w:rsidR="002967DC" w:rsidRPr="003305C1" w:rsidRDefault="002967DC" w:rsidP="00EF61DD">
      <w:pPr>
        <w:jc w:val="both"/>
        <w:rPr>
          <w:rFonts w:ascii="Arial" w:hAnsi="Arial" w:cs="Arial"/>
          <w:b/>
          <w:spacing w:val="-3"/>
          <w:sz w:val="24"/>
          <w:szCs w:val="24"/>
        </w:rPr>
      </w:pPr>
    </w:p>
    <w:p w14:paraId="08280759" w14:textId="50673FA1" w:rsidR="002967DC" w:rsidRPr="003305C1" w:rsidRDefault="002967DC" w:rsidP="002967DC">
      <w:pPr>
        <w:jc w:val="both"/>
        <w:rPr>
          <w:rFonts w:ascii="Arial" w:hAnsi="Arial" w:cs="Arial"/>
          <w:sz w:val="24"/>
          <w:szCs w:val="24"/>
        </w:rPr>
      </w:pPr>
      <w:r w:rsidRPr="003305C1">
        <w:rPr>
          <w:rFonts w:ascii="Arial" w:hAnsi="Arial" w:cs="Arial"/>
          <w:sz w:val="24"/>
          <w:szCs w:val="24"/>
        </w:rPr>
        <w:t xml:space="preserve">Los asociados calificados en las Centrales de Información Financiera, con un puntaje inferior a 500 se les debe realizar un análisis detallado y efectuar las verificaciones necesarias, para precisar la causalidad de la calificación, y es potestad del ente aprobador su respectiva negación o aprobación. </w:t>
      </w:r>
    </w:p>
    <w:p w14:paraId="46727386" w14:textId="77777777" w:rsidR="002967DC" w:rsidRPr="003305C1" w:rsidRDefault="002967DC" w:rsidP="002967DC">
      <w:pPr>
        <w:jc w:val="both"/>
        <w:rPr>
          <w:rFonts w:ascii="Arial" w:hAnsi="Arial" w:cs="Arial"/>
          <w:sz w:val="24"/>
          <w:szCs w:val="24"/>
        </w:rPr>
      </w:pPr>
    </w:p>
    <w:p w14:paraId="02AE939D" w14:textId="53451910" w:rsidR="002967DC" w:rsidRPr="003305C1" w:rsidRDefault="002967DC" w:rsidP="002967DC">
      <w:pPr>
        <w:jc w:val="both"/>
        <w:rPr>
          <w:rFonts w:ascii="Arial" w:hAnsi="Arial" w:cs="Arial"/>
          <w:sz w:val="24"/>
          <w:szCs w:val="24"/>
        </w:rPr>
      </w:pPr>
      <w:r w:rsidRPr="003305C1">
        <w:rPr>
          <w:rFonts w:ascii="Arial" w:hAnsi="Arial" w:cs="Arial"/>
          <w:sz w:val="24"/>
          <w:szCs w:val="24"/>
        </w:rPr>
        <w:lastRenderedPageBreak/>
        <w:t xml:space="preserve">Los asociados que no demuestren calificación en centrales de información financiera por no presentar vida crediticia se les aprueba hasta 1 SMMLV, según capacidad de pago y aplica tabla de montos, plazos y garantías. </w:t>
      </w:r>
    </w:p>
    <w:p w14:paraId="4FF10056" w14:textId="77777777" w:rsidR="002967DC" w:rsidRPr="003305C1" w:rsidRDefault="002967DC" w:rsidP="002967DC">
      <w:pPr>
        <w:jc w:val="both"/>
        <w:rPr>
          <w:rFonts w:ascii="Arial" w:hAnsi="Arial" w:cs="Arial"/>
          <w:sz w:val="24"/>
          <w:szCs w:val="24"/>
        </w:rPr>
      </w:pPr>
    </w:p>
    <w:p w14:paraId="6DAFEF66" w14:textId="4E05C493" w:rsidR="002967DC" w:rsidRPr="003305C1" w:rsidRDefault="002967DC" w:rsidP="002967DC">
      <w:pPr>
        <w:jc w:val="both"/>
        <w:rPr>
          <w:rFonts w:ascii="Arial" w:hAnsi="Arial" w:cs="Arial"/>
          <w:sz w:val="24"/>
          <w:szCs w:val="24"/>
        </w:rPr>
      </w:pPr>
      <w:r w:rsidRPr="003305C1">
        <w:rPr>
          <w:rFonts w:ascii="Arial" w:hAnsi="Arial" w:cs="Arial"/>
          <w:sz w:val="24"/>
          <w:szCs w:val="24"/>
        </w:rPr>
        <w:t xml:space="preserve">Si el asociado se encuentra reportado en las centrales de información financiera, debe presentar certificados al día si la obligación aparece en mora, y paz y salvo si presenta cartera castigada, pero en caso de no contar con estos documentos en el momento, se permite que presente los recibos de pago con el fin de verificar que el número de la obligación y el valor cancelado coincidan con la información que se muestra en la consulta en centrales de información financiera. </w:t>
      </w:r>
    </w:p>
    <w:p w14:paraId="48770D0A" w14:textId="1A3C21C3" w:rsidR="005F3BE2" w:rsidRPr="003305C1" w:rsidRDefault="005F3BE2" w:rsidP="002967DC">
      <w:pPr>
        <w:jc w:val="both"/>
        <w:rPr>
          <w:rFonts w:ascii="Arial" w:hAnsi="Arial" w:cs="Arial"/>
          <w:sz w:val="24"/>
          <w:szCs w:val="24"/>
        </w:rPr>
      </w:pPr>
    </w:p>
    <w:p w14:paraId="6CB1E72B" w14:textId="5EA1A0C5" w:rsidR="002967DC" w:rsidRPr="003305C1" w:rsidRDefault="002967DC" w:rsidP="002967DC">
      <w:pPr>
        <w:jc w:val="both"/>
        <w:rPr>
          <w:rFonts w:ascii="Arial" w:hAnsi="Arial" w:cs="Arial"/>
          <w:sz w:val="24"/>
          <w:szCs w:val="24"/>
        </w:rPr>
      </w:pPr>
      <w:r w:rsidRPr="003305C1">
        <w:rPr>
          <w:rFonts w:ascii="Arial" w:hAnsi="Arial" w:cs="Arial"/>
          <w:sz w:val="24"/>
          <w:szCs w:val="24"/>
        </w:rPr>
        <w:t xml:space="preserve">El historial del comportamiento de pago de las obligaciones como deudor tanto vigentes y canceladas en </w:t>
      </w:r>
      <w:r w:rsidR="005F3BE2" w:rsidRPr="003305C1">
        <w:rPr>
          <w:rFonts w:ascii="Arial" w:hAnsi="Arial" w:cs="Arial"/>
          <w:sz w:val="24"/>
          <w:szCs w:val="24"/>
        </w:rPr>
        <w:t>el fondo</w:t>
      </w:r>
      <w:r w:rsidRPr="003305C1">
        <w:rPr>
          <w:rFonts w:ascii="Arial" w:hAnsi="Arial" w:cs="Arial"/>
          <w:sz w:val="24"/>
          <w:szCs w:val="24"/>
        </w:rPr>
        <w:t>, es un soporte de análisis para nuevas aprobaciones de créditos.</w:t>
      </w:r>
    </w:p>
    <w:p w14:paraId="79A19B93" w14:textId="329E2AB3" w:rsidR="005F3BE2" w:rsidRPr="003305C1" w:rsidRDefault="005F3BE2" w:rsidP="002967DC">
      <w:pPr>
        <w:jc w:val="both"/>
        <w:rPr>
          <w:rFonts w:ascii="Arial" w:hAnsi="Arial" w:cs="Arial"/>
          <w:sz w:val="24"/>
          <w:szCs w:val="24"/>
        </w:rPr>
      </w:pPr>
    </w:p>
    <w:p w14:paraId="357C7A1A" w14:textId="77777777" w:rsidR="009B30CF" w:rsidRPr="003305C1" w:rsidRDefault="009B30CF" w:rsidP="009B30CF">
      <w:pPr>
        <w:numPr>
          <w:ilvl w:val="1"/>
          <w:numId w:val="32"/>
        </w:numPr>
        <w:jc w:val="both"/>
        <w:rPr>
          <w:rFonts w:ascii="Arial" w:hAnsi="Arial" w:cs="Arial"/>
          <w:b/>
          <w:bCs/>
          <w:sz w:val="24"/>
          <w:szCs w:val="24"/>
        </w:rPr>
      </w:pPr>
      <w:r w:rsidRPr="003305C1">
        <w:rPr>
          <w:rFonts w:ascii="Arial" w:hAnsi="Arial" w:cs="Arial"/>
          <w:b/>
          <w:bCs/>
          <w:sz w:val="24"/>
          <w:szCs w:val="24"/>
        </w:rPr>
        <w:t xml:space="preserve">CAPACIDAD DE PAGO </w:t>
      </w:r>
    </w:p>
    <w:p w14:paraId="0F6B7ED5" w14:textId="77777777" w:rsidR="009B30CF" w:rsidRPr="003305C1" w:rsidRDefault="009B30CF" w:rsidP="009B30CF">
      <w:pPr>
        <w:jc w:val="both"/>
        <w:rPr>
          <w:rFonts w:ascii="Arial" w:hAnsi="Arial" w:cs="Arial"/>
          <w:sz w:val="24"/>
          <w:szCs w:val="24"/>
        </w:rPr>
      </w:pPr>
    </w:p>
    <w:p w14:paraId="78D8E4AC" w14:textId="546D5107" w:rsidR="009B30CF" w:rsidRPr="003305C1" w:rsidRDefault="009B30CF" w:rsidP="009B30CF">
      <w:pPr>
        <w:jc w:val="both"/>
        <w:rPr>
          <w:rFonts w:ascii="Arial" w:hAnsi="Arial" w:cs="Arial"/>
          <w:sz w:val="24"/>
          <w:szCs w:val="24"/>
        </w:rPr>
      </w:pPr>
      <w:r w:rsidRPr="003305C1">
        <w:rPr>
          <w:rFonts w:ascii="Arial" w:hAnsi="Arial" w:cs="Arial"/>
          <w:sz w:val="24"/>
          <w:szCs w:val="24"/>
        </w:rPr>
        <w:t>Este indicador busca minimizar el riesgo de la operación de crédito, determinando si el solicitante cuenta con ingresos suficientes para atender adecuadamente las obligaciones actuales y propuestas; de igual manera sirve para determinar el monto máximo de crédito que se podrá otorgar.</w:t>
      </w:r>
    </w:p>
    <w:p w14:paraId="00CA6884" w14:textId="701843CD" w:rsidR="009B30CF" w:rsidRPr="003305C1" w:rsidRDefault="009B30CF" w:rsidP="009B30CF">
      <w:pPr>
        <w:jc w:val="both"/>
        <w:rPr>
          <w:rFonts w:ascii="Arial" w:hAnsi="Arial" w:cs="Arial"/>
          <w:sz w:val="24"/>
          <w:szCs w:val="24"/>
        </w:rPr>
      </w:pPr>
    </w:p>
    <w:p w14:paraId="6DEE03FC" w14:textId="6D2DEA41" w:rsidR="009B30CF" w:rsidRPr="003305C1" w:rsidRDefault="009B30CF" w:rsidP="009B30CF">
      <w:pPr>
        <w:numPr>
          <w:ilvl w:val="2"/>
          <w:numId w:val="32"/>
        </w:numPr>
        <w:jc w:val="both"/>
        <w:rPr>
          <w:rFonts w:ascii="Arial" w:hAnsi="Arial" w:cs="Arial"/>
          <w:sz w:val="24"/>
          <w:szCs w:val="24"/>
        </w:rPr>
      </w:pPr>
      <w:r w:rsidRPr="003305C1">
        <w:rPr>
          <w:rFonts w:ascii="Arial" w:hAnsi="Arial" w:cs="Arial"/>
          <w:b/>
          <w:bCs/>
          <w:sz w:val="24"/>
          <w:szCs w:val="24"/>
        </w:rPr>
        <w:t>DESCUENTO NÓMINA</w:t>
      </w:r>
    </w:p>
    <w:p w14:paraId="1EB4E492" w14:textId="6A2A1865" w:rsidR="005F3BE2" w:rsidRPr="003305C1" w:rsidRDefault="005F3BE2" w:rsidP="002967DC">
      <w:pPr>
        <w:jc w:val="both"/>
        <w:rPr>
          <w:rFonts w:ascii="Arial" w:hAnsi="Arial" w:cs="Arial"/>
          <w:sz w:val="24"/>
          <w:szCs w:val="24"/>
        </w:rPr>
      </w:pPr>
    </w:p>
    <w:p w14:paraId="05700071" w14:textId="518DB8C5" w:rsidR="009B30CF" w:rsidRPr="003305C1" w:rsidRDefault="009B30CF" w:rsidP="002967DC">
      <w:pPr>
        <w:jc w:val="both"/>
        <w:rPr>
          <w:rFonts w:ascii="Arial" w:hAnsi="Arial" w:cs="Arial"/>
          <w:sz w:val="24"/>
          <w:szCs w:val="24"/>
        </w:rPr>
      </w:pPr>
      <w:r w:rsidRPr="003305C1">
        <w:rPr>
          <w:rFonts w:ascii="Arial" w:hAnsi="Arial" w:cs="Arial"/>
          <w:sz w:val="24"/>
          <w:szCs w:val="24"/>
        </w:rPr>
        <w:t>CP = ((Ingresos totales certificados - Descuentos de Ley) / 2) – valor de cuotas descontadas por nómina + valor de las cuotas a recoger</w:t>
      </w:r>
    </w:p>
    <w:p w14:paraId="4789728E" w14:textId="7EFC965C" w:rsidR="009B30CF" w:rsidRPr="003305C1" w:rsidRDefault="009B30CF" w:rsidP="002967DC">
      <w:pPr>
        <w:jc w:val="both"/>
        <w:rPr>
          <w:rFonts w:ascii="Arial" w:hAnsi="Arial" w:cs="Arial"/>
          <w:sz w:val="24"/>
          <w:szCs w:val="24"/>
        </w:rPr>
      </w:pPr>
      <w:r w:rsidRPr="003305C1">
        <w:rPr>
          <w:rFonts w:ascii="Arial" w:hAnsi="Arial" w:cs="Arial"/>
          <w:sz w:val="24"/>
          <w:szCs w:val="24"/>
        </w:rPr>
        <w:t>La diferencia anterior debe dar como mínimo resultado el valor de la cuota del crédito en trámite.</w:t>
      </w:r>
    </w:p>
    <w:p w14:paraId="3E64580E" w14:textId="1E3D730E" w:rsidR="009B30CF" w:rsidRPr="003305C1" w:rsidRDefault="009B30CF" w:rsidP="002967DC">
      <w:pPr>
        <w:jc w:val="both"/>
        <w:rPr>
          <w:rFonts w:ascii="Arial" w:hAnsi="Arial" w:cs="Arial"/>
          <w:sz w:val="24"/>
          <w:szCs w:val="24"/>
        </w:rPr>
      </w:pPr>
    </w:p>
    <w:p w14:paraId="2C19ADAF" w14:textId="6098B4D6" w:rsidR="002B0503" w:rsidRPr="003305C1" w:rsidRDefault="002B0503" w:rsidP="002618BB">
      <w:pPr>
        <w:numPr>
          <w:ilvl w:val="2"/>
          <w:numId w:val="32"/>
        </w:numPr>
        <w:jc w:val="both"/>
        <w:rPr>
          <w:rFonts w:ascii="Arial" w:hAnsi="Arial" w:cs="Arial"/>
          <w:b/>
          <w:bCs/>
          <w:sz w:val="24"/>
          <w:szCs w:val="24"/>
        </w:rPr>
      </w:pPr>
      <w:r w:rsidRPr="003305C1">
        <w:rPr>
          <w:rFonts w:ascii="Arial" w:hAnsi="Arial" w:cs="Arial"/>
          <w:b/>
          <w:bCs/>
          <w:sz w:val="24"/>
          <w:szCs w:val="24"/>
        </w:rPr>
        <w:t xml:space="preserve">PAGO POR VENTANILLA </w:t>
      </w:r>
    </w:p>
    <w:p w14:paraId="03EAC51E" w14:textId="41A46652" w:rsidR="002B0503" w:rsidRPr="003305C1" w:rsidRDefault="002B0503" w:rsidP="002B0503">
      <w:pPr>
        <w:jc w:val="both"/>
        <w:rPr>
          <w:rFonts w:ascii="Arial" w:hAnsi="Arial" w:cs="Arial"/>
          <w:b/>
          <w:bCs/>
          <w:sz w:val="24"/>
          <w:szCs w:val="24"/>
        </w:rPr>
      </w:pPr>
    </w:p>
    <w:p w14:paraId="4F6AA844" w14:textId="6B4C8D6E" w:rsidR="002B0503" w:rsidRPr="003305C1" w:rsidRDefault="002B0503" w:rsidP="002B0503">
      <w:pPr>
        <w:jc w:val="both"/>
        <w:rPr>
          <w:rFonts w:ascii="Arial" w:hAnsi="Arial" w:cs="Arial"/>
          <w:sz w:val="24"/>
          <w:szCs w:val="24"/>
        </w:rPr>
      </w:pPr>
      <w:r w:rsidRPr="003305C1">
        <w:rPr>
          <w:rFonts w:ascii="Arial" w:hAnsi="Arial" w:cs="Arial"/>
          <w:sz w:val="24"/>
          <w:szCs w:val="24"/>
        </w:rPr>
        <w:t xml:space="preserve">CP = Ingresos totales comprobados – </w:t>
      </w:r>
      <w:r w:rsidR="0047345C" w:rsidRPr="003305C1">
        <w:rPr>
          <w:rFonts w:ascii="Arial" w:hAnsi="Arial" w:cs="Arial"/>
          <w:sz w:val="24"/>
          <w:szCs w:val="24"/>
        </w:rPr>
        <w:t>(</w:t>
      </w:r>
      <w:r w:rsidRPr="003305C1">
        <w:rPr>
          <w:rFonts w:ascii="Arial" w:hAnsi="Arial" w:cs="Arial"/>
          <w:sz w:val="24"/>
          <w:szCs w:val="24"/>
        </w:rPr>
        <w:t>SMMLV + valor de cuotas de créditos vigentes - valor de cuota (s) crédito (s) a recoger)</w:t>
      </w:r>
    </w:p>
    <w:p w14:paraId="5B4A0EAD" w14:textId="4321FCAE" w:rsidR="0047345C" w:rsidRPr="003305C1" w:rsidRDefault="0047345C" w:rsidP="002B0503">
      <w:pPr>
        <w:jc w:val="both"/>
        <w:rPr>
          <w:rFonts w:ascii="Arial" w:hAnsi="Arial" w:cs="Arial"/>
          <w:b/>
          <w:bCs/>
          <w:sz w:val="24"/>
          <w:szCs w:val="24"/>
        </w:rPr>
      </w:pPr>
    </w:p>
    <w:p w14:paraId="083EF2ED" w14:textId="3FA2BEEF" w:rsidR="0047345C" w:rsidRPr="003305C1" w:rsidRDefault="0047345C" w:rsidP="0047345C">
      <w:pPr>
        <w:numPr>
          <w:ilvl w:val="1"/>
          <w:numId w:val="32"/>
        </w:numPr>
        <w:jc w:val="both"/>
        <w:rPr>
          <w:rFonts w:ascii="Arial" w:hAnsi="Arial" w:cs="Arial"/>
          <w:b/>
          <w:bCs/>
          <w:sz w:val="24"/>
          <w:szCs w:val="24"/>
        </w:rPr>
      </w:pPr>
      <w:r w:rsidRPr="003305C1">
        <w:rPr>
          <w:rFonts w:ascii="Arial" w:hAnsi="Arial" w:cs="Arial"/>
          <w:b/>
          <w:bCs/>
          <w:sz w:val="24"/>
          <w:szCs w:val="24"/>
        </w:rPr>
        <w:t>CALCULO PARA CUOTAS EN CENTRALE DE RIESGO</w:t>
      </w:r>
    </w:p>
    <w:p w14:paraId="16145B13" w14:textId="77777777" w:rsidR="0047345C" w:rsidRPr="003305C1" w:rsidRDefault="0047345C" w:rsidP="0047345C">
      <w:pPr>
        <w:pStyle w:val="Default"/>
      </w:pPr>
    </w:p>
    <w:p w14:paraId="25F6AF63" w14:textId="77777777" w:rsidR="0047345C" w:rsidRPr="003305C1" w:rsidRDefault="0047345C" w:rsidP="0047345C">
      <w:pPr>
        <w:numPr>
          <w:ilvl w:val="2"/>
          <w:numId w:val="32"/>
        </w:numPr>
        <w:jc w:val="both"/>
        <w:rPr>
          <w:rFonts w:ascii="Arial" w:hAnsi="Arial" w:cs="Arial"/>
          <w:sz w:val="24"/>
          <w:szCs w:val="24"/>
        </w:rPr>
      </w:pPr>
      <w:r w:rsidRPr="003305C1">
        <w:rPr>
          <w:rFonts w:ascii="Arial" w:hAnsi="Arial" w:cs="Arial"/>
          <w:b/>
          <w:bCs/>
          <w:sz w:val="24"/>
          <w:szCs w:val="24"/>
        </w:rPr>
        <w:t xml:space="preserve">Para Tarjetas de crédito </w:t>
      </w:r>
    </w:p>
    <w:p w14:paraId="6967035C" w14:textId="77777777" w:rsidR="0047345C" w:rsidRPr="003305C1" w:rsidRDefault="0047345C" w:rsidP="0047345C">
      <w:pPr>
        <w:pStyle w:val="Default"/>
        <w:rPr>
          <w:b/>
          <w:bCs/>
        </w:rPr>
      </w:pPr>
    </w:p>
    <w:p w14:paraId="2380CA95" w14:textId="43567F90" w:rsidR="0047345C" w:rsidRPr="003305C1" w:rsidRDefault="0047345C" w:rsidP="0047345C">
      <w:pPr>
        <w:pStyle w:val="Default"/>
        <w:numPr>
          <w:ilvl w:val="0"/>
          <w:numId w:val="40"/>
        </w:numPr>
      </w:pPr>
      <w:r w:rsidRPr="003305C1">
        <w:rPr>
          <w:b/>
          <w:bCs/>
        </w:rPr>
        <w:t xml:space="preserve">Cuando se ha utilizado más del 50% del cupo de la tarjeta: </w:t>
      </w:r>
      <w:r w:rsidRPr="003305C1">
        <w:t>Cupo total de la tarjeta de crédito /</w:t>
      </w:r>
      <w:r w:rsidR="00A7351B" w:rsidRPr="003305C1">
        <w:t xml:space="preserve"> </w:t>
      </w:r>
      <w:r w:rsidRPr="003305C1">
        <w:t xml:space="preserve">36. </w:t>
      </w:r>
    </w:p>
    <w:p w14:paraId="0AFA99D8" w14:textId="7995A7AC" w:rsidR="0047345C" w:rsidRPr="003305C1" w:rsidRDefault="0047345C" w:rsidP="0047345C">
      <w:pPr>
        <w:pStyle w:val="Default"/>
        <w:numPr>
          <w:ilvl w:val="0"/>
          <w:numId w:val="40"/>
        </w:numPr>
      </w:pPr>
      <w:r w:rsidRPr="003305C1">
        <w:rPr>
          <w:b/>
          <w:bCs/>
        </w:rPr>
        <w:lastRenderedPageBreak/>
        <w:t xml:space="preserve">Cuando se ha utilizado menos del 50% del cupo de la tarjeta: </w:t>
      </w:r>
      <w:r w:rsidRPr="003305C1">
        <w:t xml:space="preserve">Saldo de la tarjeta de crédito / 36. </w:t>
      </w:r>
    </w:p>
    <w:p w14:paraId="7D4E7581" w14:textId="77777777" w:rsidR="0047345C" w:rsidRPr="003305C1" w:rsidRDefault="0047345C" w:rsidP="0047345C">
      <w:pPr>
        <w:pStyle w:val="Default"/>
        <w:ind w:left="720"/>
      </w:pPr>
    </w:p>
    <w:p w14:paraId="4AECB2A2" w14:textId="2DC3938D" w:rsidR="0047345C" w:rsidRPr="003305C1" w:rsidRDefault="0047345C" w:rsidP="0047345C">
      <w:pPr>
        <w:numPr>
          <w:ilvl w:val="2"/>
          <w:numId w:val="32"/>
        </w:numPr>
        <w:jc w:val="both"/>
        <w:rPr>
          <w:rFonts w:ascii="Arial" w:hAnsi="Arial" w:cs="Arial"/>
          <w:sz w:val="24"/>
          <w:szCs w:val="24"/>
        </w:rPr>
      </w:pPr>
      <w:r w:rsidRPr="003305C1">
        <w:rPr>
          <w:rFonts w:ascii="Arial" w:hAnsi="Arial" w:cs="Arial"/>
          <w:b/>
          <w:bCs/>
          <w:sz w:val="24"/>
          <w:szCs w:val="24"/>
        </w:rPr>
        <w:t xml:space="preserve">Para Cupos de crédito </w:t>
      </w:r>
    </w:p>
    <w:p w14:paraId="758DCF68" w14:textId="77777777" w:rsidR="0047345C" w:rsidRPr="003305C1" w:rsidRDefault="0047345C" w:rsidP="0047345C">
      <w:pPr>
        <w:pStyle w:val="Default"/>
      </w:pPr>
    </w:p>
    <w:p w14:paraId="57E4D98A" w14:textId="5D5BE986" w:rsidR="0047345C" w:rsidRPr="003305C1" w:rsidRDefault="0047345C" w:rsidP="0047345C">
      <w:pPr>
        <w:pStyle w:val="Prrafodelista"/>
        <w:numPr>
          <w:ilvl w:val="0"/>
          <w:numId w:val="41"/>
        </w:numPr>
        <w:rPr>
          <w:rFonts w:ascii="Arial" w:hAnsi="Arial" w:cs="Arial"/>
          <w:sz w:val="24"/>
          <w:szCs w:val="24"/>
        </w:rPr>
      </w:pPr>
      <w:r w:rsidRPr="003305C1">
        <w:rPr>
          <w:rFonts w:ascii="Arial" w:hAnsi="Arial" w:cs="Arial"/>
          <w:b/>
          <w:bCs/>
          <w:sz w:val="24"/>
          <w:szCs w:val="24"/>
        </w:rPr>
        <w:t>Cuando se ha utilizado más del 50% del valor del crédito</w:t>
      </w:r>
      <w:r w:rsidRPr="003305C1">
        <w:rPr>
          <w:rFonts w:ascii="Arial" w:hAnsi="Arial" w:cs="Arial"/>
          <w:sz w:val="24"/>
          <w:szCs w:val="24"/>
        </w:rPr>
        <w:t xml:space="preserve">: Valor del cupo de crédito/ plazo del cupo de crédito </w:t>
      </w:r>
    </w:p>
    <w:p w14:paraId="23306E09" w14:textId="2A1AA98D" w:rsidR="0047345C" w:rsidRPr="003305C1" w:rsidRDefault="0047345C" w:rsidP="0047345C">
      <w:pPr>
        <w:pStyle w:val="Prrafodelista"/>
        <w:numPr>
          <w:ilvl w:val="0"/>
          <w:numId w:val="41"/>
        </w:numPr>
        <w:rPr>
          <w:rFonts w:ascii="Arial" w:hAnsi="Arial" w:cs="Arial"/>
          <w:sz w:val="24"/>
          <w:szCs w:val="24"/>
        </w:rPr>
      </w:pPr>
      <w:r w:rsidRPr="003305C1">
        <w:rPr>
          <w:rFonts w:ascii="Arial" w:hAnsi="Arial" w:cs="Arial"/>
          <w:b/>
          <w:bCs/>
          <w:sz w:val="24"/>
          <w:szCs w:val="24"/>
        </w:rPr>
        <w:t xml:space="preserve">Cuando se ha utilizado menos del 50% del valor del crédito: </w:t>
      </w:r>
      <w:r w:rsidRPr="003305C1">
        <w:rPr>
          <w:rFonts w:ascii="Arial" w:hAnsi="Arial" w:cs="Arial"/>
          <w:sz w:val="24"/>
          <w:szCs w:val="24"/>
        </w:rPr>
        <w:t xml:space="preserve">Saldo del cupo de crédito/ plazo del cupo de crédito </w:t>
      </w:r>
    </w:p>
    <w:p w14:paraId="4D8FD6AA" w14:textId="77777777" w:rsidR="0047345C" w:rsidRPr="003305C1" w:rsidRDefault="0047345C" w:rsidP="0047345C">
      <w:pPr>
        <w:pStyle w:val="Prrafodelista"/>
        <w:ind w:left="720"/>
        <w:rPr>
          <w:rFonts w:ascii="Arial" w:hAnsi="Arial" w:cs="Arial"/>
          <w:sz w:val="24"/>
          <w:szCs w:val="24"/>
        </w:rPr>
      </w:pPr>
    </w:p>
    <w:p w14:paraId="13FA15B5" w14:textId="0B2309A1" w:rsidR="0047345C" w:rsidRPr="003305C1" w:rsidRDefault="0047345C" w:rsidP="0047345C">
      <w:pPr>
        <w:numPr>
          <w:ilvl w:val="2"/>
          <w:numId w:val="32"/>
        </w:numPr>
        <w:jc w:val="both"/>
        <w:rPr>
          <w:rFonts w:ascii="Arial" w:hAnsi="Arial" w:cs="Arial"/>
          <w:sz w:val="24"/>
          <w:szCs w:val="24"/>
        </w:rPr>
      </w:pPr>
      <w:r w:rsidRPr="003305C1">
        <w:rPr>
          <w:rFonts w:ascii="Arial" w:hAnsi="Arial" w:cs="Arial"/>
          <w:b/>
          <w:bCs/>
          <w:sz w:val="24"/>
          <w:szCs w:val="24"/>
        </w:rPr>
        <w:t xml:space="preserve">Para Créditos Hipotecarios </w:t>
      </w:r>
    </w:p>
    <w:p w14:paraId="7C1F6A56" w14:textId="77777777" w:rsidR="0047345C" w:rsidRPr="003305C1" w:rsidRDefault="0047345C" w:rsidP="0047345C">
      <w:pPr>
        <w:pStyle w:val="Default"/>
      </w:pPr>
    </w:p>
    <w:p w14:paraId="09E78664" w14:textId="5C3F5E2D" w:rsidR="0047345C" w:rsidRPr="003305C1" w:rsidRDefault="0047345C" w:rsidP="0047345C">
      <w:pPr>
        <w:jc w:val="both"/>
        <w:rPr>
          <w:rFonts w:ascii="Arial" w:hAnsi="Arial" w:cs="Arial"/>
          <w:b/>
          <w:bCs/>
          <w:sz w:val="24"/>
          <w:szCs w:val="24"/>
        </w:rPr>
      </w:pPr>
      <w:r w:rsidRPr="003305C1">
        <w:rPr>
          <w:rFonts w:ascii="Arial" w:hAnsi="Arial" w:cs="Arial"/>
          <w:sz w:val="24"/>
          <w:szCs w:val="24"/>
        </w:rPr>
        <w:t>Si el solicitante posee sociedad conyugal que tiene una relación laboral, se puede establecer el 50% del valor de la cuota.</w:t>
      </w:r>
    </w:p>
    <w:p w14:paraId="524307D1" w14:textId="708FC8E5" w:rsidR="002B0503" w:rsidRPr="003305C1" w:rsidRDefault="002B0503" w:rsidP="002B0503">
      <w:pPr>
        <w:jc w:val="both"/>
        <w:rPr>
          <w:rFonts w:ascii="Arial" w:hAnsi="Arial" w:cs="Arial"/>
          <w:b/>
          <w:bCs/>
          <w:sz w:val="24"/>
          <w:szCs w:val="24"/>
        </w:rPr>
      </w:pPr>
    </w:p>
    <w:p w14:paraId="571AEF94" w14:textId="1C664FAB" w:rsidR="002B0503" w:rsidRPr="003305C1" w:rsidRDefault="0047345C" w:rsidP="0047345C">
      <w:pPr>
        <w:numPr>
          <w:ilvl w:val="1"/>
          <w:numId w:val="32"/>
        </w:numPr>
        <w:jc w:val="both"/>
        <w:rPr>
          <w:rFonts w:ascii="Arial" w:hAnsi="Arial" w:cs="Arial"/>
          <w:b/>
          <w:bCs/>
          <w:sz w:val="24"/>
          <w:szCs w:val="24"/>
        </w:rPr>
      </w:pPr>
      <w:r w:rsidRPr="003305C1">
        <w:rPr>
          <w:rFonts w:ascii="Arial" w:hAnsi="Arial" w:cs="Arial"/>
          <w:b/>
          <w:bCs/>
          <w:sz w:val="24"/>
          <w:szCs w:val="24"/>
        </w:rPr>
        <w:t>ENDEUDAMIENTO</w:t>
      </w:r>
    </w:p>
    <w:p w14:paraId="1C0B234C" w14:textId="77777777" w:rsidR="00FC32DE" w:rsidRPr="003305C1" w:rsidRDefault="00FC32DE" w:rsidP="00FC32DE">
      <w:pPr>
        <w:ind w:left="454"/>
        <w:jc w:val="both"/>
        <w:rPr>
          <w:rFonts w:ascii="Arial" w:hAnsi="Arial" w:cs="Arial"/>
          <w:b/>
          <w:bCs/>
          <w:sz w:val="24"/>
          <w:szCs w:val="24"/>
        </w:rPr>
      </w:pPr>
    </w:p>
    <w:p w14:paraId="2FED4E4D" w14:textId="7E6E26A3" w:rsidR="00FC32DE" w:rsidRPr="003305C1" w:rsidRDefault="00FC32DE" w:rsidP="00FC32DE">
      <w:pPr>
        <w:jc w:val="both"/>
        <w:rPr>
          <w:rFonts w:ascii="Arial" w:hAnsi="Arial" w:cs="Arial"/>
          <w:sz w:val="24"/>
          <w:szCs w:val="24"/>
        </w:rPr>
      </w:pPr>
      <w:r w:rsidRPr="003305C1">
        <w:rPr>
          <w:rFonts w:ascii="Arial" w:hAnsi="Arial" w:cs="Arial"/>
          <w:sz w:val="24"/>
          <w:szCs w:val="24"/>
        </w:rPr>
        <w:t>E= Total Pasivos</w:t>
      </w:r>
      <w:r w:rsidR="003305C1" w:rsidRPr="003305C1">
        <w:rPr>
          <w:rFonts w:ascii="Arial" w:hAnsi="Arial" w:cs="Arial"/>
          <w:sz w:val="24"/>
          <w:szCs w:val="24"/>
        </w:rPr>
        <w:t xml:space="preserve"> </w:t>
      </w:r>
      <w:r w:rsidRPr="003305C1">
        <w:rPr>
          <w:rFonts w:ascii="Arial" w:hAnsi="Arial" w:cs="Arial"/>
          <w:sz w:val="24"/>
          <w:szCs w:val="24"/>
        </w:rPr>
        <w:t xml:space="preserve">/ Total Activos </w:t>
      </w:r>
    </w:p>
    <w:p w14:paraId="2A23E338" w14:textId="77777777" w:rsidR="00FC32DE" w:rsidRPr="003305C1" w:rsidRDefault="00FC32DE" w:rsidP="00FC32DE">
      <w:pPr>
        <w:jc w:val="both"/>
        <w:rPr>
          <w:rFonts w:ascii="Arial" w:hAnsi="Arial" w:cs="Arial"/>
          <w:b/>
          <w:bCs/>
          <w:sz w:val="24"/>
          <w:szCs w:val="24"/>
        </w:rPr>
      </w:pPr>
    </w:p>
    <w:p w14:paraId="7733A09E" w14:textId="15F79D10" w:rsidR="003305C1" w:rsidRPr="003305C1" w:rsidRDefault="003305C1" w:rsidP="003305C1">
      <w:pPr>
        <w:numPr>
          <w:ilvl w:val="1"/>
          <w:numId w:val="32"/>
        </w:numPr>
        <w:jc w:val="both"/>
        <w:rPr>
          <w:rFonts w:ascii="Arial" w:hAnsi="Arial" w:cs="Arial"/>
          <w:b/>
          <w:bCs/>
          <w:sz w:val="24"/>
          <w:szCs w:val="24"/>
        </w:rPr>
      </w:pPr>
      <w:r w:rsidRPr="003305C1">
        <w:rPr>
          <w:rFonts w:ascii="Arial" w:hAnsi="Arial" w:cs="Arial"/>
          <w:b/>
          <w:bCs/>
          <w:sz w:val="24"/>
          <w:szCs w:val="24"/>
        </w:rPr>
        <w:t xml:space="preserve">NIVEL DE ENDEUDAMIENTO CON EL NUEVO CRÉDITO INCLUIDO (%) </w:t>
      </w:r>
    </w:p>
    <w:p w14:paraId="7ADE87EA" w14:textId="77777777" w:rsidR="003305C1" w:rsidRPr="003305C1" w:rsidRDefault="003305C1" w:rsidP="003305C1">
      <w:pPr>
        <w:pStyle w:val="Default"/>
      </w:pPr>
    </w:p>
    <w:p w14:paraId="4174BE7F" w14:textId="7A275E6B" w:rsidR="002B0503" w:rsidRDefault="003305C1" w:rsidP="003305C1">
      <w:pPr>
        <w:jc w:val="both"/>
        <w:rPr>
          <w:rFonts w:ascii="Arial" w:hAnsi="Arial" w:cs="Arial"/>
          <w:sz w:val="24"/>
          <w:szCs w:val="24"/>
        </w:rPr>
      </w:pPr>
      <w:r w:rsidRPr="003305C1">
        <w:rPr>
          <w:rFonts w:ascii="Arial" w:hAnsi="Arial" w:cs="Arial"/>
          <w:sz w:val="24"/>
          <w:szCs w:val="24"/>
        </w:rPr>
        <w:t>Se debe tener en cuenta el valor total de los pasivos del asociado (deudas y obligaciones con entidades financieras, el sector real y otro tipo de deudas contraídas por el asociado adicionando el nuevo crédito), dividido por el valor de los activos (total de recursos de los que dispone el asociado para llevar a cabo sus operaciones, así como todos los bienes y derechos sumado al capital ingresado por el nuevo crédito), posteriormente se multiplica por 100 para convertirlo en un porcentaje:</w:t>
      </w:r>
    </w:p>
    <w:p w14:paraId="535E2CD3" w14:textId="77777777" w:rsidR="002618BB" w:rsidRPr="003305C1" w:rsidRDefault="002618BB" w:rsidP="003305C1">
      <w:pPr>
        <w:jc w:val="both"/>
        <w:rPr>
          <w:rFonts w:ascii="Arial" w:hAnsi="Arial" w:cs="Arial"/>
          <w:sz w:val="24"/>
          <w:szCs w:val="24"/>
        </w:rPr>
      </w:pPr>
    </w:p>
    <w:p w14:paraId="7ACA8271" w14:textId="076B8DCB" w:rsidR="003305C1" w:rsidRDefault="003305C1" w:rsidP="003305C1">
      <w:pPr>
        <w:jc w:val="both"/>
        <w:rPr>
          <w:rFonts w:ascii="Arial" w:hAnsi="Arial" w:cs="Arial"/>
          <w:sz w:val="24"/>
          <w:szCs w:val="24"/>
        </w:rPr>
      </w:pPr>
      <w:r w:rsidRPr="003305C1">
        <w:rPr>
          <w:rFonts w:ascii="Arial" w:hAnsi="Arial" w:cs="Arial"/>
          <w:sz w:val="24"/>
          <w:szCs w:val="24"/>
        </w:rPr>
        <w:t>Endeudamiento incluyendo crédito actual (%)</w:t>
      </w:r>
      <w:r>
        <w:rPr>
          <w:rFonts w:ascii="Arial" w:hAnsi="Arial" w:cs="Arial"/>
          <w:sz w:val="24"/>
          <w:szCs w:val="24"/>
        </w:rPr>
        <w:t xml:space="preserve"> </w:t>
      </w:r>
      <w:r w:rsidRPr="003305C1">
        <w:rPr>
          <w:rFonts w:ascii="Arial" w:hAnsi="Arial" w:cs="Arial"/>
          <w:sz w:val="24"/>
          <w:szCs w:val="24"/>
        </w:rPr>
        <w:t>:</w:t>
      </w:r>
      <w:r>
        <w:rPr>
          <w:rFonts w:ascii="Arial" w:hAnsi="Arial" w:cs="Arial"/>
          <w:sz w:val="24"/>
          <w:szCs w:val="24"/>
        </w:rPr>
        <w:t xml:space="preserve"> (</w:t>
      </w:r>
      <w:r w:rsidRPr="003305C1">
        <w:rPr>
          <w:rFonts w:ascii="Arial" w:hAnsi="Arial" w:cs="Arial"/>
          <w:sz w:val="24"/>
          <w:szCs w:val="24"/>
        </w:rPr>
        <w:t>(Pasivos + crédito solicitado)</w:t>
      </w:r>
      <w:r>
        <w:rPr>
          <w:rFonts w:ascii="Arial" w:hAnsi="Arial" w:cs="Arial"/>
          <w:sz w:val="24"/>
          <w:szCs w:val="24"/>
        </w:rPr>
        <w:t xml:space="preserve"> /</w:t>
      </w:r>
      <w:r w:rsidRPr="003305C1">
        <w:rPr>
          <w:rFonts w:ascii="Arial" w:hAnsi="Arial" w:cs="Arial"/>
          <w:sz w:val="24"/>
          <w:szCs w:val="24"/>
        </w:rPr>
        <w:t xml:space="preserve"> </w:t>
      </w:r>
      <w:r>
        <w:rPr>
          <w:rFonts w:ascii="Arial" w:hAnsi="Arial" w:cs="Arial"/>
          <w:sz w:val="24"/>
          <w:szCs w:val="24"/>
        </w:rPr>
        <w:t xml:space="preserve"> </w:t>
      </w:r>
      <w:r w:rsidRPr="003305C1">
        <w:rPr>
          <w:rFonts w:ascii="Arial" w:hAnsi="Arial" w:cs="Arial"/>
          <w:sz w:val="24"/>
          <w:szCs w:val="24"/>
        </w:rPr>
        <w:t>(Activos + crédito Solicitado)</w:t>
      </w:r>
      <w:r>
        <w:rPr>
          <w:rFonts w:ascii="Arial" w:hAnsi="Arial" w:cs="Arial"/>
          <w:sz w:val="24"/>
          <w:szCs w:val="24"/>
        </w:rPr>
        <w:t xml:space="preserve">) </w:t>
      </w:r>
      <w:r w:rsidRPr="003305C1">
        <w:rPr>
          <w:rFonts w:ascii="Arial" w:hAnsi="Arial" w:cs="Arial"/>
          <w:sz w:val="24"/>
          <w:szCs w:val="24"/>
        </w:rPr>
        <w:t xml:space="preserve">X 100 </w:t>
      </w:r>
    </w:p>
    <w:p w14:paraId="442B4770" w14:textId="4B607159" w:rsidR="003305C1" w:rsidRDefault="003305C1" w:rsidP="003305C1">
      <w:pPr>
        <w:jc w:val="both"/>
        <w:rPr>
          <w:rFonts w:ascii="Arial" w:hAnsi="Arial" w:cs="Arial"/>
          <w:sz w:val="24"/>
          <w:szCs w:val="24"/>
        </w:rPr>
      </w:pPr>
    </w:p>
    <w:p w14:paraId="6489F2BB" w14:textId="2587EF61" w:rsidR="003305C1" w:rsidRPr="003305C1" w:rsidRDefault="003305C1" w:rsidP="003305C1">
      <w:pPr>
        <w:jc w:val="both"/>
        <w:rPr>
          <w:rFonts w:ascii="Arial" w:hAnsi="Arial" w:cs="Arial"/>
          <w:sz w:val="24"/>
          <w:szCs w:val="24"/>
        </w:rPr>
      </w:pPr>
      <w:r w:rsidRPr="003305C1">
        <w:rPr>
          <w:rFonts w:ascii="Arial" w:hAnsi="Arial" w:cs="Arial"/>
          <w:sz w:val="24"/>
          <w:szCs w:val="24"/>
        </w:rPr>
        <w:t xml:space="preserve">De esta manera, el indicador permite determinar la participación de los acreedores sobre los activos. </w:t>
      </w:r>
    </w:p>
    <w:p w14:paraId="6AF72D62" w14:textId="77777777" w:rsidR="003305C1" w:rsidRPr="003305C1" w:rsidRDefault="003305C1" w:rsidP="003305C1">
      <w:pPr>
        <w:jc w:val="both"/>
        <w:rPr>
          <w:rFonts w:ascii="Arial" w:hAnsi="Arial" w:cs="Arial"/>
          <w:sz w:val="24"/>
          <w:szCs w:val="24"/>
        </w:rPr>
      </w:pPr>
    </w:p>
    <w:p w14:paraId="1B31D337" w14:textId="2794FDF1" w:rsidR="003305C1" w:rsidRPr="003305C1" w:rsidRDefault="003305C1" w:rsidP="003305C1">
      <w:pPr>
        <w:jc w:val="both"/>
        <w:rPr>
          <w:rFonts w:ascii="Arial" w:hAnsi="Arial" w:cs="Arial"/>
          <w:sz w:val="24"/>
          <w:szCs w:val="24"/>
        </w:rPr>
      </w:pPr>
      <w:r w:rsidRPr="003305C1">
        <w:rPr>
          <w:rFonts w:ascii="Arial" w:hAnsi="Arial" w:cs="Arial"/>
          <w:sz w:val="24"/>
          <w:szCs w:val="24"/>
        </w:rPr>
        <w:t xml:space="preserve">Se considera como umbral máximo un endeudamiento del 40%. </w:t>
      </w:r>
    </w:p>
    <w:p w14:paraId="1B98D882" w14:textId="51B6BBC2" w:rsidR="003305C1" w:rsidRDefault="003305C1" w:rsidP="003305C1">
      <w:pPr>
        <w:jc w:val="both"/>
        <w:rPr>
          <w:rFonts w:ascii="Arial" w:hAnsi="Arial" w:cs="Arial"/>
          <w:sz w:val="24"/>
          <w:szCs w:val="24"/>
        </w:rPr>
      </w:pPr>
    </w:p>
    <w:p w14:paraId="2A913A57" w14:textId="12EDBC6A" w:rsidR="003305C1" w:rsidRPr="005B305D" w:rsidRDefault="003305C1" w:rsidP="003305C1">
      <w:pPr>
        <w:numPr>
          <w:ilvl w:val="1"/>
          <w:numId w:val="32"/>
        </w:numPr>
        <w:jc w:val="both"/>
        <w:rPr>
          <w:rFonts w:ascii="Arial" w:hAnsi="Arial" w:cs="Arial"/>
          <w:b/>
          <w:bCs/>
          <w:sz w:val="24"/>
          <w:szCs w:val="24"/>
        </w:rPr>
      </w:pPr>
      <w:r w:rsidRPr="005B305D">
        <w:rPr>
          <w:rFonts w:ascii="Arial" w:hAnsi="Arial" w:cs="Arial"/>
          <w:b/>
          <w:bCs/>
          <w:sz w:val="24"/>
          <w:szCs w:val="24"/>
        </w:rPr>
        <w:t xml:space="preserve">NIVEL DE SOLVENCIA </w:t>
      </w:r>
    </w:p>
    <w:p w14:paraId="4561D8FE" w14:textId="77777777" w:rsidR="003305C1" w:rsidRDefault="003305C1" w:rsidP="003305C1">
      <w:pPr>
        <w:ind w:left="454"/>
        <w:jc w:val="both"/>
      </w:pPr>
    </w:p>
    <w:p w14:paraId="6A4DD4B8" w14:textId="25DA7321" w:rsidR="003305C1" w:rsidRDefault="003305C1" w:rsidP="003305C1">
      <w:pPr>
        <w:jc w:val="both"/>
        <w:rPr>
          <w:rFonts w:ascii="Arial" w:hAnsi="Arial" w:cs="Arial"/>
          <w:sz w:val="24"/>
          <w:szCs w:val="24"/>
        </w:rPr>
      </w:pPr>
      <w:r w:rsidRPr="005B305D">
        <w:rPr>
          <w:rFonts w:ascii="Arial" w:hAnsi="Arial" w:cs="Arial"/>
          <w:sz w:val="24"/>
          <w:szCs w:val="24"/>
        </w:rPr>
        <w:t>Se verifica a través de variables como el nivel de endeudamiento, la calidad y composición de los activos, pasivos, patrimonio y contingencias del deudor y/o del proyecto de acuerdo con la siguiente fórmula:</w:t>
      </w:r>
    </w:p>
    <w:p w14:paraId="487F86FD" w14:textId="5F6A751F" w:rsidR="005B305D" w:rsidRDefault="005B305D" w:rsidP="003305C1">
      <w:pPr>
        <w:jc w:val="both"/>
        <w:rPr>
          <w:rFonts w:ascii="Arial" w:hAnsi="Arial" w:cs="Arial"/>
          <w:sz w:val="24"/>
          <w:szCs w:val="24"/>
        </w:rPr>
      </w:pPr>
    </w:p>
    <w:p w14:paraId="121BFE9B" w14:textId="7AFED7C8" w:rsidR="005B305D" w:rsidRPr="005B305D" w:rsidRDefault="005B305D" w:rsidP="003305C1">
      <w:pPr>
        <w:jc w:val="both"/>
        <w:rPr>
          <w:rFonts w:ascii="Arial" w:hAnsi="Arial" w:cs="Arial"/>
          <w:sz w:val="24"/>
          <w:szCs w:val="24"/>
        </w:rPr>
      </w:pPr>
      <w:r w:rsidRPr="005B305D">
        <w:rPr>
          <w:rFonts w:ascii="Arial" w:hAnsi="Arial" w:cs="Arial"/>
          <w:sz w:val="24"/>
          <w:szCs w:val="24"/>
        </w:rPr>
        <w:t>SOLVENCIA= (pasivo/activo) * 100</w:t>
      </w:r>
    </w:p>
    <w:p w14:paraId="6AB138E9" w14:textId="77777777" w:rsidR="003305C1" w:rsidRPr="003305C1" w:rsidRDefault="003305C1" w:rsidP="003305C1">
      <w:pPr>
        <w:jc w:val="both"/>
        <w:rPr>
          <w:rFonts w:ascii="Arial" w:hAnsi="Arial" w:cs="Arial"/>
          <w:sz w:val="24"/>
          <w:szCs w:val="24"/>
        </w:rPr>
      </w:pPr>
    </w:p>
    <w:p w14:paraId="1B88FA0A" w14:textId="3E1698A5" w:rsidR="002B0503" w:rsidRPr="003305C1" w:rsidRDefault="002B0503" w:rsidP="002B0503">
      <w:pPr>
        <w:numPr>
          <w:ilvl w:val="1"/>
          <w:numId w:val="32"/>
        </w:numPr>
        <w:jc w:val="both"/>
        <w:rPr>
          <w:rFonts w:ascii="Arial" w:hAnsi="Arial" w:cs="Arial"/>
          <w:b/>
          <w:bCs/>
          <w:sz w:val="24"/>
          <w:szCs w:val="24"/>
        </w:rPr>
      </w:pPr>
      <w:r w:rsidRPr="003305C1">
        <w:rPr>
          <w:rFonts w:ascii="Arial" w:hAnsi="Arial" w:cs="Arial"/>
          <w:b/>
          <w:bCs/>
          <w:sz w:val="24"/>
          <w:szCs w:val="24"/>
        </w:rPr>
        <w:t xml:space="preserve">CONDICIONES Y REQUISITOS: </w:t>
      </w:r>
    </w:p>
    <w:p w14:paraId="618F941C" w14:textId="77777777" w:rsidR="002B0503" w:rsidRPr="003305C1" w:rsidRDefault="002B0503" w:rsidP="002B0503">
      <w:pPr>
        <w:pStyle w:val="Default"/>
      </w:pPr>
    </w:p>
    <w:p w14:paraId="70ED1417" w14:textId="3FFC4911" w:rsidR="002B0503" w:rsidRPr="003305C1" w:rsidRDefault="002B0503" w:rsidP="002B0503">
      <w:pPr>
        <w:pStyle w:val="Default"/>
        <w:numPr>
          <w:ilvl w:val="0"/>
          <w:numId w:val="39"/>
        </w:numPr>
        <w:spacing w:after="55"/>
      </w:pPr>
      <w:r w:rsidRPr="003305C1">
        <w:t xml:space="preserve">Las libranzas deben ser visadas antes de la aprobación del crédito. </w:t>
      </w:r>
    </w:p>
    <w:p w14:paraId="5228BAFA" w14:textId="25ADE7C7" w:rsidR="002B0503" w:rsidRPr="003305C1" w:rsidRDefault="002B0503" w:rsidP="002B0503">
      <w:pPr>
        <w:pStyle w:val="Default"/>
        <w:numPr>
          <w:ilvl w:val="0"/>
          <w:numId w:val="39"/>
        </w:numPr>
        <w:spacing w:after="55"/>
      </w:pPr>
      <w:r w:rsidRPr="003305C1">
        <w:t xml:space="preserve">Para la capacidad de descuento por Libranza NO TENER EN CUENTA el sobresueldo por ENCARGO. </w:t>
      </w:r>
    </w:p>
    <w:p w14:paraId="7F99F623" w14:textId="7E14341D" w:rsidR="002B0503" w:rsidRPr="003305C1" w:rsidRDefault="002B0503" w:rsidP="002B0503">
      <w:pPr>
        <w:pStyle w:val="Default"/>
        <w:numPr>
          <w:ilvl w:val="0"/>
          <w:numId w:val="39"/>
        </w:numPr>
        <w:spacing w:after="55"/>
      </w:pPr>
      <w:r w:rsidRPr="003305C1">
        <w:t xml:space="preserve">Se debe solicitar la carta laboral adicional a los desprendibles. </w:t>
      </w:r>
    </w:p>
    <w:p w14:paraId="2414E55D" w14:textId="22884649" w:rsidR="002B0503" w:rsidRPr="003305C1" w:rsidRDefault="002B0503" w:rsidP="002B0503">
      <w:pPr>
        <w:pStyle w:val="Default"/>
        <w:numPr>
          <w:ilvl w:val="0"/>
          <w:numId w:val="39"/>
        </w:numPr>
        <w:spacing w:after="55"/>
      </w:pPr>
      <w:r w:rsidRPr="003305C1">
        <w:t xml:space="preserve">Para recoger cartera, si el asociado tiene un EMBARGO en la nómina, solo se puede suspender con la ORDEN JUDICIAL de lo contrario no se suspendería, ni se tendría en cuenta para la firma de la libranza. </w:t>
      </w:r>
    </w:p>
    <w:p w14:paraId="50AFE964" w14:textId="6A0D92CC" w:rsidR="002B0503" w:rsidRPr="003305C1" w:rsidRDefault="002B0503" w:rsidP="002B0503">
      <w:pPr>
        <w:pStyle w:val="Default"/>
        <w:numPr>
          <w:ilvl w:val="0"/>
          <w:numId w:val="39"/>
        </w:numPr>
      </w:pPr>
      <w:r w:rsidRPr="003305C1">
        <w:t xml:space="preserve">Las NOVEDADES se reciben los 5 primeros días hábiles del mes. </w:t>
      </w:r>
    </w:p>
    <w:p w14:paraId="51DACFF4" w14:textId="77777777" w:rsidR="009B30CF" w:rsidRPr="003305C1" w:rsidRDefault="009B30CF" w:rsidP="002967DC">
      <w:pPr>
        <w:jc w:val="both"/>
        <w:rPr>
          <w:rFonts w:ascii="Arial" w:hAnsi="Arial" w:cs="Arial"/>
          <w:sz w:val="24"/>
          <w:szCs w:val="24"/>
        </w:rPr>
      </w:pPr>
    </w:p>
    <w:p w14:paraId="69E62DEF" w14:textId="102A8BD1" w:rsidR="00A75CBC" w:rsidRDefault="00A75CBC" w:rsidP="00A75CBC">
      <w:pPr>
        <w:numPr>
          <w:ilvl w:val="0"/>
          <w:numId w:val="32"/>
        </w:numPr>
        <w:jc w:val="both"/>
        <w:rPr>
          <w:rFonts w:ascii="Arial" w:hAnsi="Arial" w:cs="Arial"/>
          <w:b/>
          <w:spacing w:val="-3"/>
          <w:sz w:val="24"/>
          <w:szCs w:val="24"/>
        </w:rPr>
      </w:pPr>
      <w:r w:rsidRPr="003305C1">
        <w:rPr>
          <w:rFonts w:ascii="Arial" w:hAnsi="Arial" w:cs="Arial"/>
          <w:b/>
          <w:spacing w:val="-3"/>
          <w:sz w:val="24"/>
          <w:szCs w:val="24"/>
        </w:rPr>
        <w:t>REGISTROS REFERENCIADOS.</w:t>
      </w:r>
    </w:p>
    <w:p w14:paraId="3AC03E5E" w14:textId="332B8C28" w:rsidR="00A75CBC" w:rsidRPr="006C0042" w:rsidRDefault="006C0042" w:rsidP="00924162">
      <w:pPr>
        <w:numPr>
          <w:ilvl w:val="1"/>
          <w:numId w:val="32"/>
        </w:numPr>
        <w:jc w:val="both"/>
        <w:rPr>
          <w:rFonts w:ascii="Arial" w:hAnsi="Arial" w:cs="Arial"/>
          <w:b/>
          <w:spacing w:val="-3"/>
          <w:sz w:val="24"/>
          <w:szCs w:val="24"/>
        </w:rPr>
      </w:pPr>
      <w:r w:rsidRPr="006C0042">
        <w:rPr>
          <w:rFonts w:ascii="Arial" w:hAnsi="Arial" w:cs="Arial"/>
          <w:b/>
          <w:spacing w:val="-3"/>
          <w:sz w:val="24"/>
          <w:szCs w:val="24"/>
        </w:rPr>
        <w:t>N/A</w:t>
      </w:r>
    </w:p>
    <w:p w14:paraId="126E2C70" w14:textId="5747B247" w:rsidR="0092336A" w:rsidRPr="003305C1" w:rsidRDefault="0092336A" w:rsidP="00A75CBC">
      <w:pPr>
        <w:jc w:val="both"/>
        <w:rPr>
          <w:rFonts w:ascii="Arial" w:hAnsi="Arial" w:cs="Arial"/>
          <w:b/>
          <w:spacing w:val="-3"/>
          <w:sz w:val="24"/>
          <w:szCs w:val="24"/>
        </w:rPr>
      </w:pPr>
    </w:p>
    <w:p w14:paraId="7C2578C2" w14:textId="77777777" w:rsidR="00A75CBC" w:rsidRPr="003305C1" w:rsidRDefault="00A75CBC" w:rsidP="00A75CBC">
      <w:pPr>
        <w:numPr>
          <w:ilvl w:val="0"/>
          <w:numId w:val="32"/>
        </w:numPr>
        <w:jc w:val="both"/>
        <w:rPr>
          <w:rFonts w:ascii="Arial" w:hAnsi="Arial" w:cs="Arial"/>
          <w:spacing w:val="-3"/>
          <w:sz w:val="24"/>
          <w:szCs w:val="24"/>
        </w:rPr>
      </w:pPr>
      <w:r w:rsidRPr="003305C1">
        <w:rPr>
          <w:rFonts w:ascii="Arial" w:hAnsi="Arial" w:cs="Arial"/>
          <w:b/>
          <w:bCs/>
          <w:spacing w:val="-3"/>
          <w:sz w:val="24"/>
          <w:szCs w:val="24"/>
        </w:rPr>
        <w:t>ACTUALIZACIÓN</w:t>
      </w:r>
    </w:p>
    <w:p w14:paraId="449697CC" w14:textId="77777777" w:rsidR="00A75CBC" w:rsidRPr="003305C1" w:rsidRDefault="00A75CBC" w:rsidP="00A75CBC">
      <w:pPr>
        <w:jc w:val="both"/>
        <w:rPr>
          <w:rFonts w:ascii="Arial" w:hAnsi="Arial" w:cs="Arial"/>
          <w:spacing w:val="-3"/>
          <w:sz w:val="24"/>
          <w:szCs w:val="24"/>
        </w:rPr>
      </w:pPr>
    </w:p>
    <w:tbl>
      <w:tblPr>
        <w:tblStyle w:val="Tablaconcuadrcula"/>
        <w:tblW w:w="9281" w:type="dxa"/>
        <w:tblLook w:val="04A0" w:firstRow="1" w:lastRow="0" w:firstColumn="1" w:lastColumn="0" w:noHBand="0" w:noVBand="1"/>
      </w:tblPr>
      <w:tblGrid>
        <w:gridCol w:w="1087"/>
        <w:gridCol w:w="7188"/>
        <w:gridCol w:w="1006"/>
      </w:tblGrid>
      <w:tr w:rsidR="000972AD" w:rsidRPr="000972AD" w14:paraId="746ABB09" w14:textId="77777777" w:rsidTr="000972AD">
        <w:tc>
          <w:tcPr>
            <w:tcW w:w="887" w:type="dxa"/>
            <w:tcBorders>
              <w:top w:val="single" w:sz="4" w:space="0" w:color="auto"/>
              <w:left w:val="single" w:sz="4" w:space="0" w:color="auto"/>
              <w:bottom w:val="single" w:sz="4" w:space="0" w:color="auto"/>
              <w:right w:val="single" w:sz="4" w:space="0" w:color="auto"/>
            </w:tcBorders>
            <w:hideMark/>
          </w:tcPr>
          <w:p w14:paraId="604A478C" w14:textId="77777777" w:rsidR="000972AD" w:rsidRPr="000972AD" w:rsidRDefault="000972AD" w:rsidP="00A75CBC">
            <w:pPr>
              <w:jc w:val="both"/>
              <w:rPr>
                <w:rFonts w:ascii="Arial" w:hAnsi="Arial" w:cs="Arial"/>
                <w:b/>
                <w:bCs/>
                <w:spacing w:val="-3"/>
                <w:sz w:val="18"/>
                <w:szCs w:val="18"/>
              </w:rPr>
            </w:pPr>
            <w:r w:rsidRPr="000972AD">
              <w:rPr>
                <w:rFonts w:ascii="Arial" w:hAnsi="Arial" w:cs="Arial"/>
                <w:b/>
                <w:bCs/>
                <w:spacing w:val="-3"/>
                <w:sz w:val="18"/>
                <w:szCs w:val="18"/>
              </w:rPr>
              <w:t>FECHA</w:t>
            </w:r>
          </w:p>
        </w:tc>
        <w:tc>
          <w:tcPr>
            <w:tcW w:w="7568" w:type="dxa"/>
            <w:tcBorders>
              <w:top w:val="single" w:sz="4" w:space="0" w:color="auto"/>
              <w:left w:val="single" w:sz="4" w:space="0" w:color="auto"/>
              <w:bottom w:val="single" w:sz="4" w:space="0" w:color="auto"/>
              <w:right w:val="single" w:sz="4" w:space="0" w:color="auto"/>
            </w:tcBorders>
            <w:hideMark/>
          </w:tcPr>
          <w:p w14:paraId="1CA7A8EB" w14:textId="77777777" w:rsidR="000972AD" w:rsidRPr="000972AD" w:rsidRDefault="000972AD" w:rsidP="00A75CBC">
            <w:pPr>
              <w:jc w:val="both"/>
              <w:rPr>
                <w:rFonts w:ascii="Arial" w:hAnsi="Arial" w:cs="Arial"/>
                <w:b/>
                <w:bCs/>
                <w:spacing w:val="-3"/>
                <w:sz w:val="18"/>
                <w:szCs w:val="18"/>
              </w:rPr>
            </w:pPr>
            <w:r w:rsidRPr="000972AD">
              <w:rPr>
                <w:rFonts w:ascii="Arial" w:hAnsi="Arial" w:cs="Arial"/>
                <w:b/>
                <w:bCs/>
                <w:spacing w:val="-3"/>
                <w:sz w:val="18"/>
                <w:szCs w:val="18"/>
              </w:rPr>
              <w:t>DESCRIPCIÓN</w:t>
            </w:r>
          </w:p>
        </w:tc>
        <w:tc>
          <w:tcPr>
            <w:tcW w:w="826" w:type="dxa"/>
            <w:tcBorders>
              <w:top w:val="single" w:sz="4" w:space="0" w:color="auto"/>
              <w:left w:val="single" w:sz="4" w:space="0" w:color="auto"/>
              <w:bottom w:val="single" w:sz="4" w:space="0" w:color="auto"/>
              <w:right w:val="single" w:sz="4" w:space="0" w:color="auto"/>
            </w:tcBorders>
            <w:hideMark/>
          </w:tcPr>
          <w:p w14:paraId="37B9F7F8" w14:textId="77777777" w:rsidR="000972AD" w:rsidRPr="000972AD" w:rsidRDefault="000972AD" w:rsidP="00A75CBC">
            <w:pPr>
              <w:jc w:val="both"/>
              <w:rPr>
                <w:rFonts w:ascii="Arial" w:hAnsi="Arial" w:cs="Arial"/>
                <w:b/>
                <w:bCs/>
                <w:spacing w:val="-3"/>
                <w:sz w:val="18"/>
                <w:szCs w:val="18"/>
              </w:rPr>
            </w:pPr>
            <w:r w:rsidRPr="000972AD">
              <w:rPr>
                <w:rFonts w:ascii="Arial" w:hAnsi="Arial" w:cs="Arial"/>
                <w:b/>
                <w:bCs/>
                <w:spacing w:val="-3"/>
                <w:sz w:val="18"/>
                <w:szCs w:val="18"/>
              </w:rPr>
              <w:t>VERSIÓN</w:t>
            </w:r>
          </w:p>
        </w:tc>
      </w:tr>
      <w:tr w:rsidR="000972AD" w:rsidRPr="000972AD" w14:paraId="4FAB4589" w14:textId="77777777" w:rsidTr="000972AD">
        <w:tc>
          <w:tcPr>
            <w:tcW w:w="887" w:type="dxa"/>
            <w:tcBorders>
              <w:top w:val="single" w:sz="4" w:space="0" w:color="auto"/>
              <w:left w:val="single" w:sz="4" w:space="0" w:color="auto"/>
              <w:bottom w:val="single" w:sz="4" w:space="0" w:color="auto"/>
              <w:right w:val="single" w:sz="4" w:space="0" w:color="auto"/>
            </w:tcBorders>
            <w:hideMark/>
          </w:tcPr>
          <w:p w14:paraId="3D962F39" w14:textId="6BF60A39" w:rsidR="000972AD" w:rsidRPr="000972AD" w:rsidRDefault="000972AD" w:rsidP="00A75CBC">
            <w:pPr>
              <w:jc w:val="both"/>
              <w:rPr>
                <w:rFonts w:ascii="Arial" w:hAnsi="Arial" w:cs="Arial"/>
                <w:spacing w:val="-3"/>
                <w:sz w:val="18"/>
                <w:szCs w:val="18"/>
              </w:rPr>
            </w:pPr>
            <w:r w:rsidRPr="000972AD">
              <w:rPr>
                <w:rFonts w:ascii="Arial" w:hAnsi="Arial" w:cs="Arial"/>
                <w:spacing w:val="-3"/>
                <w:sz w:val="18"/>
                <w:szCs w:val="18"/>
              </w:rPr>
              <w:t>28/09/2021</w:t>
            </w:r>
          </w:p>
        </w:tc>
        <w:tc>
          <w:tcPr>
            <w:tcW w:w="7568" w:type="dxa"/>
            <w:tcBorders>
              <w:top w:val="single" w:sz="4" w:space="0" w:color="auto"/>
              <w:left w:val="single" w:sz="4" w:space="0" w:color="auto"/>
              <w:bottom w:val="single" w:sz="4" w:space="0" w:color="auto"/>
              <w:right w:val="single" w:sz="4" w:space="0" w:color="auto"/>
            </w:tcBorders>
            <w:hideMark/>
          </w:tcPr>
          <w:p w14:paraId="459E675D" w14:textId="77777777" w:rsidR="000972AD" w:rsidRPr="000972AD" w:rsidRDefault="000972AD" w:rsidP="00A75CBC">
            <w:pPr>
              <w:jc w:val="both"/>
              <w:rPr>
                <w:rFonts w:ascii="Arial" w:hAnsi="Arial" w:cs="Arial"/>
                <w:spacing w:val="-3"/>
                <w:sz w:val="18"/>
                <w:szCs w:val="18"/>
              </w:rPr>
            </w:pPr>
            <w:r w:rsidRPr="000972AD">
              <w:rPr>
                <w:rFonts w:ascii="Arial" w:hAnsi="Arial" w:cs="Arial"/>
                <w:spacing w:val="-3"/>
                <w:sz w:val="18"/>
                <w:szCs w:val="18"/>
              </w:rPr>
              <w:t>Creación de documento</w:t>
            </w:r>
          </w:p>
        </w:tc>
        <w:tc>
          <w:tcPr>
            <w:tcW w:w="826" w:type="dxa"/>
            <w:tcBorders>
              <w:top w:val="single" w:sz="4" w:space="0" w:color="auto"/>
              <w:left w:val="single" w:sz="4" w:space="0" w:color="auto"/>
              <w:bottom w:val="single" w:sz="4" w:space="0" w:color="auto"/>
              <w:right w:val="single" w:sz="4" w:space="0" w:color="auto"/>
            </w:tcBorders>
            <w:hideMark/>
          </w:tcPr>
          <w:p w14:paraId="5F8D6D69" w14:textId="77777777" w:rsidR="000972AD" w:rsidRPr="000972AD" w:rsidRDefault="000972AD" w:rsidP="0092336A">
            <w:pPr>
              <w:jc w:val="right"/>
              <w:rPr>
                <w:rFonts w:ascii="Arial" w:hAnsi="Arial" w:cs="Arial"/>
                <w:spacing w:val="-3"/>
                <w:sz w:val="18"/>
                <w:szCs w:val="18"/>
              </w:rPr>
            </w:pPr>
            <w:r w:rsidRPr="000972AD">
              <w:rPr>
                <w:rFonts w:ascii="Arial" w:hAnsi="Arial" w:cs="Arial"/>
                <w:spacing w:val="-3"/>
                <w:sz w:val="18"/>
                <w:szCs w:val="18"/>
              </w:rPr>
              <w:t>01</w:t>
            </w:r>
          </w:p>
        </w:tc>
      </w:tr>
    </w:tbl>
    <w:p w14:paraId="7897844A" w14:textId="77777777" w:rsidR="00A75CBC" w:rsidRPr="003305C1" w:rsidRDefault="00A75CBC" w:rsidP="00A75CBC">
      <w:pPr>
        <w:jc w:val="both"/>
        <w:rPr>
          <w:rFonts w:ascii="Arial" w:hAnsi="Arial" w:cs="Arial"/>
          <w:spacing w:val="-3"/>
          <w:sz w:val="24"/>
          <w:szCs w:val="24"/>
        </w:rPr>
      </w:pPr>
    </w:p>
    <w:p w14:paraId="67BAFDD2" w14:textId="77777777" w:rsidR="003071AA" w:rsidRPr="003305C1" w:rsidRDefault="003071AA" w:rsidP="00EC006C">
      <w:pPr>
        <w:jc w:val="both"/>
        <w:rPr>
          <w:rFonts w:ascii="Arial" w:hAnsi="Arial" w:cs="Arial"/>
          <w:spacing w:val="-3"/>
          <w:sz w:val="24"/>
          <w:szCs w:val="24"/>
        </w:rPr>
      </w:pPr>
    </w:p>
    <w:sectPr w:rsidR="003071AA" w:rsidRPr="003305C1" w:rsidSect="00CD730D">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11E9" w14:textId="77777777" w:rsidR="00A57FDE" w:rsidRDefault="00A57FDE">
      <w:r>
        <w:separator/>
      </w:r>
    </w:p>
  </w:endnote>
  <w:endnote w:type="continuationSeparator" w:id="0">
    <w:p w14:paraId="2A9A4082" w14:textId="77777777" w:rsidR="00A57FDE" w:rsidRDefault="00A57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40EE" w14:textId="77777777" w:rsidR="00C72F7F" w:rsidRPr="00C72F7F" w:rsidRDefault="00C72F7F" w:rsidP="00C72F7F">
    <w:pPr>
      <w:pStyle w:val="Piedepgina1"/>
      <w:jc w:val="center"/>
      <w:rPr>
        <w:color w:val="808080"/>
      </w:rPr>
    </w:pPr>
    <w:bookmarkStart w:id="3"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B6F8" w14:textId="77777777" w:rsidR="00A57FDE" w:rsidRDefault="00A57FDE">
      <w:r>
        <w:separator/>
      </w:r>
    </w:p>
  </w:footnote>
  <w:footnote w:type="continuationSeparator" w:id="0">
    <w:p w14:paraId="20A1A6BE" w14:textId="77777777" w:rsidR="00A57FDE" w:rsidRDefault="00A57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99" w:type="pct"/>
      <w:tblLook w:val="04A0" w:firstRow="1" w:lastRow="0" w:firstColumn="1" w:lastColumn="0" w:noHBand="0" w:noVBand="1"/>
    </w:tblPr>
    <w:tblGrid>
      <w:gridCol w:w="2174"/>
      <w:gridCol w:w="767"/>
      <w:gridCol w:w="1034"/>
      <w:gridCol w:w="803"/>
      <w:gridCol w:w="305"/>
      <w:gridCol w:w="839"/>
      <w:gridCol w:w="1017"/>
      <w:gridCol w:w="732"/>
      <w:gridCol w:w="1679"/>
    </w:tblGrid>
    <w:tr w:rsidR="00315E49" w:rsidRPr="00287C2C" w14:paraId="2B6EEEDF" w14:textId="77777777" w:rsidTr="00CD730D">
      <w:trPr>
        <w:trHeight w:val="20"/>
      </w:trPr>
      <w:tc>
        <w:tcPr>
          <w:tcW w:w="1162" w:type="pct"/>
          <w:vMerge w:val="restart"/>
          <w:noWrap/>
          <w:vAlign w:val="center"/>
          <w:hideMark/>
        </w:tcPr>
        <w:p w14:paraId="61508323" w14:textId="77777777" w:rsidR="00114871" w:rsidRPr="00287C2C" w:rsidRDefault="00315E49" w:rsidP="00114871">
          <w:pPr>
            <w:rPr>
              <w:rFonts w:ascii="Arial" w:hAnsi="Arial" w:cs="Arial"/>
              <w:sz w:val="16"/>
              <w:szCs w:val="16"/>
            </w:rPr>
          </w:pPr>
          <w:bookmarkStart w:id="2" w:name="_Hlk9596007"/>
          <w:r w:rsidRPr="00287C2C">
            <w:rPr>
              <w:rFonts w:ascii="Arial" w:hAnsi="Arial" w:cs="Arial"/>
              <w:noProof/>
              <w:sz w:val="16"/>
              <w:szCs w:val="16"/>
            </w:rPr>
            <w:drawing>
              <wp:inline distT="0" distB="0" distL="0" distR="0" wp14:anchorId="5895D692" wp14:editId="5A40D44E">
                <wp:extent cx="1243584" cy="467288"/>
                <wp:effectExtent l="0" t="0" r="0" b="9525"/>
                <wp:docPr id="1" name="Imagen 1" descr="Imagen que contiene alimentos,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95574" cy="486824"/>
                        </a:xfrm>
                        <a:prstGeom prst="rect">
                          <a:avLst/>
                        </a:prstGeom>
                      </pic:spPr>
                    </pic:pic>
                  </a:graphicData>
                </a:graphic>
              </wp:inline>
            </w:drawing>
          </w:r>
        </w:p>
      </w:tc>
      <w:tc>
        <w:tcPr>
          <w:tcW w:w="907" w:type="pct"/>
          <w:gridSpan w:val="2"/>
          <w:noWrap/>
          <w:vAlign w:val="center"/>
          <w:hideMark/>
        </w:tcPr>
        <w:p w14:paraId="68C3B6BF" w14:textId="77777777" w:rsidR="00114871" w:rsidRPr="00287C2C" w:rsidRDefault="00114871" w:rsidP="00114871">
          <w:pPr>
            <w:rPr>
              <w:rFonts w:ascii="Arial" w:hAnsi="Arial" w:cs="Arial"/>
              <w:b/>
              <w:bCs/>
              <w:sz w:val="16"/>
              <w:szCs w:val="16"/>
            </w:rPr>
          </w:pPr>
          <w:r w:rsidRPr="00287C2C">
            <w:rPr>
              <w:rFonts w:ascii="Arial" w:hAnsi="Arial" w:cs="Arial"/>
              <w:b/>
              <w:bCs/>
              <w:sz w:val="16"/>
              <w:szCs w:val="16"/>
            </w:rPr>
            <w:t>PROCESO</w:t>
          </w:r>
        </w:p>
      </w:tc>
      <w:tc>
        <w:tcPr>
          <w:tcW w:w="2930" w:type="pct"/>
          <w:gridSpan w:val="6"/>
          <w:vAlign w:val="center"/>
        </w:tcPr>
        <w:p w14:paraId="37469FD8" w14:textId="77777777" w:rsidR="00114871" w:rsidRPr="00287C2C" w:rsidRDefault="00114871" w:rsidP="00114871">
          <w:pPr>
            <w:rPr>
              <w:rFonts w:ascii="Arial" w:hAnsi="Arial" w:cs="Arial"/>
              <w:b/>
              <w:bCs/>
              <w:sz w:val="16"/>
              <w:szCs w:val="16"/>
            </w:rPr>
          </w:pPr>
          <w:r w:rsidRPr="00287C2C">
            <w:rPr>
              <w:rFonts w:ascii="Arial" w:hAnsi="Arial" w:cs="Arial"/>
              <w:b/>
              <w:bCs/>
              <w:sz w:val="16"/>
              <w:szCs w:val="16"/>
            </w:rPr>
            <w:t>GESTIÓN DE CRÉDITO</w:t>
          </w:r>
        </w:p>
      </w:tc>
    </w:tr>
    <w:tr w:rsidR="00315E49" w:rsidRPr="00287C2C" w14:paraId="6A209BF0" w14:textId="77777777" w:rsidTr="00CD730D">
      <w:trPr>
        <w:trHeight w:val="20"/>
      </w:trPr>
      <w:tc>
        <w:tcPr>
          <w:tcW w:w="1162" w:type="pct"/>
          <w:vMerge/>
          <w:noWrap/>
          <w:vAlign w:val="center"/>
        </w:tcPr>
        <w:p w14:paraId="59CEACD7" w14:textId="77777777" w:rsidR="00114871" w:rsidRPr="00287C2C" w:rsidRDefault="00114871" w:rsidP="00114871">
          <w:pPr>
            <w:rPr>
              <w:rFonts w:ascii="Arial" w:hAnsi="Arial" w:cs="Arial"/>
              <w:noProof/>
              <w:sz w:val="16"/>
              <w:szCs w:val="16"/>
            </w:rPr>
          </w:pPr>
        </w:p>
      </w:tc>
      <w:tc>
        <w:tcPr>
          <w:tcW w:w="907" w:type="pct"/>
          <w:gridSpan w:val="2"/>
          <w:noWrap/>
          <w:vAlign w:val="center"/>
        </w:tcPr>
        <w:p w14:paraId="68C9870D" w14:textId="77777777" w:rsidR="00114871" w:rsidRPr="00287C2C" w:rsidRDefault="00114871" w:rsidP="00114871">
          <w:pPr>
            <w:rPr>
              <w:rFonts w:ascii="Arial" w:hAnsi="Arial" w:cs="Arial"/>
              <w:b/>
              <w:sz w:val="16"/>
              <w:szCs w:val="16"/>
              <w:lang w:eastAsia="en-US"/>
            </w:rPr>
          </w:pPr>
          <w:r w:rsidRPr="00287C2C">
            <w:rPr>
              <w:rFonts w:ascii="Arial" w:hAnsi="Arial" w:cs="Arial"/>
              <w:b/>
              <w:sz w:val="16"/>
              <w:szCs w:val="16"/>
              <w:lang w:eastAsia="en-US"/>
            </w:rPr>
            <w:t>PROCEDIMIENTO</w:t>
          </w:r>
        </w:p>
      </w:tc>
      <w:tc>
        <w:tcPr>
          <w:tcW w:w="2930" w:type="pct"/>
          <w:gridSpan w:val="6"/>
          <w:vAlign w:val="center"/>
        </w:tcPr>
        <w:p w14:paraId="164EDA7D" w14:textId="01496C00" w:rsidR="00114871" w:rsidRPr="00287C2C" w:rsidRDefault="00155C96" w:rsidP="00114871">
          <w:pPr>
            <w:rPr>
              <w:rFonts w:ascii="Arial" w:hAnsi="Arial" w:cs="Arial"/>
              <w:b/>
              <w:sz w:val="16"/>
              <w:szCs w:val="16"/>
              <w:lang w:eastAsia="en-US"/>
            </w:rPr>
          </w:pPr>
          <w:r w:rsidRPr="00287C2C">
            <w:rPr>
              <w:rFonts w:ascii="Arial" w:hAnsi="Arial" w:cs="Arial"/>
              <w:b/>
              <w:sz w:val="16"/>
              <w:szCs w:val="16"/>
              <w:lang w:eastAsia="en-US"/>
            </w:rPr>
            <w:t xml:space="preserve">METODOLOGÍA PARA EL CALCULO </w:t>
          </w:r>
          <w:r w:rsidR="00912F9A">
            <w:rPr>
              <w:rFonts w:ascii="Arial" w:hAnsi="Arial" w:cs="Arial"/>
              <w:b/>
              <w:sz w:val="16"/>
              <w:szCs w:val="16"/>
              <w:lang w:eastAsia="en-US"/>
            </w:rPr>
            <w:t xml:space="preserve">VARIABLES EN EL OTORGAMIENTO DE CRÉDITOS </w:t>
          </w:r>
        </w:p>
      </w:tc>
    </w:tr>
    <w:tr w:rsidR="00315E49" w:rsidRPr="00287C2C" w14:paraId="0E0B4A86" w14:textId="77777777" w:rsidTr="00CD730D">
      <w:trPr>
        <w:trHeight w:val="20"/>
      </w:trPr>
      <w:tc>
        <w:tcPr>
          <w:tcW w:w="1162" w:type="pct"/>
          <w:vMerge/>
          <w:vAlign w:val="center"/>
          <w:hideMark/>
        </w:tcPr>
        <w:p w14:paraId="000B3EAD" w14:textId="77777777" w:rsidR="00114871" w:rsidRPr="00287C2C" w:rsidRDefault="00114871" w:rsidP="00114871">
          <w:pPr>
            <w:rPr>
              <w:rFonts w:ascii="Arial" w:hAnsi="Arial" w:cs="Arial"/>
              <w:sz w:val="16"/>
              <w:szCs w:val="16"/>
            </w:rPr>
          </w:pPr>
        </w:p>
      </w:tc>
      <w:tc>
        <w:tcPr>
          <w:tcW w:w="411" w:type="pct"/>
          <w:noWrap/>
          <w:vAlign w:val="center"/>
          <w:hideMark/>
        </w:tcPr>
        <w:p w14:paraId="4A702952" w14:textId="77777777" w:rsidR="00114871" w:rsidRPr="00287C2C" w:rsidRDefault="00114871" w:rsidP="00114871">
          <w:pPr>
            <w:rPr>
              <w:rFonts w:ascii="Arial" w:hAnsi="Arial" w:cs="Arial"/>
              <w:b/>
              <w:sz w:val="16"/>
              <w:szCs w:val="16"/>
            </w:rPr>
          </w:pPr>
          <w:r w:rsidRPr="00287C2C">
            <w:rPr>
              <w:rFonts w:ascii="Arial" w:hAnsi="Arial" w:cs="Arial"/>
              <w:b/>
              <w:sz w:val="16"/>
              <w:szCs w:val="16"/>
              <w:lang w:eastAsia="en-US"/>
            </w:rPr>
            <w:t>Código</w:t>
          </w:r>
        </w:p>
      </w:tc>
      <w:tc>
        <w:tcPr>
          <w:tcW w:w="496" w:type="pct"/>
          <w:noWrap/>
          <w:vAlign w:val="center"/>
          <w:hideMark/>
        </w:tcPr>
        <w:p w14:paraId="4BEE0AA7" w14:textId="7881807B" w:rsidR="00114871" w:rsidRPr="00287C2C" w:rsidRDefault="00114871" w:rsidP="00114871">
          <w:pPr>
            <w:rPr>
              <w:rFonts w:ascii="Arial" w:hAnsi="Arial" w:cs="Arial"/>
              <w:b/>
              <w:bCs/>
              <w:sz w:val="16"/>
              <w:szCs w:val="16"/>
            </w:rPr>
          </w:pPr>
          <w:r w:rsidRPr="00287C2C">
            <w:rPr>
              <w:rFonts w:ascii="Arial" w:hAnsi="Arial" w:cs="Arial"/>
              <w:b/>
              <w:sz w:val="16"/>
              <w:szCs w:val="16"/>
              <w:lang w:eastAsia="en-US"/>
            </w:rPr>
            <w:t>CC-</w:t>
          </w:r>
          <w:r w:rsidR="00CD730D" w:rsidRPr="00287C2C">
            <w:rPr>
              <w:rFonts w:ascii="Arial" w:hAnsi="Arial" w:cs="Arial"/>
              <w:b/>
              <w:sz w:val="16"/>
              <w:szCs w:val="16"/>
              <w:lang w:eastAsia="en-US"/>
            </w:rPr>
            <w:t>DT</w:t>
          </w:r>
          <w:r w:rsidRPr="00287C2C">
            <w:rPr>
              <w:rFonts w:ascii="Arial" w:hAnsi="Arial" w:cs="Arial"/>
              <w:b/>
              <w:sz w:val="16"/>
              <w:szCs w:val="16"/>
              <w:lang w:eastAsia="en-US"/>
            </w:rPr>
            <w:t>-001</w:t>
          </w:r>
        </w:p>
      </w:tc>
      <w:tc>
        <w:tcPr>
          <w:tcW w:w="430" w:type="pct"/>
          <w:noWrap/>
          <w:vAlign w:val="center"/>
          <w:hideMark/>
        </w:tcPr>
        <w:p w14:paraId="061B844F" w14:textId="77777777" w:rsidR="00114871" w:rsidRPr="00287C2C" w:rsidRDefault="00114871" w:rsidP="00114871">
          <w:pPr>
            <w:rPr>
              <w:rFonts w:ascii="Arial" w:hAnsi="Arial" w:cs="Arial"/>
              <w:b/>
              <w:sz w:val="16"/>
              <w:szCs w:val="16"/>
            </w:rPr>
          </w:pPr>
          <w:r w:rsidRPr="00287C2C">
            <w:rPr>
              <w:rFonts w:ascii="Arial" w:hAnsi="Arial" w:cs="Arial"/>
              <w:b/>
              <w:sz w:val="16"/>
              <w:szCs w:val="16"/>
              <w:lang w:eastAsia="en-US"/>
            </w:rPr>
            <w:t>Versión</w:t>
          </w:r>
        </w:p>
      </w:tc>
      <w:tc>
        <w:tcPr>
          <w:tcW w:w="167" w:type="pct"/>
          <w:noWrap/>
          <w:vAlign w:val="center"/>
          <w:hideMark/>
        </w:tcPr>
        <w:p w14:paraId="68AF83CB" w14:textId="77777777" w:rsidR="00114871" w:rsidRPr="00287C2C" w:rsidRDefault="00C72F7F" w:rsidP="00114871">
          <w:pPr>
            <w:rPr>
              <w:rFonts w:ascii="Arial" w:hAnsi="Arial" w:cs="Arial"/>
              <w:b/>
              <w:sz w:val="16"/>
              <w:szCs w:val="16"/>
            </w:rPr>
          </w:pPr>
          <w:r w:rsidRPr="00287C2C">
            <w:rPr>
              <w:rFonts w:ascii="Arial" w:hAnsi="Arial" w:cs="Arial"/>
              <w:b/>
              <w:sz w:val="16"/>
              <w:szCs w:val="16"/>
            </w:rPr>
            <w:t>1</w:t>
          </w:r>
        </w:p>
      </w:tc>
      <w:tc>
        <w:tcPr>
          <w:tcW w:w="449" w:type="pct"/>
          <w:noWrap/>
          <w:vAlign w:val="center"/>
          <w:hideMark/>
        </w:tcPr>
        <w:p w14:paraId="305FEC52" w14:textId="77777777" w:rsidR="00114871" w:rsidRPr="00287C2C" w:rsidRDefault="00114871" w:rsidP="00114871">
          <w:pPr>
            <w:rPr>
              <w:rFonts w:ascii="Arial" w:hAnsi="Arial" w:cs="Arial"/>
              <w:b/>
              <w:sz w:val="16"/>
              <w:szCs w:val="16"/>
            </w:rPr>
          </w:pPr>
          <w:r w:rsidRPr="00287C2C">
            <w:rPr>
              <w:rFonts w:ascii="Arial" w:hAnsi="Arial" w:cs="Arial"/>
              <w:b/>
              <w:sz w:val="16"/>
              <w:szCs w:val="16"/>
              <w:lang w:eastAsia="en-US"/>
            </w:rPr>
            <w:t>Emisión</w:t>
          </w:r>
        </w:p>
      </w:tc>
      <w:tc>
        <w:tcPr>
          <w:tcW w:w="544" w:type="pct"/>
          <w:noWrap/>
          <w:vAlign w:val="center"/>
          <w:hideMark/>
        </w:tcPr>
        <w:p w14:paraId="6AF9DD01" w14:textId="46E0D8A6" w:rsidR="00114871" w:rsidRPr="00287C2C" w:rsidRDefault="00155C96" w:rsidP="00114871">
          <w:pPr>
            <w:rPr>
              <w:rFonts w:ascii="Arial" w:hAnsi="Arial" w:cs="Arial"/>
              <w:b/>
              <w:noProof/>
              <w:sz w:val="16"/>
              <w:szCs w:val="16"/>
              <w:lang w:eastAsia="en-US"/>
            </w:rPr>
          </w:pPr>
          <w:r w:rsidRPr="00287C2C">
            <w:rPr>
              <w:rFonts w:ascii="Arial" w:hAnsi="Arial" w:cs="Arial"/>
              <w:b/>
              <w:noProof/>
              <w:sz w:val="16"/>
              <w:szCs w:val="16"/>
              <w:lang w:eastAsia="en-US"/>
            </w:rPr>
            <w:t>28/09/2021</w:t>
          </w:r>
        </w:p>
      </w:tc>
      <w:tc>
        <w:tcPr>
          <w:tcW w:w="393" w:type="pct"/>
          <w:noWrap/>
          <w:vAlign w:val="center"/>
          <w:hideMark/>
        </w:tcPr>
        <w:p w14:paraId="0EA059B1" w14:textId="77777777" w:rsidR="00114871" w:rsidRPr="00287C2C" w:rsidRDefault="00114871" w:rsidP="00114871">
          <w:pPr>
            <w:rPr>
              <w:rFonts w:ascii="Arial" w:hAnsi="Arial" w:cs="Arial"/>
              <w:b/>
              <w:sz w:val="16"/>
              <w:szCs w:val="16"/>
            </w:rPr>
          </w:pPr>
          <w:r w:rsidRPr="00287C2C">
            <w:rPr>
              <w:rFonts w:ascii="Arial" w:hAnsi="Arial" w:cs="Arial"/>
              <w:b/>
              <w:sz w:val="16"/>
              <w:szCs w:val="16"/>
            </w:rPr>
            <w:t>pagina</w:t>
          </w:r>
        </w:p>
      </w:tc>
      <w:tc>
        <w:tcPr>
          <w:tcW w:w="946" w:type="pct"/>
          <w:noWrap/>
          <w:vAlign w:val="center"/>
          <w:hideMark/>
        </w:tcPr>
        <w:p w14:paraId="389D8530" w14:textId="77777777" w:rsidR="00114871" w:rsidRPr="00287C2C" w:rsidRDefault="00114871" w:rsidP="00114871">
          <w:pPr>
            <w:pStyle w:val="Piedepgina"/>
            <w:rPr>
              <w:rFonts w:ascii="Arial" w:hAnsi="Arial" w:cs="Arial"/>
              <w:b/>
              <w:color w:val="auto"/>
              <w:sz w:val="16"/>
              <w:szCs w:val="16"/>
              <w:lang w:eastAsia="en-US"/>
            </w:rPr>
          </w:pPr>
          <w:r w:rsidRPr="00287C2C">
            <w:rPr>
              <w:rFonts w:ascii="Arial" w:hAnsi="Arial" w:cs="Arial"/>
              <w:b/>
              <w:color w:val="auto"/>
              <w:spacing w:val="-3"/>
              <w:sz w:val="16"/>
              <w:szCs w:val="16"/>
              <w:lang w:val="pt-BR" w:eastAsia="en-US"/>
            </w:rPr>
            <w:t xml:space="preserve"> </w:t>
          </w:r>
          <w:r w:rsidRPr="00287C2C">
            <w:rPr>
              <w:rFonts w:ascii="Arial" w:hAnsi="Arial" w:cs="Arial"/>
              <w:b/>
              <w:color w:val="auto"/>
              <w:spacing w:val="-3"/>
              <w:sz w:val="16"/>
              <w:szCs w:val="16"/>
              <w:lang w:eastAsia="en-US"/>
            </w:rPr>
            <w:fldChar w:fldCharType="begin"/>
          </w:r>
          <w:r w:rsidRPr="00287C2C">
            <w:rPr>
              <w:rFonts w:ascii="Arial" w:hAnsi="Arial" w:cs="Arial"/>
              <w:b/>
              <w:color w:val="auto"/>
              <w:spacing w:val="-3"/>
              <w:sz w:val="16"/>
              <w:szCs w:val="16"/>
              <w:lang w:val="pt-BR" w:eastAsia="en-US"/>
            </w:rPr>
            <w:instrText xml:space="preserve"> PAGE  \* MERGEFORMAT </w:instrText>
          </w:r>
          <w:r w:rsidRPr="00287C2C">
            <w:rPr>
              <w:rFonts w:ascii="Arial" w:hAnsi="Arial" w:cs="Arial"/>
              <w:b/>
              <w:color w:val="auto"/>
              <w:spacing w:val="-3"/>
              <w:sz w:val="16"/>
              <w:szCs w:val="16"/>
              <w:lang w:eastAsia="en-US"/>
            </w:rPr>
            <w:fldChar w:fldCharType="separate"/>
          </w:r>
          <w:r w:rsidRPr="00287C2C">
            <w:rPr>
              <w:rFonts w:ascii="Arial" w:hAnsi="Arial" w:cs="Arial"/>
              <w:b/>
              <w:noProof/>
              <w:color w:val="auto"/>
              <w:spacing w:val="-3"/>
              <w:sz w:val="16"/>
              <w:szCs w:val="16"/>
              <w:lang w:eastAsia="en-US"/>
            </w:rPr>
            <w:t>1</w:t>
          </w:r>
          <w:r w:rsidRPr="00287C2C">
            <w:rPr>
              <w:rFonts w:ascii="Arial" w:hAnsi="Arial" w:cs="Arial"/>
              <w:b/>
              <w:color w:val="auto"/>
              <w:spacing w:val="-3"/>
              <w:sz w:val="16"/>
              <w:szCs w:val="16"/>
              <w:lang w:eastAsia="en-US"/>
            </w:rPr>
            <w:fldChar w:fldCharType="end"/>
          </w:r>
          <w:r w:rsidRPr="00287C2C">
            <w:rPr>
              <w:rFonts w:ascii="Arial" w:hAnsi="Arial" w:cs="Arial"/>
              <w:b/>
              <w:color w:val="auto"/>
              <w:spacing w:val="-3"/>
              <w:sz w:val="16"/>
              <w:szCs w:val="16"/>
              <w:lang w:eastAsia="en-US"/>
            </w:rPr>
            <w:t xml:space="preserve"> de </w:t>
          </w:r>
          <w:r w:rsidRPr="00287C2C">
            <w:rPr>
              <w:rFonts w:ascii="Arial" w:hAnsi="Arial" w:cs="Arial"/>
              <w:b/>
              <w:color w:val="auto"/>
              <w:spacing w:val="-3"/>
              <w:sz w:val="16"/>
              <w:szCs w:val="16"/>
              <w:lang w:eastAsia="en-US"/>
            </w:rPr>
            <w:fldChar w:fldCharType="begin"/>
          </w:r>
          <w:r w:rsidRPr="00287C2C">
            <w:rPr>
              <w:rFonts w:ascii="Arial" w:hAnsi="Arial" w:cs="Arial"/>
              <w:b/>
              <w:color w:val="auto"/>
              <w:spacing w:val="-3"/>
              <w:sz w:val="16"/>
              <w:szCs w:val="16"/>
              <w:lang w:eastAsia="en-US"/>
            </w:rPr>
            <w:instrText xml:space="preserve"> NUMPAGES  \* MERGEFORMAT </w:instrText>
          </w:r>
          <w:r w:rsidRPr="00287C2C">
            <w:rPr>
              <w:rFonts w:ascii="Arial" w:hAnsi="Arial" w:cs="Arial"/>
              <w:b/>
              <w:color w:val="auto"/>
              <w:spacing w:val="-3"/>
              <w:sz w:val="16"/>
              <w:szCs w:val="16"/>
              <w:lang w:eastAsia="en-US"/>
            </w:rPr>
            <w:fldChar w:fldCharType="separate"/>
          </w:r>
          <w:r w:rsidRPr="00287C2C">
            <w:rPr>
              <w:rFonts w:ascii="Arial" w:hAnsi="Arial" w:cs="Arial"/>
              <w:b/>
              <w:noProof/>
              <w:color w:val="auto"/>
              <w:spacing w:val="-3"/>
              <w:sz w:val="16"/>
              <w:szCs w:val="16"/>
              <w:lang w:eastAsia="en-US"/>
            </w:rPr>
            <w:t>13</w:t>
          </w:r>
          <w:r w:rsidRPr="00287C2C">
            <w:rPr>
              <w:rFonts w:ascii="Arial" w:hAnsi="Arial" w:cs="Arial"/>
              <w:b/>
              <w:color w:val="auto"/>
              <w:spacing w:val="-3"/>
              <w:sz w:val="16"/>
              <w:szCs w:val="16"/>
              <w:lang w:eastAsia="en-US"/>
            </w:rPr>
            <w:fldChar w:fldCharType="end"/>
          </w:r>
        </w:p>
      </w:tc>
    </w:tr>
    <w:bookmarkEnd w:id="2"/>
  </w:tbl>
  <w:p w14:paraId="6236A01D" w14:textId="77777777" w:rsidR="00114871" w:rsidRPr="00C47B52" w:rsidRDefault="00114871"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78D43F"/>
    <w:multiLevelType w:val="hybridMultilevel"/>
    <w:tmpl w:val="4F2E6C87"/>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96F1BE"/>
    <w:multiLevelType w:val="hybridMultilevel"/>
    <w:tmpl w:val="BFBF64FD"/>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FD0449"/>
    <w:multiLevelType w:val="multilevel"/>
    <w:tmpl w:val="C6A2E47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bullet"/>
      <w:lvlText w:val=""/>
      <w:lvlJc w:val="left"/>
      <w:pPr>
        <w:ind w:left="680" w:hanging="680"/>
      </w:pPr>
      <w:rPr>
        <w:rFonts w:ascii="Symbol" w:hAnsi="Symbol"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5"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7"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7"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2CA57338"/>
    <w:multiLevelType w:val="hybridMultilevel"/>
    <w:tmpl w:val="05A86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3"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4DC13085"/>
    <w:multiLevelType w:val="hybridMultilevel"/>
    <w:tmpl w:val="31E6B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6F53791"/>
    <w:multiLevelType w:val="multilevel"/>
    <w:tmpl w:val="C6A2E47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bullet"/>
      <w:lvlText w:val=""/>
      <w:lvlJc w:val="left"/>
      <w:pPr>
        <w:ind w:left="680" w:hanging="680"/>
      </w:pPr>
      <w:rPr>
        <w:rFonts w:ascii="Symbol" w:hAnsi="Symbol"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1"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2"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610204"/>
    <w:multiLevelType w:val="multilevel"/>
    <w:tmpl w:val="D6B689CE"/>
    <w:lvl w:ilvl="0">
      <w:start w:val="1"/>
      <w:numFmt w:val="decimal"/>
      <w:suff w:val="space"/>
      <w:lvlText w:val="%1."/>
      <w:lvlJc w:val="left"/>
      <w:pPr>
        <w:ind w:left="284" w:hanging="284"/>
      </w:pPr>
      <w:rPr>
        <w:rFonts w:hint="default"/>
        <w:b/>
        <w:i w:val="0"/>
      </w:rPr>
    </w:lvl>
    <w:lvl w:ilvl="1">
      <w:start w:val="1"/>
      <w:numFmt w:val="decimal"/>
      <w:suff w:val="space"/>
      <w:lvlText w:val="%1.%2."/>
      <w:lvlJc w:val="left"/>
      <w:pPr>
        <w:ind w:left="454" w:hanging="454"/>
      </w:pPr>
      <w:rPr>
        <w:rFonts w:ascii="Arial" w:hAnsi="Arial" w:cs="Arial" w:hint="default"/>
        <w:b/>
        <w:i w:val="0"/>
        <w:sz w:val="24"/>
        <w:szCs w:val="24"/>
      </w:rPr>
    </w:lvl>
    <w:lvl w:ilvl="2">
      <w:start w:val="1"/>
      <w:numFmt w:val="decimal"/>
      <w:lvlText w:val="%1.%2.%3."/>
      <w:lvlJc w:val="left"/>
      <w:pPr>
        <w:ind w:left="680" w:hanging="680"/>
      </w:pPr>
      <w:rPr>
        <w:rFonts w:hint="default"/>
        <w:b/>
        <w:i w:val="0"/>
        <w:color w:val="auto"/>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6"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1849F9"/>
    <w:multiLevelType w:val="hybridMultilevel"/>
    <w:tmpl w:val="47DAD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30"/>
  </w:num>
  <w:num w:numId="3">
    <w:abstractNumId w:val="31"/>
  </w:num>
  <w:num w:numId="4">
    <w:abstractNumId w:val="6"/>
  </w:num>
  <w:num w:numId="5">
    <w:abstractNumId w:val="32"/>
  </w:num>
  <w:num w:numId="6">
    <w:abstractNumId w:val="29"/>
  </w:num>
  <w:num w:numId="7">
    <w:abstractNumId w:val="19"/>
  </w:num>
  <w:num w:numId="8">
    <w:abstractNumId w:val="26"/>
  </w:num>
  <w:num w:numId="9">
    <w:abstractNumId w:val="39"/>
  </w:num>
  <w:num w:numId="10">
    <w:abstractNumId w:val="33"/>
  </w:num>
  <w:num w:numId="11">
    <w:abstractNumId w:val="34"/>
  </w:num>
  <w:num w:numId="12">
    <w:abstractNumId w:val="9"/>
  </w:num>
  <w:num w:numId="13">
    <w:abstractNumId w:val="37"/>
  </w:num>
  <w:num w:numId="14">
    <w:abstractNumId w:val="21"/>
  </w:num>
  <w:num w:numId="15">
    <w:abstractNumId w:val="27"/>
  </w:num>
  <w:num w:numId="16">
    <w:abstractNumId w:val="36"/>
  </w:num>
  <w:num w:numId="17">
    <w:abstractNumId w:val="13"/>
  </w:num>
  <w:num w:numId="18">
    <w:abstractNumId w:val="10"/>
  </w:num>
  <w:num w:numId="19">
    <w:abstractNumId w:val="5"/>
  </w:num>
  <w:num w:numId="20">
    <w:abstractNumId w:val="18"/>
  </w:num>
  <w:num w:numId="21">
    <w:abstractNumId w:val="12"/>
  </w:num>
  <w:num w:numId="22">
    <w:abstractNumId w:val="15"/>
  </w:num>
  <w:num w:numId="23">
    <w:abstractNumId w:val="4"/>
  </w:num>
  <w:num w:numId="24">
    <w:abstractNumId w:val="16"/>
  </w:num>
  <w:num w:numId="25">
    <w:abstractNumId w:val="11"/>
  </w:num>
  <w:num w:numId="26">
    <w:abstractNumId w:val="24"/>
  </w:num>
  <w:num w:numId="27">
    <w:abstractNumId w:val="7"/>
  </w:num>
  <w:num w:numId="28">
    <w:abstractNumId w:val="23"/>
  </w:num>
  <w:num w:numId="29">
    <w:abstractNumId w:val="8"/>
  </w:num>
  <w:num w:numId="30">
    <w:abstractNumId w:val="17"/>
  </w:num>
  <w:num w:numId="31">
    <w:abstractNumId w:val="14"/>
  </w:num>
  <w:num w:numId="32">
    <w:abstractNumId w:val="35"/>
  </w:num>
  <w:num w:numId="33">
    <w:abstractNumId w:val="2"/>
  </w:num>
  <w:num w:numId="34">
    <w:abstractNumId w:val="1"/>
  </w:num>
  <w:num w:numId="35">
    <w:abstractNumId w:val="0"/>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3"/>
  </w:num>
  <w:num w:numId="39">
    <w:abstractNumId w:val="38"/>
  </w:num>
  <w:num w:numId="40">
    <w:abstractNumId w:val="20"/>
  </w:num>
  <w:num w:numId="41">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638"/>
    <w:rsid w:val="00025BCF"/>
    <w:rsid w:val="00025E76"/>
    <w:rsid w:val="000262B1"/>
    <w:rsid w:val="000304DC"/>
    <w:rsid w:val="000307C0"/>
    <w:rsid w:val="00031336"/>
    <w:rsid w:val="00032606"/>
    <w:rsid w:val="00032C07"/>
    <w:rsid w:val="00033046"/>
    <w:rsid w:val="000340A2"/>
    <w:rsid w:val="00034B31"/>
    <w:rsid w:val="00034C42"/>
    <w:rsid w:val="00036719"/>
    <w:rsid w:val="000370E7"/>
    <w:rsid w:val="000411F1"/>
    <w:rsid w:val="00042CF2"/>
    <w:rsid w:val="000433F7"/>
    <w:rsid w:val="00045649"/>
    <w:rsid w:val="000475DF"/>
    <w:rsid w:val="00050DAB"/>
    <w:rsid w:val="00051BB5"/>
    <w:rsid w:val="00052288"/>
    <w:rsid w:val="00054D12"/>
    <w:rsid w:val="00064E3E"/>
    <w:rsid w:val="00064F2F"/>
    <w:rsid w:val="0006577D"/>
    <w:rsid w:val="00066B3B"/>
    <w:rsid w:val="000674C2"/>
    <w:rsid w:val="00067805"/>
    <w:rsid w:val="0007017E"/>
    <w:rsid w:val="00072FDA"/>
    <w:rsid w:val="000732DC"/>
    <w:rsid w:val="000741D5"/>
    <w:rsid w:val="00074C4E"/>
    <w:rsid w:val="000759AC"/>
    <w:rsid w:val="0007795A"/>
    <w:rsid w:val="0008265D"/>
    <w:rsid w:val="00087400"/>
    <w:rsid w:val="000879E7"/>
    <w:rsid w:val="00090739"/>
    <w:rsid w:val="00092435"/>
    <w:rsid w:val="00093A0B"/>
    <w:rsid w:val="000946EA"/>
    <w:rsid w:val="0009556C"/>
    <w:rsid w:val="00095581"/>
    <w:rsid w:val="00095BF7"/>
    <w:rsid w:val="000972AD"/>
    <w:rsid w:val="000974F8"/>
    <w:rsid w:val="00097687"/>
    <w:rsid w:val="00097B60"/>
    <w:rsid w:val="000A04A5"/>
    <w:rsid w:val="000A07F5"/>
    <w:rsid w:val="000A2977"/>
    <w:rsid w:val="000A3727"/>
    <w:rsid w:val="000A527C"/>
    <w:rsid w:val="000A605B"/>
    <w:rsid w:val="000B05A5"/>
    <w:rsid w:val="000B0ECD"/>
    <w:rsid w:val="000B139A"/>
    <w:rsid w:val="000B2FA7"/>
    <w:rsid w:val="000B3387"/>
    <w:rsid w:val="000B36BB"/>
    <w:rsid w:val="000B64E1"/>
    <w:rsid w:val="000B64EA"/>
    <w:rsid w:val="000B69C5"/>
    <w:rsid w:val="000C18CC"/>
    <w:rsid w:val="000C28E4"/>
    <w:rsid w:val="000C2EDC"/>
    <w:rsid w:val="000C3A19"/>
    <w:rsid w:val="000C5AC4"/>
    <w:rsid w:val="000D16F4"/>
    <w:rsid w:val="000D2859"/>
    <w:rsid w:val="000D3826"/>
    <w:rsid w:val="000D6DAA"/>
    <w:rsid w:val="000E0A17"/>
    <w:rsid w:val="000E4C5F"/>
    <w:rsid w:val="000E6389"/>
    <w:rsid w:val="000E775E"/>
    <w:rsid w:val="000F2B2D"/>
    <w:rsid w:val="000F36F0"/>
    <w:rsid w:val="000F47FC"/>
    <w:rsid w:val="000F5D78"/>
    <w:rsid w:val="000F6FD0"/>
    <w:rsid w:val="000F7310"/>
    <w:rsid w:val="00100B36"/>
    <w:rsid w:val="001017C2"/>
    <w:rsid w:val="00102B04"/>
    <w:rsid w:val="00104985"/>
    <w:rsid w:val="001050AF"/>
    <w:rsid w:val="0010519D"/>
    <w:rsid w:val="00106A19"/>
    <w:rsid w:val="00106AEE"/>
    <w:rsid w:val="00107E48"/>
    <w:rsid w:val="00114119"/>
    <w:rsid w:val="00114871"/>
    <w:rsid w:val="0011524E"/>
    <w:rsid w:val="001159D6"/>
    <w:rsid w:val="00115F04"/>
    <w:rsid w:val="001169CB"/>
    <w:rsid w:val="00120AD0"/>
    <w:rsid w:val="00121C5C"/>
    <w:rsid w:val="001221AE"/>
    <w:rsid w:val="001258B4"/>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55C96"/>
    <w:rsid w:val="00156368"/>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3D55"/>
    <w:rsid w:val="0018566A"/>
    <w:rsid w:val="00185EFE"/>
    <w:rsid w:val="00186341"/>
    <w:rsid w:val="00186610"/>
    <w:rsid w:val="00186848"/>
    <w:rsid w:val="0018695C"/>
    <w:rsid w:val="00186A93"/>
    <w:rsid w:val="00186F5D"/>
    <w:rsid w:val="001878CC"/>
    <w:rsid w:val="0019030F"/>
    <w:rsid w:val="001905FC"/>
    <w:rsid w:val="00190D26"/>
    <w:rsid w:val="0019500F"/>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B558C"/>
    <w:rsid w:val="001B599D"/>
    <w:rsid w:val="001C0D7B"/>
    <w:rsid w:val="001C0F82"/>
    <w:rsid w:val="001C2727"/>
    <w:rsid w:val="001C2F07"/>
    <w:rsid w:val="001C3713"/>
    <w:rsid w:val="001C4844"/>
    <w:rsid w:val="001C4A29"/>
    <w:rsid w:val="001C5509"/>
    <w:rsid w:val="001C5DD4"/>
    <w:rsid w:val="001C6393"/>
    <w:rsid w:val="001C65BF"/>
    <w:rsid w:val="001C6FB9"/>
    <w:rsid w:val="001C737C"/>
    <w:rsid w:val="001C781D"/>
    <w:rsid w:val="001D0B90"/>
    <w:rsid w:val="001D25BB"/>
    <w:rsid w:val="001D29E6"/>
    <w:rsid w:val="001D2B92"/>
    <w:rsid w:val="001D51DD"/>
    <w:rsid w:val="001D6035"/>
    <w:rsid w:val="001D6907"/>
    <w:rsid w:val="001D73EE"/>
    <w:rsid w:val="001E1697"/>
    <w:rsid w:val="001E2963"/>
    <w:rsid w:val="001E3582"/>
    <w:rsid w:val="001E6341"/>
    <w:rsid w:val="001F0B26"/>
    <w:rsid w:val="001F2981"/>
    <w:rsid w:val="001F35BB"/>
    <w:rsid w:val="001F37DA"/>
    <w:rsid w:val="001F50D8"/>
    <w:rsid w:val="001F57A6"/>
    <w:rsid w:val="001F5F27"/>
    <w:rsid w:val="001F754D"/>
    <w:rsid w:val="001F7EEE"/>
    <w:rsid w:val="001F7F6E"/>
    <w:rsid w:val="00200B5C"/>
    <w:rsid w:val="00204A8F"/>
    <w:rsid w:val="002065D4"/>
    <w:rsid w:val="00206C85"/>
    <w:rsid w:val="00206FED"/>
    <w:rsid w:val="0021112B"/>
    <w:rsid w:val="00214808"/>
    <w:rsid w:val="0021607D"/>
    <w:rsid w:val="002169B9"/>
    <w:rsid w:val="00216F85"/>
    <w:rsid w:val="002179BC"/>
    <w:rsid w:val="00217DCF"/>
    <w:rsid w:val="00222D31"/>
    <w:rsid w:val="0022309A"/>
    <w:rsid w:val="00224EED"/>
    <w:rsid w:val="002252A6"/>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38C"/>
    <w:rsid w:val="00246751"/>
    <w:rsid w:val="002469F9"/>
    <w:rsid w:val="00246D3E"/>
    <w:rsid w:val="0024771B"/>
    <w:rsid w:val="00247A01"/>
    <w:rsid w:val="002508C5"/>
    <w:rsid w:val="00250D21"/>
    <w:rsid w:val="00253104"/>
    <w:rsid w:val="0025642B"/>
    <w:rsid w:val="0025738E"/>
    <w:rsid w:val="0025774C"/>
    <w:rsid w:val="00260C18"/>
    <w:rsid w:val="002618BB"/>
    <w:rsid w:val="00263902"/>
    <w:rsid w:val="00264E5C"/>
    <w:rsid w:val="002652ED"/>
    <w:rsid w:val="00270858"/>
    <w:rsid w:val="00270D36"/>
    <w:rsid w:val="002710A8"/>
    <w:rsid w:val="00272D00"/>
    <w:rsid w:val="00273444"/>
    <w:rsid w:val="00275268"/>
    <w:rsid w:val="00276161"/>
    <w:rsid w:val="00280769"/>
    <w:rsid w:val="002809AC"/>
    <w:rsid w:val="00282338"/>
    <w:rsid w:val="00282BF2"/>
    <w:rsid w:val="00283997"/>
    <w:rsid w:val="00283C8A"/>
    <w:rsid w:val="00284C89"/>
    <w:rsid w:val="0028728F"/>
    <w:rsid w:val="00287870"/>
    <w:rsid w:val="00287C2C"/>
    <w:rsid w:val="002923BF"/>
    <w:rsid w:val="00292D2A"/>
    <w:rsid w:val="002931D4"/>
    <w:rsid w:val="00293631"/>
    <w:rsid w:val="00293EAC"/>
    <w:rsid w:val="002950B8"/>
    <w:rsid w:val="00295BEE"/>
    <w:rsid w:val="002964DD"/>
    <w:rsid w:val="002967DC"/>
    <w:rsid w:val="00297C1C"/>
    <w:rsid w:val="002A1098"/>
    <w:rsid w:val="002A11C6"/>
    <w:rsid w:val="002A39CF"/>
    <w:rsid w:val="002A3A5F"/>
    <w:rsid w:val="002A3F07"/>
    <w:rsid w:val="002A531C"/>
    <w:rsid w:val="002A54E7"/>
    <w:rsid w:val="002A66C6"/>
    <w:rsid w:val="002B0110"/>
    <w:rsid w:val="002B0503"/>
    <w:rsid w:val="002B4FED"/>
    <w:rsid w:val="002B6005"/>
    <w:rsid w:val="002C0C2F"/>
    <w:rsid w:val="002C3926"/>
    <w:rsid w:val="002C5DD3"/>
    <w:rsid w:val="002D0242"/>
    <w:rsid w:val="002D0A96"/>
    <w:rsid w:val="002D0E0A"/>
    <w:rsid w:val="002D4D45"/>
    <w:rsid w:val="002D6261"/>
    <w:rsid w:val="002D6ADD"/>
    <w:rsid w:val="002D79A6"/>
    <w:rsid w:val="002E0ABF"/>
    <w:rsid w:val="002E2A5E"/>
    <w:rsid w:val="002E5483"/>
    <w:rsid w:val="002E55CE"/>
    <w:rsid w:val="002E5BF9"/>
    <w:rsid w:val="002F10B5"/>
    <w:rsid w:val="002F1E40"/>
    <w:rsid w:val="002F2765"/>
    <w:rsid w:val="002F3DC4"/>
    <w:rsid w:val="002F79DB"/>
    <w:rsid w:val="003007E5"/>
    <w:rsid w:val="00301253"/>
    <w:rsid w:val="00302D58"/>
    <w:rsid w:val="0030413B"/>
    <w:rsid w:val="003071AA"/>
    <w:rsid w:val="003071CF"/>
    <w:rsid w:val="00307AA0"/>
    <w:rsid w:val="00307E2E"/>
    <w:rsid w:val="00311090"/>
    <w:rsid w:val="00311B5C"/>
    <w:rsid w:val="00313D3C"/>
    <w:rsid w:val="0031413D"/>
    <w:rsid w:val="003152CF"/>
    <w:rsid w:val="00315AF7"/>
    <w:rsid w:val="00315E49"/>
    <w:rsid w:val="0031686E"/>
    <w:rsid w:val="00317054"/>
    <w:rsid w:val="003207C6"/>
    <w:rsid w:val="00320DC9"/>
    <w:rsid w:val="00320FDF"/>
    <w:rsid w:val="0032352A"/>
    <w:rsid w:val="00323EF7"/>
    <w:rsid w:val="003273BE"/>
    <w:rsid w:val="003305C1"/>
    <w:rsid w:val="00330E47"/>
    <w:rsid w:val="003315BA"/>
    <w:rsid w:val="00333333"/>
    <w:rsid w:val="0033354B"/>
    <w:rsid w:val="00334C82"/>
    <w:rsid w:val="00334CC8"/>
    <w:rsid w:val="003354DC"/>
    <w:rsid w:val="003361A3"/>
    <w:rsid w:val="00341987"/>
    <w:rsid w:val="0034200A"/>
    <w:rsid w:val="00344286"/>
    <w:rsid w:val="00344E8D"/>
    <w:rsid w:val="00345AF4"/>
    <w:rsid w:val="00346517"/>
    <w:rsid w:val="003468D5"/>
    <w:rsid w:val="00346C0C"/>
    <w:rsid w:val="00346C29"/>
    <w:rsid w:val="00347901"/>
    <w:rsid w:val="00347F08"/>
    <w:rsid w:val="003503CD"/>
    <w:rsid w:val="00351AB1"/>
    <w:rsid w:val="00351AE4"/>
    <w:rsid w:val="0035240D"/>
    <w:rsid w:val="00352CD6"/>
    <w:rsid w:val="00354A71"/>
    <w:rsid w:val="00354FEB"/>
    <w:rsid w:val="003557DF"/>
    <w:rsid w:val="00355EBF"/>
    <w:rsid w:val="00356FDF"/>
    <w:rsid w:val="0036345E"/>
    <w:rsid w:val="00363A13"/>
    <w:rsid w:val="003641C6"/>
    <w:rsid w:val="00364289"/>
    <w:rsid w:val="00366D1D"/>
    <w:rsid w:val="003722E3"/>
    <w:rsid w:val="0037243B"/>
    <w:rsid w:val="00372546"/>
    <w:rsid w:val="00375BB0"/>
    <w:rsid w:val="00382628"/>
    <w:rsid w:val="0038358A"/>
    <w:rsid w:val="0038621A"/>
    <w:rsid w:val="00390C76"/>
    <w:rsid w:val="003913FC"/>
    <w:rsid w:val="0039238A"/>
    <w:rsid w:val="00394A44"/>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2F28"/>
    <w:rsid w:val="003C395D"/>
    <w:rsid w:val="003C3E5D"/>
    <w:rsid w:val="003C56BE"/>
    <w:rsid w:val="003C5CA8"/>
    <w:rsid w:val="003C60DC"/>
    <w:rsid w:val="003C6212"/>
    <w:rsid w:val="003D0C68"/>
    <w:rsid w:val="003D1707"/>
    <w:rsid w:val="003D25F1"/>
    <w:rsid w:val="003D340D"/>
    <w:rsid w:val="003D431F"/>
    <w:rsid w:val="003D78A3"/>
    <w:rsid w:val="003E14D6"/>
    <w:rsid w:val="003E2C3F"/>
    <w:rsid w:val="003E51A0"/>
    <w:rsid w:val="003E51CF"/>
    <w:rsid w:val="003E64EB"/>
    <w:rsid w:val="003E7B5C"/>
    <w:rsid w:val="003E7DA7"/>
    <w:rsid w:val="003F01B3"/>
    <w:rsid w:val="003F1FF3"/>
    <w:rsid w:val="003F2E84"/>
    <w:rsid w:val="003F77F8"/>
    <w:rsid w:val="00401748"/>
    <w:rsid w:val="00403371"/>
    <w:rsid w:val="00403672"/>
    <w:rsid w:val="004049FD"/>
    <w:rsid w:val="004051DE"/>
    <w:rsid w:val="0040525B"/>
    <w:rsid w:val="00405702"/>
    <w:rsid w:val="004065A5"/>
    <w:rsid w:val="00410738"/>
    <w:rsid w:val="00411656"/>
    <w:rsid w:val="00411A8C"/>
    <w:rsid w:val="00411B37"/>
    <w:rsid w:val="00411FB3"/>
    <w:rsid w:val="004143BE"/>
    <w:rsid w:val="004164A7"/>
    <w:rsid w:val="0041724F"/>
    <w:rsid w:val="00420403"/>
    <w:rsid w:val="0042147F"/>
    <w:rsid w:val="00422D21"/>
    <w:rsid w:val="004235BA"/>
    <w:rsid w:val="00423AA3"/>
    <w:rsid w:val="00426131"/>
    <w:rsid w:val="00426C59"/>
    <w:rsid w:val="00427998"/>
    <w:rsid w:val="00430F5B"/>
    <w:rsid w:val="00433C3B"/>
    <w:rsid w:val="004354C9"/>
    <w:rsid w:val="004356B5"/>
    <w:rsid w:val="00436A80"/>
    <w:rsid w:val="00437B02"/>
    <w:rsid w:val="00437B66"/>
    <w:rsid w:val="004403E8"/>
    <w:rsid w:val="00440774"/>
    <w:rsid w:val="00440DF8"/>
    <w:rsid w:val="0044322F"/>
    <w:rsid w:val="00444464"/>
    <w:rsid w:val="00444885"/>
    <w:rsid w:val="00444DF2"/>
    <w:rsid w:val="00447BF8"/>
    <w:rsid w:val="00452610"/>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45C"/>
    <w:rsid w:val="00473B12"/>
    <w:rsid w:val="00474482"/>
    <w:rsid w:val="004758A0"/>
    <w:rsid w:val="00475CE3"/>
    <w:rsid w:val="00475DDE"/>
    <w:rsid w:val="00476117"/>
    <w:rsid w:val="00476A59"/>
    <w:rsid w:val="00476EED"/>
    <w:rsid w:val="004810C7"/>
    <w:rsid w:val="00481D85"/>
    <w:rsid w:val="00483DBB"/>
    <w:rsid w:val="00484E24"/>
    <w:rsid w:val="004852E5"/>
    <w:rsid w:val="00486D75"/>
    <w:rsid w:val="00491118"/>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5BA0"/>
    <w:rsid w:val="004A6021"/>
    <w:rsid w:val="004A71A4"/>
    <w:rsid w:val="004B158A"/>
    <w:rsid w:val="004B3266"/>
    <w:rsid w:val="004B3BF8"/>
    <w:rsid w:val="004B51AE"/>
    <w:rsid w:val="004B7FD4"/>
    <w:rsid w:val="004C0F5F"/>
    <w:rsid w:val="004C20AE"/>
    <w:rsid w:val="004C2E7D"/>
    <w:rsid w:val="004C680F"/>
    <w:rsid w:val="004C75A9"/>
    <w:rsid w:val="004C7733"/>
    <w:rsid w:val="004C7C03"/>
    <w:rsid w:val="004D06A0"/>
    <w:rsid w:val="004D1665"/>
    <w:rsid w:val="004D402E"/>
    <w:rsid w:val="004D49E0"/>
    <w:rsid w:val="004D5C2D"/>
    <w:rsid w:val="004D76A9"/>
    <w:rsid w:val="004D7756"/>
    <w:rsid w:val="004E0805"/>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3C34"/>
    <w:rsid w:val="00535088"/>
    <w:rsid w:val="00535729"/>
    <w:rsid w:val="00537465"/>
    <w:rsid w:val="00540310"/>
    <w:rsid w:val="005414B8"/>
    <w:rsid w:val="00542FFF"/>
    <w:rsid w:val="00543365"/>
    <w:rsid w:val="00544A6B"/>
    <w:rsid w:val="005460AE"/>
    <w:rsid w:val="00550A46"/>
    <w:rsid w:val="00551779"/>
    <w:rsid w:val="00551CCC"/>
    <w:rsid w:val="0055442D"/>
    <w:rsid w:val="00554790"/>
    <w:rsid w:val="00555E24"/>
    <w:rsid w:val="00556125"/>
    <w:rsid w:val="00556671"/>
    <w:rsid w:val="00557DC5"/>
    <w:rsid w:val="00560E90"/>
    <w:rsid w:val="0056231C"/>
    <w:rsid w:val="005629DC"/>
    <w:rsid w:val="005631CB"/>
    <w:rsid w:val="00567294"/>
    <w:rsid w:val="00567B54"/>
    <w:rsid w:val="005707F7"/>
    <w:rsid w:val="005710B4"/>
    <w:rsid w:val="005722D0"/>
    <w:rsid w:val="0057284D"/>
    <w:rsid w:val="00573E5D"/>
    <w:rsid w:val="0057551E"/>
    <w:rsid w:val="005756BF"/>
    <w:rsid w:val="005776E0"/>
    <w:rsid w:val="005815C5"/>
    <w:rsid w:val="00581A0D"/>
    <w:rsid w:val="005820B0"/>
    <w:rsid w:val="005841AC"/>
    <w:rsid w:val="005855E8"/>
    <w:rsid w:val="00585FC8"/>
    <w:rsid w:val="005861D6"/>
    <w:rsid w:val="00586B10"/>
    <w:rsid w:val="00587557"/>
    <w:rsid w:val="005917D7"/>
    <w:rsid w:val="00591F99"/>
    <w:rsid w:val="005935F6"/>
    <w:rsid w:val="00593909"/>
    <w:rsid w:val="00595BCD"/>
    <w:rsid w:val="005A3B01"/>
    <w:rsid w:val="005A4AAC"/>
    <w:rsid w:val="005A4D35"/>
    <w:rsid w:val="005A58D7"/>
    <w:rsid w:val="005A727D"/>
    <w:rsid w:val="005A7C30"/>
    <w:rsid w:val="005B02CB"/>
    <w:rsid w:val="005B0E12"/>
    <w:rsid w:val="005B0F62"/>
    <w:rsid w:val="005B18F7"/>
    <w:rsid w:val="005B2598"/>
    <w:rsid w:val="005B305D"/>
    <w:rsid w:val="005B6960"/>
    <w:rsid w:val="005B7C07"/>
    <w:rsid w:val="005B7C60"/>
    <w:rsid w:val="005C153C"/>
    <w:rsid w:val="005C211C"/>
    <w:rsid w:val="005C3175"/>
    <w:rsid w:val="005C3EE3"/>
    <w:rsid w:val="005C4375"/>
    <w:rsid w:val="005C4AE2"/>
    <w:rsid w:val="005C4B8A"/>
    <w:rsid w:val="005C515A"/>
    <w:rsid w:val="005C5335"/>
    <w:rsid w:val="005C61FC"/>
    <w:rsid w:val="005D0530"/>
    <w:rsid w:val="005D1DCD"/>
    <w:rsid w:val="005D1E09"/>
    <w:rsid w:val="005D2C0B"/>
    <w:rsid w:val="005D2E04"/>
    <w:rsid w:val="005D6176"/>
    <w:rsid w:val="005D6321"/>
    <w:rsid w:val="005D6FF2"/>
    <w:rsid w:val="005E0E2A"/>
    <w:rsid w:val="005E2A6F"/>
    <w:rsid w:val="005E354F"/>
    <w:rsid w:val="005E3C11"/>
    <w:rsid w:val="005E4026"/>
    <w:rsid w:val="005E416E"/>
    <w:rsid w:val="005E442E"/>
    <w:rsid w:val="005E4CA7"/>
    <w:rsid w:val="005E4CEF"/>
    <w:rsid w:val="005E4E2D"/>
    <w:rsid w:val="005E5B39"/>
    <w:rsid w:val="005E6624"/>
    <w:rsid w:val="005F0CD3"/>
    <w:rsid w:val="005F133B"/>
    <w:rsid w:val="005F2723"/>
    <w:rsid w:val="005F3BE2"/>
    <w:rsid w:val="005F3C95"/>
    <w:rsid w:val="005F4C56"/>
    <w:rsid w:val="005F4CCB"/>
    <w:rsid w:val="005F61E3"/>
    <w:rsid w:val="005F75AB"/>
    <w:rsid w:val="006004E5"/>
    <w:rsid w:val="00600507"/>
    <w:rsid w:val="006014AE"/>
    <w:rsid w:val="0060309A"/>
    <w:rsid w:val="0060428E"/>
    <w:rsid w:val="006045A2"/>
    <w:rsid w:val="00606F6E"/>
    <w:rsid w:val="0061075E"/>
    <w:rsid w:val="00615395"/>
    <w:rsid w:val="00615AB3"/>
    <w:rsid w:val="00617E9F"/>
    <w:rsid w:val="00620328"/>
    <w:rsid w:val="00621132"/>
    <w:rsid w:val="00622908"/>
    <w:rsid w:val="00622BA2"/>
    <w:rsid w:val="00622BC1"/>
    <w:rsid w:val="00623575"/>
    <w:rsid w:val="00623A6C"/>
    <w:rsid w:val="00624D12"/>
    <w:rsid w:val="00626342"/>
    <w:rsid w:val="00626576"/>
    <w:rsid w:val="006269ED"/>
    <w:rsid w:val="00631409"/>
    <w:rsid w:val="00632397"/>
    <w:rsid w:val="00632BFD"/>
    <w:rsid w:val="00633DF7"/>
    <w:rsid w:val="00644744"/>
    <w:rsid w:val="0064520C"/>
    <w:rsid w:val="00647300"/>
    <w:rsid w:val="00647ACF"/>
    <w:rsid w:val="00647FF2"/>
    <w:rsid w:val="006501D9"/>
    <w:rsid w:val="006503C5"/>
    <w:rsid w:val="0065293D"/>
    <w:rsid w:val="00652966"/>
    <w:rsid w:val="006536F7"/>
    <w:rsid w:val="00653A5B"/>
    <w:rsid w:val="00653D35"/>
    <w:rsid w:val="00653E7C"/>
    <w:rsid w:val="0065432C"/>
    <w:rsid w:val="00655C5D"/>
    <w:rsid w:val="006575B2"/>
    <w:rsid w:val="00661484"/>
    <w:rsid w:val="0066232E"/>
    <w:rsid w:val="006641C7"/>
    <w:rsid w:val="006643EE"/>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5AAB"/>
    <w:rsid w:val="00686129"/>
    <w:rsid w:val="006914B7"/>
    <w:rsid w:val="00693622"/>
    <w:rsid w:val="006937EF"/>
    <w:rsid w:val="0069452D"/>
    <w:rsid w:val="00694834"/>
    <w:rsid w:val="00694AE5"/>
    <w:rsid w:val="006950F8"/>
    <w:rsid w:val="00695240"/>
    <w:rsid w:val="0069598E"/>
    <w:rsid w:val="00695C23"/>
    <w:rsid w:val="00696A7E"/>
    <w:rsid w:val="00696DB1"/>
    <w:rsid w:val="006A0C47"/>
    <w:rsid w:val="006A12A6"/>
    <w:rsid w:val="006A1D62"/>
    <w:rsid w:val="006A4471"/>
    <w:rsid w:val="006A44D0"/>
    <w:rsid w:val="006A4ED4"/>
    <w:rsid w:val="006A6385"/>
    <w:rsid w:val="006A75EF"/>
    <w:rsid w:val="006B09F5"/>
    <w:rsid w:val="006B144D"/>
    <w:rsid w:val="006B35D5"/>
    <w:rsid w:val="006B3B47"/>
    <w:rsid w:val="006B3D1E"/>
    <w:rsid w:val="006B569A"/>
    <w:rsid w:val="006B60DF"/>
    <w:rsid w:val="006B6881"/>
    <w:rsid w:val="006B767F"/>
    <w:rsid w:val="006C0042"/>
    <w:rsid w:val="006C0B00"/>
    <w:rsid w:val="006C10B4"/>
    <w:rsid w:val="006C1615"/>
    <w:rsid w:val="006C367D"/>
    <w:rsid w:val="006C40D9"/>
    <w:rsid w:val="006C54F2"/>
    <w:rsid w:val="006C65A5"/>
    <w:rsid w:val="006C6E0E"/>
    <w:rsid w:val="006D0BC8"/>
    <w:rsid w:val="006D189A"/>
    <w:rsid w:val="006D2234"/>
    <w:rsid w:val="006D270D"/>
    <w:rsid w:val="006D4BC2"/>
    <w:rsid w:val="006D5EC8"/>
    <w:rsid w:val="006D6F41"/>
    <w:rsid w:val="006D7171"/>
    <w:rsid w:val="006D74D9"/>
    <w:rsid w:val="006E2296"/>
    <w:rsid w:val="006E4075"/>
    <w:rsid w:val="006E5E80"/>
    <w:rsid w:val="006E756F"/>
    <w:rsid w:val="006E7671"/>
    <w:rsid w:val="006E7960"/>
    <w:rsid w:val="006E7B48"/>
    <w:rsid w:val="006F0685"/>
    <w:rsid w:val="006F0E3E"/>
    <w:rsid w:val="006F1FC8"/>
    <w:rsid w:val="006F2E7D"/>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562C2"/>
    <w:rsid w:val="00756E86"/>
    <w:rsid w:val="0076390A"/>
    <w:rsid w:val="0076414D"/>
    <w:rsid w:val="00765F9A"/>
    <w:rsid w:val="0076622B"/>
    <w:rsid w:val="00766390"/>
    <w:rsid w:val="00766C1A"/>
    <w:rsid w:val="00767C8D"/>
    <w:rsid w:val="007701C6"/>
    <w:rsid w:val="00770D1B"/>
    <w:rsid w:val="00772C99"/>
    <w:rsid w:val="00774027"/>
    <w:rsid w:val="0077450E"/>
    <w:rsid w:val="0077515A"/>
    <w:rsid w:val="00780B1B"/>
    <w:rsid w:val="00780F06"/>
    <w:rsid w:val="00781825"/>
    <w:rsid w:val="00782139"/>
    <w:rsid w:val="00783427"/>
    <w:rsid w:val="007835EE"/>
    <w:rsid w:val="007839E7"/>
    <w:rsid w:val="00784240"/>
    <w:rsid w:val="007853AF"/>
    <w:rsid w:val="00785B1D"/>
    <w:rsid w:val="0078628C"/>
    <w:rsid w:val="00786701"/>
    <w:rsid w:val="007912A1"/>
    <w:rsid w:val="00792120"/>
    <w:rsid w:val="00792942"/>
    <w:rsid w:val="00792A10"/>
    <w:rsid w:val="00796281"/>
    <w:rsid w:val="00796CE1"/>
    <w:rsid w:val="00796F08"/>
    <w:rsid w:val="007A1730"/>
    <w:rsid w:val="007A261C"/>
    <w:rsid w:val="007A2FD4"/>
    <w:rsid w:val="007A44AE"/>
    <w:rsid w:val="007A6196"/>
    <w:rsid w:val="007A63A5"/>
    <w:rsid w:val="007B2138"/>
    <w:rsid w:val="007B2390"/>
    <w:rsid w:val="007B4D9E"/>
    <w:rsid w:val="007B5298"/>
    <w:rsid w:val="007B7D8A"/>
    <w:rsid w:val="007C125B"/>
    <w:rsid w:val="007C1687"/>
    <w:rsid w:val="007C2314"/>
    <w:rsid w:val="007C2AA3"/>
    <w:rsid w:val="007C4430"/>
    <w:rsid w:val="007C454E"/>
    <w:rsid w:val="007C48F1"/>
    <w:rsid w:val="007C5BDB"/>
    <w:rsid w:val="007D06FE"/>
    <w:rsid w:val="007D2ED2"/>
    <w:rsid w:val="007D3219"/>
    <w:rsid w:val="007D35EF"/>
    <w:rsid w:val="007D4450"/>
    <w:rsid w:val="007D590B"/>
    <w:rsid w:val="007D67D4"/>
    <w:rsid w:val="007E0CF3"/>
    <w:rsid w:val="007E21E3"/>
    <w:rsid w:val="007E2FF9"/>
    <w:rsid w:val="007E38C9"/>
    <w:rsid w:val="007E58C6"/>
    <w:rsid w:val="007F035E"/>
    <w:rsid w:val="007F313A"/>
    <w:rsid w:val="007F5146"/>
    <w:rsid w:val="007F5FDB"/>
    <w:rsid w:val="007F7155"/>
    <w:rsid w:val="00803255"/>
    <w:rsid w:val="00803B45"/>
    <w:rsid w:val="008047A7"/>
    <w:rsid w:val="0080519C"/>
    <w:rsid w:val="0080709C"/>
    <w:rsid w:val="00807C12"/>
    <w:rsid w:val="008145DE"/>
    <w:rsid w:val="00815259"/>
    <w:rsid w:val="00816560"/>
    <w:rsid w:val="008177AA"/>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1EC"/>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3F04"/>
    <w:rsid w:val="00864843"/>
    <w:rsid w:val="00865658"/>
    <w:rsid w:val="00865B0C"/>
    <w:rsid w:val="00866BA4"/>
    <w:rsid w:val="00867EBC"/>
    <w:rsid w:val="0087129D"/>
    <w:rsid w:val="008713B8"/>
    <w:rsid w:val="0087199D"/>
    <w:rsid w:val="008727AB"/>
    <w:rsid w:val="00873ABB"/>
    <w:rsid w:val="00874247"/>
    <w:rsid w:val="00874DDE"/>
    <w:rsid w:val="00874E68"/>
    <w:rsid w:val="00875325"/>
    <w:rsid w:val="00877160"/>
    <w:rsid w:val="00880617"/>
    <w:rsid w:val="0088064F"/>
    <w:rsid w:val="008806C2"/>
    <w:rsid w:val="0088265C"/>
    <w:rsid w:val="0088535C"/>
    <w:rsid w:val="00887334"/>
    <w:rsid w:val="00891042"/>
    <w:rsid w:val="00892193"/>
    <w:rsid w:val="00893BD5"/>
    <w:rsid w:val="00894052"/>
    <w:rsid w:val="008954D6"/>
    <w:rsid w:val="00895945"/>
    <w:rsid w:val="008A0A87"/>
    <w:rsid w:val="008A4133"/>
    <w:rsid w:val="008A5D23"/>
    <w:rsid w:val="008B21C7"/>
    <w:rsid w:val="008B2D28"/>
    <w:rsid w:val="008B3563"/>
    <w:rsid w:val="008B3922"/>
    <w:rsid w:val="008B3D5F"/>
    <w:rsid w:val="008B3EE2"/>
    <w:rsid w:val="008B68C4"/>
    <w:rsid w:val="008B7A2A"/>
    <w:rsid w:val="008C0421"/>
    <w:rsid w:val="008C0534"/>
    <w:rsid w:val="008C16E5"/>
    <w:rsid w:val="008C1E7D"/>
    <w:rsid w:val="008C2DE4"/>
    <w:rsid w:val="008C352A"/>
    <w:rsid w:val="008C3A23"/>
    <w:rsid w:val="008C4AAF"/>
    <w:rsid w:val="008C589E"/>
    <w:rsid w:val="008C5F25"/>
    <w:rsid w:val="008D09C2"/>
    <w:rsid w:val="008D44E6"/>
    <w:rsid w:val="008D5286"/>
    <w:rsid w:val="008E0509"/>
    <w:rsid w:val="008E3597"/>
    <w:rsid w:val="008E3E5A"/>
    <w:rsid w:val="008E4F1E"/>
    <w:rsid w:val="008E574D"/>
    <w:rsid w:val="008F0B2D"/>
    <w:rsid w:val="008F0B9E"/>
    <w:rsid w:val="008F13C0"/>
    <w:rsid w:val="008F1C08"/>
    <w:rsid w:val="008F1D70"/>
    <w:rsid w:val="008F1ECB"/>
    <w:rsid w:val="008F27A2"/>
    <w:rsid w:val="008F3D5D"/>
    <w:rsid w:val="008F687A"/>
    <w:rsid w:val="008F7470"/>
    <w:rsid w:val="00900771"/>
    <w:rsid w:val="0090110B"/>
    <w:rsid w:val="00901C60"/>
    <w:rsid w:val="00901D5C"/>
    <w:rsid w:val="009023A4"/>
    <w:rsid w:val="009044E6"/>
    <w:rsid w:val="009046B3"/>
    <w:rsid w:val="009049B6"/>
    <w:rsid w:val="00904F10"/>
    <w:rsid w:val="00905492"/>
    <w:rsid w:val="00907B01"/>
    <w:rsid w:val="00907C1F"/>
    <w:rsid w:val="00911134"/>
    <w:rsid w:val="00911B5E"/>
    <w:rsid w:val="00912F9A"/>
    <w:rsid w:val="009139A2"/>
    <w:rsid w:val="00914566"/>
    <w:rsid w:val="00914F36"/>
    <w:rsid w:val="00915780"/>
    <w:rsid w:val="00920635"/>
    <w:rsid w:val="00921AC3"/>
    <w:rsid w:val="00922182"/>
    <w:rsid w:val="00922459"/>
    <w:rsid w:val="00922E17"/>
    <w:rsid w:val="0092336A"/>
    <w:rsid w:val="009238FE"/>
    <w:rsid w:val="00924CA6"/>
    <w:rsid w:val="00925476"/>
    <w:rsid w:val="00936555"/>
    <w:rsid w:val="00936D5E"/>
    <w:rsid w:val="00937B99"/>
    <w:rsid w:val="009402EF"/>
    <w:rsid w:val="009404B1"/>
    <w:rsid w:val="009424BB"/>
    <w:rsid w:val="009430A8"/>
    <w:rsid w:val="00944EFA"/>
    <w:rsid w:val="00945D60"/>
    <w:rsid w:val="0094640A"/>
    <w:rsid w:val="00950E52"/>
    <w:rsid w:val="0095127D"/>
    <w:rsid w:val="00952736"/>
    <w:rsid w:val="00953B54"/>
    <w:rsid w:val="009543C6"/>
    <w:rsid w:val="00954541"/>
    <w:rsid w:val="00954E28"/>
    <w:rsid w:val="009564BF"/>
    <w:rsid w:val="00961220"/>
    <w:rsid w:val="00961575"/>
    <w:rsid w:val="00962C40"/>
    <w:rsid w:val="00962E91"/>
    <w:rsid w:val="00963204"/>
    <w:rsid w:val="0096333A"/>
    <w:rsid w:val="00965EA4"/>
    <w:rsid w:val="00967ED6"/>
    <w:rsid w:val="00970252"/>
    <w:rsid w:val="00970339"/>
    <w:rsid w:val="009708CB"/>
    <w:rsid w:val="00971280"/>
    <w:rsid w:val="00971DC8"/>
    <w:rsid w:val="00974B83"/>
    <w:rsid w:val="00975125"/>
    <w:rsid w:val="0097566D"/>
    <w:rsid w:val="00977363"/>
    <w:rsid w:val="00977D52"/>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30CF"/>
    <w:rsid w:val="009B45DB"/>
    <w:rsid w:val="009B5F40"/>
    <w:rsid w:val="009B7A08"/>
    <w:rsid w:val="009C2FE4"/>
    <w:rsid w:val="009C3028"/>
    <w:rsid w:val="009C322D"/>
    <w:rsid w:val="009C3701"/>
    <w:rsid w:val="009C7BFD"/>
    <w:rsid w:val="009D05FE"/>
    <w:rsid w:val="009D08A1"/>
    <w:rsid w:val="009D2813"/>
    <w:rsid w:val="009D28B4"/>
    <w:rsid w:val="009D2BF6"/>
    <w:rsid w:val="009D4018"/>
    <w:rsid w:val="009D5073"/>
    <w:rsid w:val="009D6AA4"/>
    <w:rsid w:val="009E09F1"/>
    <w:rsid w:val="009E21A3"/>
    <w:rsid w:val="009E2BEC"/>
    <w:rsid w:val="009E3F12"/>
    <w:rsid w:val="009E426D"/>
    <w:rsid w:val="009E46EB"/>
    <w:rsid w:val="009E5073"/>
    <w:rsid w:val="009E5700"/>
    <w:rsid w:val="009E66D7"/>
    <w:rsid w:val="009E76D5"/>
    <w:rsid w:val="009F0900"/>
    <w:rsid w:val="009F1A18"/>
    <w:rsid w:val="009F49CB"/>
    <w:rsid w:val="009F52FE"/>
    <w:rsid w:val="009F5C9A"/>
    <w:rsid w:val="009F5CAD"/>
    <w:rsid w:val="009F6629"/>
    <w:rsid w:val="00A02F77"/>
    <w:rsid w:val="00A03167"/>
    <w:rsid w:val="00A03B9C"/>
    <w:rsid w:val="00A052E6"/>
    <w:rsid w:val="00A05D39"/>
    <w:rsid w:val="00A065EF"/>
    <w:rsid w:val="00A0765B"/>
    <w:rsid w:val="00A13C28"/>
    <w:rsid w:val="00A140B1"/>
    <w:rsid w:val="00A169D4"/>
    <w:rsid w:val="00A219B0"/>
    <w:rsid w:val="00A24DF4"/>
    <w:rsid w:val="00A25AE6"/>
    <w:rsid w:val="00A267A5"/>
    <w:rsid w:val="00A27944"/>
    <w:rsid w:val="00A31BF7"/>
    <w:rsid w:val="00A32202"/>
    <w:rsid w:val="00A324A4"/>
    <w:rsid w:val="00A34374"/>
    <w:rsid w:val="00A349FC"/>
    <w:rsid w:val="00A3534A"/>
    <w:rsid w:val="00A35DFA"/>
    <w:rsid w:val="00A37798"/>
    <w:rsid w:val="00A37B84"/>
    <w:rsid w:val="00A40276"/>
    <w:rsid w:val="00A417EB"/>
    <w:rsid w:val="00A42203"/>
    <w:rsid w:val="00A45A8E"/>
    <w:rsid w:val="00A46038"/>
    <w:rsid w:val="00A46208"/>
    <w:rsid w:val="00A46FCB"/>
    <w:rsid w:val="00A47875"/>
    <w:rsid w:val="00A5069F"/>
    <w:rsid w:val="00A51D47"/>
    <w:rsid w:val="00A54628"/>
    <w:rsid w:val="00A55B09"/>
    <w:rsid w:val="00A57FD8"/>
    <w:rsid w:val="00A57FDE"/>
    <w:rsid w:val="00A61347"/>
    <w:rsid w:val="00A637E4"/>
    <w:rsid w:val="00A63FCF"/>
    <w:rsid w:val="00A65CF8"/>
    <w:rsid w:val="00A66A56"/>
    <w:rsid w:val="00A66B30"/>
    <w:rsid w:val="00A66BB0"/>
    <w:rsid w:val="00A66EA0"/>
    <w:rsid w:val="00A70C6E"/>
    <w:rsid w:val="00A7101C"/>
    <w:rsid w:val="00A717FE"/>
    <w:rsid w:val="00A71D1F"/>
    <w:rsid w:val="00A73200"/>
    <w:rsid w:val="00A7337A"/>
    <w:rsid w:val="00A7351B"/>
    <w:rsid w:val="00A73A4B"/>
    <w:rsid w:val="00A745ED"/>
    <w:rsid w:val="00A74CF6"/>
    <w:rsid w:val="00A75CBC"/>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171"/>
    <w:rsid w:val="00AA3C9A"/>
    <w:rsid w:val="00AA4343"/>
    <w:rsid w:val="00AA52DD"/>
    <w:rsid w:val="00AB1B21"/>
    <w:rsid w:val="00AB277A"/>
    <w:rsid w:val="00AB2A6D"/>
    <w:rsid w:val="00AB5686"/>
    <w:rsid w:val="00AC2B4E"/>
    <w:rsid w:val="00AC71AB"/>
    <w:rsid w:val="00AD029F"/>
    <w:rsid w:val="00AD25E3"/>
    <w:rsid w:val="00AD3114"/>
    <w:rsid w:val="00AD3BDE"/>
    <w:rsid w:val="00AD4B9C"/>
    <w:rsid w:val="00AD521D"/>
    <w:rsid w:val="00AD5C5E"/>
    <w:rsid w:val="00AD5D7A"/>
    <w:rsid w:val="00AD665C"/>
    <w:rsid w:val="00AD7008"/>
    <w:rsid w:val="00AD79E9"/>
    <w:rsid w:val="00AE0088"/>
    <w:rsid w:val="00AE0A8E"/>
    <w:rsid w:val="00AE14E5"/>
    <w:rsid w:val="00AE1CE7"/>
    <w:rsid w:val="00AE1E22"/>
    <w:rsid w:val="00AE266B"/>
    <w:rsid w:val="00AE2C05"/>
    <w:rsid w:val="00AE353B"/>
    <w:rsid w:val="00AE4B1B"/>
    <w:rsid w:val="00AE5462"/>
    <w:rsid w:val="00AE6C7E"/>
    <w:rsid w:val="00AE6D58"/>
    <w:rsid w:val="00AE79AA"/>
    <w:rsid w:val="00AF2B5B"/>
    <w:rsid w:val="00AF389F"/>
    <w:rsid w:val="00B026B3"/>
    <w:rsid w:val="00B04824"/>
    <w:rsid w:val="00B0533D"/>
    <w:rsid w:val="00B057AD"/>
    <w:rsid w:val="00B06287"/>
    <w:rsid w:val="00B06288"/>
    <w:rsid w:val="00B066A4"/>
    <w:rsid w:val="00B079D4"/>
    <w:rsid w:val="00B11931"/>
    <w:rsid w:val="00B13E23"/>
    <w:rsid w:val="00B144DD"/>
    <w:rsid w:val="00B14B4B"/>
    <w:rsid w:val="00B16BBB"/>
    <w:rsid w:val="00B177C1"/>
    <w:rsid w:val="00B20E95"/>
    <w:rsid w:val="00B22BDA"/>
    <w:rsid w:val="00B23382"/>
    <w:rsid w:val="00B27913"/>
    <w:rsid w:val="00B3198A"/>
    <w:rsid w:val="00B344AD"/>
    <w:rsid w:val="00B3493A"/>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EAA"/>
    <w:rsid w:val="00B7520C"/>
    <w:rsid w:val="00B765D3"/>
    <w:rsid w:val="00B77A5A"/>
    <w:rsid w:val="00B80780"/>
    <w:rsid w:val="00B835D2"/>
    <w:rsid w:val="00B837FC"/>
    <w:rsid w:val="00B83AA1"/>
    <w:rsid w:val="00B84ED2"/>
    <w:rsid w:val="00B85F39"/>
    <w:rsid w:val="00B86331"/>
    <w:rsid w:val="00B87082"/>
    <w:rsid w:val="00B92FCC"/>
    <w:rsid w:val="00B93A53"/>
    <w:rsid w:val="00B957F6"/>
    <w:rsid w:val="00B96052"/>
    <w:rsid w:val="00B960AD"/>
    <w:rsid w:val="00B9714E"/>
    <w:rsid w:val="00B978FE"/>
    <w:rsid w:val="00B97CC9"/>
    <w:rsid w:val="00BA1A56"/>
    <w:rsid w:val="00BA2DD1"/>
    <w:rsid w:val="00BA4273"/>
    <w:rsid w:val="00BA5296"/>
    <w:rsid w:val="00BA76CA"/>
    <w:rsid w:val="00BA7998"/>
    <w:rsid w:val="00BB5187"/>
    <w:rsid w:val="00BB55A6"/>
    <w:rsid w:val="00BC28C2"/>
    <w:rsid w:val="00BC2AD1"/>
    <w:rsid w:val="00BC5A5D"/>
    <w:rsid w:val="00BC625B"/>
    <w:rsid w:val="00BC65D5"/>
    <w:rsid w:val="00BD0D63"/>
    <w:rsid w:val="00BD21F0"/>
    <w:rsid w:val="00BD297A"/>
    <w:rsid w:val="00BD3BF1"/>
    <w:rsid w:val="00BD592E"/>
    <w:rsid w:val="00BD5A53"/>
    <w:rsid w:val="00BD718A"/>
    <w:rsid w:val="00BE03C3"/>
    <w:rsid w:val="00BE2404"/>
    <w:rsid w:val="00BE29CE"/>
    <w:rsid w:val="00BE3547"/>
    <w:rsid w:val="00BE5185"/>
    <w:rsid w:val="00BE5D87"/>
    <w:rsid w:val="00BE6ADF"/>
    <w:rsid w:val="00BE7F48"/>
    <w:rsid w:val="00BF0588"/>
    <w:rsid w:val="00BF1E33"/>
    <w:rsid w:val="00BF312A"/>
    <w:rsid w:val="00BF550D"/>
    <w:rsid w:val="00BF611D"/>
    <w:rsid w:val="00BF63C6"/>
    <w:rsid w:val="00BF7755"/>
    <w:rsid w:val="00C02EF2"/>
    <w:rsid w:val="00C04D2F"/>
    <w:rsid w:val="00C07088"/>
    <w:rsid w:val="00C106CE"/>
    <w:rsid w:val="00C1083E"/>
    <w:rsid w:val="00C10F9B"/>
    <w:rsid w:val="00C1104D"/>
    <w:rsid w:val="00C12B03"/>
    <w:rsid w:val="00C13692"/>
    <w:rsid w:val="00C13F96"/>
    <w:rsid w:val="00C151D7"/>
    <w:rsid w:val="00C155A5"/>
    <w:rsid w:val="00C164FE"/>
    <w:rsid w:val="00C2009D"/>
    <w:rsid w:val="00C20149"/>
    <w:rsid w:val="00C20319"/>
    <w:rsid w:val="00C20F94"/>
    <w:rsid w:val="00C22CAA"/>
    <w:rsid w:val="00C230C1"/>
    <w:rsid w:val="00C2474C"/>
    <w:rsid w:val="00C24BC3"/>
    <w:rsid w:val="00C27548"/>
    <w:rsid w:val="00C30F94"/>
    <w:rsid w:val="00C310FD"/>
    <w:rsid w:val="00C32422"/>
    <w:rsid w:val="00C32C25"/>
    <w:rsid w:val="00C33A46"/>
    <w:rsid w:val="00C34277"/>
    <w:rsid w:val="00C342A2"/>
    <w:rsid w:val="00C34E44"/>
    <w:rsid w:val="00C34EB6"/>
    <w:rsid w:val="00C37418"/>
    <w:rsid w:val="00C408BE"/>
    <w:rsid w:val="00C44688"/>
    <w:rsid w:val="00C45B6D"/>
    <w:rsid w:val="00C45F30"/>
    <w:rsid w:val="00C47770"/>
    <w:rsid w:val="00C47B52"/>
    <w:rsid w:val="00C50237"/>
    <w:rsid w:val="00C502A6"/>
    <w:rsid w:val="00C508EF"/>
    <w:rsid w:val="00C539D2"/>
    <w:rsid w:val="00C55D45"/>
    <w:rsid w:val="00C56E72"/>
    <w:rsid w:val="00C621D2"/>
    <w:rsid w:val="00C6474B"/>
    <w:rsid w:val="00C65FD6"/>
    <w:rsid w:val="00C662DC"/>
    <w:rsid w:val="00C6648C"/>
    <w:rsid w:val="00C708D3"/>
    <w:rsid w:val="00C70CD3"/>
    <w:rsid w:val="00C72F7F"/>
    <w:rsid w:val="00C73169"/>
    <w:rsid w:val="00C73CFC"/>
    <w:rsid w:val="00C74550"/>
    <w:rsid w:val="00C74FA8"/>
    <w:rsid w:val="00C77BCA"/>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3139"/>
    <w:rsid w:val="00CA4C0C"/>
    <w:rsid w:val="00CA6E56"/>
    <w:rsid w:val="00CA74A4"/>
    <w:rsid w:val="00CB0C21"/>
    <w:rsid w:val="00CB195C"/>
    <w:rsid w:val="00CC1218"/>
    <w:rsid w:val="00CC1C55"/>
    <w:rsid w:val="00CC2D75"/>
    <w:rsid w:val="00CC367E"/>
    <w:rsid w:val="00CC3CC9"/>
    <w:rsid w:val="00CC3E12"/>
    <w:rsid w:val="00CC5A41"/>
    <w:rsid w:val="00CC612F"/>
    <w:rsid w:val="00CC64F8"/>
    <w:rsid w:val="00CC7528"/>
    <w:rsid w:val="00CD0995"/>
    <w:rsid w:val="00CD0A76"/>
    <w:rsid w:val="00CD1677"/>
    <w:rsid w:val="00CD179A"/>
    <w:rsid w:val="00CD1C0D"/>
    <w:rsid w:val="00CD42C3"/>
    <w:rsid w:val="00CD5600"/>
    <w:rsid w:val="00CD72BF"/>
    <w:rsid w:val="00CD730D"/>
    <w:rsid w:val="00CE1481"/>
    <w:rsid w:val="00CE2C09"/>
    <w:rsid w:val="00CE2F36"/>
    <w:rsid w:val="00CE2FC3"/>
    <w:rsid w:val="00CE3691"/>
    <w:rsid w:val="00CE3AD1"/>
    <w:rsid w:val="00CE65A7"/>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528A"/>
    <w:rsid w:val="00D069D5"/>
    <w:rsid w:val="00D1083F"/>
    <w:rsid w:val="00D11BBC"/>
    <w:rsid w:val="00D15D61"/>
    <w:rsid w:val="00D173AA"/>
    <w:rsid w:val="00D17803"/>
    <w:rsid w:val="00D21632"/>
    <w:rsid w:val="00D21945"/>
    <w:rsid w:val="00D22CB5"/>
    <w:rsid w:val="00D22E0B"/>
    <w:rsid w:val="00D23F26"/>
    <w:rsid w:val="00D24DC7"/>
    <w:rsid w:val="00D319E3"/>
    <w:rsid w:val="00D31A8F"/>
    <w:rsid w:val="00D31D2A"/>
    <w:rsid w:val="00D31F77"/>
    <w:rsid w:val="00D3337B"/>
    <w:rsid w:val="00D34DB8"/>
    <w:rsid w:val="00D35586"/>
    <w:rsid w:val="00D35800"/>
    <w:rsid w:val="00D36C21"/>
    <w:rsid w:val="00D41993"/>
    <w:rsid w:val="00D44123"/>
    <w:rsid w:val="00D445D1"/>
    <w:rsid w:val="00D46471"/>
    <w:rsid w:val="00D46E8B"/>
    <w:rsid w:val="00D50D6E"/>
    <w:rsid w:val="00D50FEC"/>
    <w:rsid w:val="00D524B1"/>
    <w:rsid w:val="00D53110"/>
    <w:rsid w:val="00D53193"/>
    <w:rsid w:val="00D53B7F"/>
    <w:rsid w:val="00D55681"/>
    <w:rsid w:val="00D600D7"/>
    <w:rsid w:val="00D604BE"/>
    <w:rsid w:val="00D60CA9"/>
    <w:rsid w:val="00D61B2B"/>
    <w:rsid w:val="00D62273"/>
    <w:rsid w:val="00D62F9E"/>
    <w:rsid w:val="00D63668"/>
    <w:rsid w:val="00D63C68"/>
    <w:rsid w:val="00D64573"/>
    <w:rsid w:val="00D65357"/>
    <w:rsid w:val="00D66B2D"/>
    <w:rsid w:val="00D676D1"/>
    <w:rsid w:val="00D67C3B"/>
    <w:rsid w:val="00D71634"/>
    <w:rsid w:val="00D732C5"/>
    <w:rsid w:val="00D733D8"/>
    <w:rsid w:val="00D806F7"/>
    <w:rsid w:val="00D83E1F"/>
    <w:rsid w:val="00D87A96"/>
    <w:rsid w:val="00D91ECA"/>
    <w:rsid w:val="00D9394A"/>
    <w:rsid w:val="00D94B3E"/>
    <w:rsid w:val="00D962F0"/>
    <w:rsid w:val="00D9667B"/>
    <w:rsid w:val="00DA0565"/>
    <w:rsid w:val="00DA165E"/>
    <w:rsid w:val="00DA39E0"/>
    <w:rsid w:val="00DA3F28"/>
    <w:rsid w:val="00DA56E6"/>
    <w:rsid w:val="00DA6D7B"/>
    <w:rsid w:val="00DA6E26"/>
    <w:rsid w:val="00DB10E7"/>
    <w:rsid w:val="00DB2F6E"/>
    <w:rsid w:val="00DB3845"/>
    <w:rsid w:val="00DB3D1D"/>
    <w:rsid w:val="00DB4EFF"/>
    <w:rsid w:val="00DB7C50"/>
    <w:rsid w:val="00DC6CD9"/>
    <w:rsid w:val="00DD0D01"/>
    <w:rsid w:val="00DD1218"/>
    <w:rsid w:val="00DD1D11"/>
    <w:rsid w:val="00DD407F"/>
    <w:rsid w:val="00DD428B"/>
    <w:rsid w:val="00DD4AB7"/>
    <w:rsid w:val="00DD4BFF"/>
    <w:rsid w:val="00DD5A3A"/>
    <w:rsid w:val="00DD6945"/>
    <w:rsid w:val="00DD7003"/>
    <w:rsid w:val="00DE02D8"/>
    <w:rsid w:val="00DE09D0"/>
    <w:rsid w:val="00DE1133"/>
    <w:rsid w:val="00DE1E17"/>
    <w:rsid w:val="00DE4455"/>
    <w:rsid w:val="00DE741E"/>
    <w:rsid w:val="00DF04FD"/>
    <w:rsid w:val="00DF1AB7"/>
    <w:rsid w:val="00DF24A6"/>
    <w:rsid w:val="00DF2B17"/>
    <w:rsid w:val="00DF2F31"/>
    <w:rsid w:val="00DF2FF2"/>
    <w:rsid w:val="00DF33FB"/>
    <w:rsid w:val="00E00490"/>
    <w:rsid w:val="00E00B02"/>
    <w:rsid w:val="00E01FD2"/>
    <w:rsid w:val="00E02243"/>
    <w:rsid w:val="00E024A3"/>
    <w:rsid w:val="00E025CC"/>
    <w:rsid w:val="00E028A2"/>
    <w:rsid w:val="00E046BF"/>
    <w:rsid w:val="00E0471F"/>
    <w:rsid w:val="00E04BF5"/>
    <w:rsid w:val="00E05F34"/>
    <w:rsid w:val="00E0657A"/>
    <w:rsid w:val="00E06782"/>
    <w:rsid w:val="00E07A2C"/>
    <w:rsid w:val="00E116C7"/>
    <w:rsid w:val="00E116E9"/>
    <w:rsid w:val="00E143AE"/>
    <w:rsid w:val="00E1559C"/>
    <w:rsid w:val="00E15AC1"/>
    <w:rsid w:val="00E222E2"/>
    <w:rsid w:val="00E223C2"/>
    <w:rsid w:val="00E235B5"/>
    <w:rsid w:val="00E25574"/>
    <w:rsid w:val="00E25905"/>
    <w:rsid w:val="00E26FE2"/>
    <w:rsid w:val="00E27BDB"/>
    <w:rsid w:val="00E27F7A"/>
    <w:rsid w:val="00E3010E"/>
    <w:rsid w:val="00E308CE"/>
    <w:rsid w:val="00E30AFA"/>
    <w:rsid w:val="00E31178"/>
    <w:rsid w:val="00E31D74"/>
    <w:rsid w:val="00E31EE2"/>
    <w:rsid w:val="00E32094"/>
    <w:rsid w:val="00E33A4E"/>
    <w:rsid w:val="00E34346"/>
    <w:rsid w:val="00E35028"/>
    <w:rsid w:val="00E36A0B"/>
    <w:rsid w:val="00E378D1"/>
    <w:rsid w:val="00E37EA3"/>
    <w:rsid w:val="00E4094E"/>
    <w:rsid w:val="00E4095B"/>
    <w:rsid w:val="00E42E38"/>
    <w:rsid w:val="00E44266"/>
    <w:rsid w:val="00E4694E"/>
    <w:rsid w:val="00E47DBD"/>
    <w:rsid w:val="00E51FB2"/>
    <w:rsid w:val="00E5217E"/>
    <w:rsid w:val="00E52317"/>
    <w:rsid w:val="00E52389"/>
    <w:rsid w:val="00E530DF"/>
    <w:rsid w:val="00E54E45"/>
    <w:rsid w:val="00E56FC8"/>
    <w:rsid w:val="00E6106A"/>
    <w:rsid w:val="00E65298"/>
    <w:rsid w:val="00E655CE"/>
    <w:rsid w:val="00E65F4D"/>
    <w:rsid w:val="00E66FF6"/>
    <w:rsid w:val="00E67D61"/>
    <w:rsid w:val="00E75082"/>
    <w:rsid w:val="00E75D1F"/>
    <w:rsid w:val="00E76130"/>
    <w:rsid w:val="00E76671"/>
    <w:rsid w:val="00E7781E"/>
    <w:rsid w:val="00E77A69"/>
    <w:rsid w:val="00E81016"/>
    <w:rsid w:val="00E8632C"/>
    <w:rsid w:val="00E878E3"/>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006C"/>
    <w:rsid w:val="00EC3426"/>
    <w:rsid w:val="00EC4DE7"/>
    <w:rsid w:val="00EC630B"/>
    <w:rsid w:val="00EC7961"/>
    <w:rsid w:val="00ED0D2C"/>
    <w:rsid w:val="00ED54FA"/>
    <w:rsid w:val="00EE0EBF"/>
    <w:rsid w:val="00EE3621"/>
    <w:rsid w:val="00EE390A"/>
    <w:rsid w:val="00EE4446"/>
    <w:rsid w:val="00EE4AA6"/>
    <w:rsid w:val="00EE5786"/>
    <w:rsid w:val="00EE5BFF"/>
    <w:rsid w:val="00EE6AE8"/>
    <w:rsid w:val="00EE6BFD"/>
    <w:rsid w:val="00EF1C5E"/>
    <w:rsid w:val="00EF22BA"/>
    <w:rsid w:val="00EF25BE"/>
    <w:rsid w:val="00EF3579"/>
    <w:rsid w:val="00EF3F62"/>
    <w:rsid w:val="00EF4EDC"/>
    <w:rsid w:val="00EF6098"/>
    <w:rsid w:val="00EF61DD"/>
    <w:rsid w:val="00EF6AC9"/>
    <w:rsid w:val="00EF6F03"/>
    <w:rsid w:val="00F003F2"/>
    <w:rsid w:val="00F02F80"/>
    <w:rsid w:val="00F0392A"/>
    <w:rsid w:val="00F03A97"/>
    <w:rsid w:val="00F044C2"/>
    <w:rsid w:val="00F047C0"/>
    <w:rsid w:val="00F0625E"/>
    <w:rsid w:val="00F10309"/>
    <w:rsid w:val="00F108B9"/>
    <w:rsid w:val="00F114B0"/>
    <w:rsid w:val="00F16ACB"/>
    <w:rsid w:val="00F20D87"/>
    <w:rsid w:val="00F21165"/>
    <w:rsid w:val="00F2171C"/>
    <w:rsid w:val="00F231BC"/>
    <w:rsid w:val="00F23B41"/>
    <w:rsid w:val="00F23E1A"/>
    <w:rsid w:val="00F24389"/>
    <w:rsid w:val="00F2481F"/>
    <w:rsid w:val="00F26561"/>
    <w:rsid w:val="00F27911"/>
    <w:rsid w:val="00F27DDC"/>
    <w:rsid w:val="00F31776"/>
    <w:rsid w:val="00F32F02"/>
    <w:rsid w:val="00F34374"/>
    <w:rsid w:val="00F34ECE"/>
    <w:rsid w:val="00F370C7"/>
    <w:rsid w:val="00F40690"/>
    <w:rsid w:val="00F408F0"/>
    <w:rsid w:val="00F415A6"/>
    <w:rsid w:val="00F41893"/>
    <w:rsid w:val="00F42CD1"/>
    <w:rsid w:val="00F4307C"/>
    <w:rsid w:val="00F43E14"/>
    <w:rsid w:val="00F44672"/>
    <w:rsid w:val="00F45013"/>
    <w:rsid w:val="00F4523F"/>
    <w:rsid w:val="00F45DE2"/>
    <w:rsid w:val="00F50A99"/>
    <w:rsid w:val="00F510E8"/>
    <w:rsid w:val="00F54AA2"/>
    <w:rsid w:val="00F55002"/>
    <w:rsid w:val="00F552C4"/>
    <w:rsid w:val="00F55CA5"/>
    <w:rsid w:val="00F569DB"/>
    <w:rsid w:val="00F57AA2"/>
    <w:rsid w:val="00F6086D"/>
    <w:rsid w:val="00F62421"/>
    <w:rsid w:val="00F62993"/>
    <w:rsid w:val="00F6718F"/>
    <w:rsid w:val="00F67F28"/>
    <w:rsid w:val="00F71298"/>
    <w:rsid w:val="00F71AC7"/>
    <w:rsid w:val="00F72636"/>
    <w:rsid w:val="00F7345D"/>
    <w:rsid w:val="00F73727"/>
    <w:rsid w:val="00F82D9B"/>
    <w:rsid w:val="00F84B75"/>
    <w:rsid w:val="00F84E27"/>
    <w:rsid w:val="00F85769"/>
    <w:rsid w:val="00F864AE"/>
    <w:rsid w:val="00F87344"/>
    <w:rsid w:val="00F90E8C"/>
    <w:rsid w:val="00F9150D"/>
    <w:rsid w:val="00F91972"/>
    <w:rsid w:val="00F93A6A"/>
    <w:rsid w:val="00F94F95"/>
    <w:rsid w:val="00F95AC4"/>
    <w:rsid w:val="00F96E16"/>
    <w:rsid w:val="00F9715E"/>
    <w:rsid w:val="00FA16AE"/>
    <w:rsid w:val="00FA20DF"/>
    <w:rsid w:val="00FA3610"/>
    <w:rsid w:val="00FA5807"/>
    <w:rsid w:val="00FA5EA8"/>
    <w:rsid w:val="00FB0F51"/>
    <w:rsid w:val="00FB1D77"/>
    <w:rsid w:val="00FB2D82"/>
    <w:rsid w:val="00FB2EB8"/>
    <w:rsid w:val="00FB2F29"/>
    <w:rsid w:val="00FB48DD"/>
    <w:rsid w:val="00FB743F"/>
    <w:rsid w:val="00FC0855"/>
    <w:rsid w:val="00FC18F7"/>
    <w:rsid w:val="00FC32DE"/>
    <w:rsid w:val="00FC3D2D"/>
    <w:rsid w:val="00FC4AB0"/>
    <w:rsid w:val="00FC6428"/>
    <w:rsid w:val="00FC78BF"/>
    <w:rsid w:val="00FD1B75"/>
    <w:rsid w:val="00FD525E"/>
    <w:rsid w:val="00FD592B"/>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453EA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72AD"/>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19500F"/>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semiHidden/>
    <w:unhideWhenUsed/>
    <w:rsid w:val="004235BA"/>
    <w:rPr>
      <w:sz w:val="16"/>
      <w:szCs w:val="16"/>
    </w:rPr>
  </w:style>
  <w:style w:type="paragraph" w:styleId="Textocomentario">
    <w:name w:val="annotation text"/>
    <w:basedOn w:val="Normal"/>
    <w:link w:val="TextocomentarioCar"/>
    <w:semiHidden/>
    <w:unhideWhenUsed/>
    <w:rsid w:val="004235BA"/>
  </w:style>
  <w:style w:type="character" w:customStyle="1" w:styleId="TextocomentarioCar">
    <w:name w:val="Texto comentario Car"/>
    <w:basedOn w:val="Fuentedeprrafopredeter"/>
    <w:link w:val="Textocomentario"/>
    <w:semiHidden/>
    <w:rsid w:val="004235BA"/>
    <w:rPr>
      <w:lang w:eastAsia="es-ES"/>
    </w:rPr>
  </w:style>
  <w:style w:type="paragraph" w:styleId="Asuntodelcomentario">
    <w:name w:val="annotation subject"/>
    <w:basedOn w:val="Textocomentario"/>
    <w:next w:val="Textocomentario"/>
    <w:link w:val="AsuntodelcomentarioCar"/>
    <w:semiHidden/>
    <w:unhideWhenUsed/>
    <w:rsid w:val="004235BA"/>
    <w:rPr>
      <w:b/>
      <w:bCs/>
    </w:rPr>
  </w:style>
  <w:style w:type="character" w:customStyle="1" w:styleId="AsuntodelcomentarioCar">
    <w:name w:val="Asunto del comentario Car"/>
    <w:basedOn w:val="TextocomentarioCar"/>
    <w:link w:val="Asuntodelcomentario"/>
    <w:semiHidden/>
    <w:rsid w:val="004235BA"/>
    <w:rPr>
      <w:b/>
      <w:bCs/>
      <w:lang w:eastAsia="es-ES"/>
    </w:rPr>
  </w:style>
  <w:style w:type="paragraph" w:customStyle="1" w:styleId="Piedepgina1">
    <w:name w:val="Pie de página1"/>
    <w:basedOn w:val="Normal"/>
    <w:next w:val="Piedepgina"/>
    <w:uiPriority w:val="99"/>
    <w:unhideWhenUsed/>
    <w:rsid w:val="00C72F7F"/>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3519">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15479860">
      <w:bodyDiv w:val="1"/>
      <w:marLeft w:val="0"/>
      <w:marRight w:val="0"/>
      <w:marTop w:val="0"/>
      <w:marBottom w:val="0"/>
      <w:divBdr>
        <w:top w:val="none" w:sz="0" w:space="0" w:color="auto"/>
        <w:left w:val="none" w:sz="0" w:space="0" w:color="auto"/>
        <w:bottom w:val="none" w:sz="0" w:space="0" w:color="auto"/>
        <w:right w:val="none" w:sz="0" w:space="0" w:color="auto"/>
      </w:divBdr>
    </w:div>
    <w:div w:id="848981755">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68633599">
      <w:bodyDiv w:val="1"/>
      <w:marLeft w:val="0"/>
      <w:marRight w:val="0"/>
      <w:marTop w:val="0"/>
      <w:marBottom w:val="0"/>
      <w:divBdr>
        <w:top w:val="none" w:sz="0" w:space="0" w:color="auto"/>
        <w:left w:val="none" w:sz="0" w:space="0" w:color="auto"/>
        <w:bottom w:val="none" w:sz="0" w:space="0" w:color="auto"/>
        <w:right w:val="none" w:sz="0" w:space="0" w:color="auto"/>
      </w:divBdr>
    </w:div>
    <w:div w:id="1039938153">
      <w:bodyDiv w:val="1"/>
      <w:marLeft w:val="0"/>
      <w:marRight w:val="0"/>
      <w:marTop w:val="0"/>
      <w:marBottom w:val="0"/>
      <w:divBdr>
        <w:top w:val="none" w:sz="0" w:space="0" w:color="auto"/>
        <w:left w:val="none" w:sz="0" w:space="0" w:color="auto"/>
        <w:bottom w:val="none" w:sz="0" w:space="0" w:color="auto"/>
        <w:right w:val="none" w:sz="0" w:space="0" w:color="auto"/>
      </w:divBdr>
    </w:div>
    <w:div w:id="1741321982">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2C74D-5429-48F7-A4B9-046D2BE3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7</Pages>
  <Words>1662</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10782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Alexander Izquierdo Arizmendi</cp:lastModifiedBy>
  <cp:revision>40</cp:revision>
  <cp:lastPrinted>2012-08-25T17:05:00Z</cp:lastPrinted>
  <dcterms:created xsi:type="dcterms:W3CDTF">2018-11-28T17:56:00Z</dcterms:created>
  <dcterms:modified xsi:type="dcterms:W3CDTF">2021-09-29T23:28:00Z</dcterms:modified>
</cp:coreProperties>
</file>