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F41FA3" w:rsidRPr="00223C86" w14:paraId="4D88AD73" w14:textId="77777777" w:rsidTr="00CB6619">
        <w:trPr>
          <w:trHeight w:val="102"/>
        </w:trPr>
        <w:tc>
          <w:tcPr>
            <w:tcW w:w="1839" w:type="pct"/>
            <w:gridSpan w:val="2"/>
            <w:hideMark/>
          </w:tcPr>
          <w:p w14:paraId="51DD7F64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96CFF76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5912D6E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41FA3" w:rsidRPr="00223C86" w14:paraId="587D9E9B" w14:textId="77777777" w:rsidTr="00CB6619">
        <w:trPr>
          <w:trHeight w:val="64"/>
        </w:trPr>
        <w:tc>
          <w:tcPr>
            <w:tcW w:w="442" w:type="pct"/>
            <w:hideMark/>
          </w:tcPr>
          <w:p w14:paraId="0F73027A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4A32B2CC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160229F5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6C105A6B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A69A079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13E277C" w14:textId="78388C04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4D02F0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F41FA3" w:rsidRPr="00223C86" w14:paraId="15AC0226" w14:textId="77777777" w:rsidTr="00CB6619">
        <w:tc>
          <w:tcPr>
            <w:tcW w:w="442" w:type="pct"/>
            <w:hideMark/>
          </w:tcPr>
          <w:p w14:paraId="663A82FD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6DC00637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7ABB51CE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7F3E4657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131D7736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6C7312FA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41FA3" w:rsidRPr="00223C86" w14:paraId="7EF5ED4D" w14:textId="77777777" w:rsidTr="00CB6619">
        <w:tc>
          <w:tcPr>
            <w:tcW w:w="442" w:type="pct"/>
            <w:hideMark/>
          </w:tcPr>
          <w:p w14:paraId="02DB3311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2E42BCB0" w14:textId="0D7998D4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18/06/2019</w:t>
            </w:r>
          </w:p>
        </w:tc>
        <w:tc>
          <w:tcPr>
            <w:tcW w:w="441" w:type="pct"/>
            <w:hideMark/>
          </w:tcPr>
          <w:p w14:paraId="514D778B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3EFE48B" w14:textId="3EC097FA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18/06/2019</w:t>
            </w:r>
          </w:p>
        </w:tc>
        <w:tc>
          <w:tcPr>
            <w:tcW w:w="441" w:type="pct"/>
            <w:hideMark/>
          </w:tcPr>
          <w:p w14:paraId="451F6231" w14:textId="77777777" w:rsidR="00F41FA3" w:rsidRPr="00223C86" w:rsidRDefault="00F41FA3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6006C665" w14:textId="23D9DCD5" w:rsidR="00F41FA3" w:rsidRPr="00223C86" w:rsidRDefault="00F41FA3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18/06/2019</w:t>
            </w:r>
          </w:p>
        </w:tc>
      </w:tr>
    </w:tbl>
    <w:p w14:paraId="70FB0A45" w14:textId="77777777" w:rsidR="00F41FA3" w:rsidRDefault="00F41FA3" w:rsidP="00F41FA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1A4C6C0" w14:textId="185787A2" w:rsidR="003071AA" w:rsidRPr="00852BFB" w:rsidRDefault="003071AA" w:rsidP="00F5784D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69698173" w14:textId="77777777" w:rsidR="003206DB" w:rsidRPr="00852BFB" w:rsidRDefault="00A94172" w:rsidP="00F5784D">
      <w:pPr>
        <w:tabs>
          <w:tab w:val="left" w:pos="1382"/>
        </w:tabs>
        <w:jc w:val="both"/>
        <w:rPr>
          <w:rFonts w:ascii="Arial Narrow" w:hAnsi="Arial Narrow"/>
          <w:b/>
          <w:spacing w:val="-3"/>
          <w:sz w:val="22"/>
          <w:szCs w:val="22"/>
        </w:rPr>
      </w:pPr>
      <w:r>
        <w:rPr>
          <w:rFonts w:ascii="Arial Narrow" w:hAnsi="Arial Narrow"/>
          <w:b/>
          <w:spacing w:val="-3"/>
          <w:sz w:val="22"/>
          <w:szCs w:val="22"/>
        </w:rPr>
        <w:tab/>
      </w:r>
    </w:p>
    <w:p w14:paraId="0F98007B" w14:textId="77777777" w:rsidR="00261867" w:rsidRPr="00852BFB" w:rsidRDefault="003A2A0A" w:rsidP="00F5784D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Realizar el traslado de los asociados infantiles a sección adultos.</w:t>
      </w:r>
    </w:p>
    <w:p w14:paraId="55573125" w14:textId="77777777" w:rsidR="003A2A0A" w:rsidRPr="00852BFB" w:rsidRDefault="003A2A0A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D0536B4" w14:textId="77777777" w:rsidR="003071AA" w:rsidRPr="00852BFB" w:rsidRDefault="0099183A" w:rsidP="00F5784D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>
        <w:rPr>
          <w:rFonts w:ascii="Arial Narrow" w:hAnsi="Arial Narrow"/>
          <w:b/>
          <w:spacing w:val="-3"/>
          <w:sz w:val="22"/>
          <w:szCs w:val="22"/>
        </w:rPr>
        <w:t>ALCANCE</w:t>
      </w:r>
      <w:r w:rsidR="003206DB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C105E33" w14:textId="77777777" w:rsidR="003071AA" w:rsidRPr="00852BFB" w:rsidRDefault="003071AA" w:rsidP="00F5784D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AFA96F4" w14:textId="77777777" w:rsidR="003206DB" w:rsidRPr="00852BFB" w:rsidRDefault="003206DB" w:rsidP="00F5784D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Aplica </w:t>
      </w:r>
      <w:r w:rsidR="003A2A0A" w:rsidRPr="00852BFB">
        <w:rPr>
          <w:rFonts w:ascii="Arial Narrow" w:hAnsi="Arial Narrow"/>
          <w:spacing w:val="-3"/>
          <w:sz w:val="22"/>
          <w:szCs w:val="22"/>
        </w:rPr>
        <w:t>en el momento de determinar los asociados de la sección infantil con más de 18 años, desde la cancelación de las cuentas hasta la apertura de las nuevas cuentas</w:t>
      </w:r>
      <w:r w:rsidR="00FE7230" w:rsidRPr="00852BFB">
        <w:rPr>
          <w:rFonts w:ascii="Arial Narrow" w:hAnsi="Arial Narrow"/>
          <w:spacing w:val="-3"/>
          <w:sz w:val="22"/>
          <w:szCs w:val="22"/>
        </w:rPr>
        <w:t>.</w:t>
      </w:r>
    </w:p>
    <w:p w14:paraId="3A7DF2F8" w14:textId="77777777" w:rsidR="00DF2B3D" w:rsidRPr="00852BFB" w:rsidRDefault="00DF2B3D" w:rsidP="00F5784D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0CDEF641" w14:textId="77777777" w:rsidR="0099183A" w:rsidRPr="00E42564" w:rsidRDefault="0099183A" w:rsidP="00F5784D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6099CD24" w14:textId="77777777" w:rsidR="0099183A" w:rsidRDefault="0099183A" w:rsidP="00F5784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75FBA65" w14:textId="77777777" w:rsidR="0099183A" w:rsidRPr="005B4895" w:rsidRDefault="0099183A" w:rsidP="00F5784D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7E7E5FC6" w14:textId="77777777" w:rsidR="0099183A" w:rsidRPr="005B4895" w:rsidRDefault="0099183A" w:rsidP="00F5784D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12D19C7" w14:textId="77777777" w:rsidR="0099183A" w:rsidRPr="005B4895" w:rsidRDefault="0099183A" w:rsidP="00F5784D">
      <w:pPr>
        <w:pStyle w:val="Prrafodelista"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A42C208" w14:textId="77777777" w:rsidR="0099183A" w:rsidRPr="00042793" w:rsidRDefault="0099183A" w:rsidP="00F5784D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7E1A8578" w14:textId="77777777" w:rsidR="0099183A" w:rsidRPr="00042793" w:rsidRDefault="0099183A" w:rsidP="00F5784D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032D69F" w14:textId="77777777" w:rsidR="0099183A" w:rsidRPr="0099183A" w:rsidRDefault="0099183A" w:rsidP="00F5784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196075A5" w14:textId="77777777" w:rsidR="003071AA" w:rsidRPr="00852BFB" w:rsidRDefault="003071AA" w:rsidP="00F5784D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248DF34A" w14:textId="77777777" w:rsidR="00B70811" w:rsidRPr="00852BFB" w:rsidRDefault="00FE7230" w:rsidP="00F5784D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N/A.</w:t>
      </w:r>
    </w:p>
    <w:p w14:paraId="74BB2822" w14:textId="77777777" w:rsidR="003071AA" w:rsidRPr="00852BFB" w:rsidRDefault="003071AA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AFFA0C7" w14:textId="77777777" w:rsidR="0099183A" w:rsidRPr="0099183A" w:rsidRDefault="0099183A" w:rsidP="00F5784D">
      <w:pPr>
        <w:numPr>
          <w:ilvl w:val="0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790CCA">
        <w:rPr>
          <w:rFonts w:ascii="Arial Narrow" w:hAnsi="Arial Narrow"/>
          <w:b/>
          <w:sz w:val="22"/>
          <w:szCs w:val="22"/>
        </w:rPr>
        <w:t>RESPONSABLES</w:t>
      </w:r>
      <w:r>
        <w:rPr>
          <w:rFonts w:ascii="Arial Narrow" w:hAnsi="Arial Narrow"/>
          <w:b/>
          <w:sz w:val="22"/>
          <w:szCs w:val="22"/>
        </w:rPr>
        <w:t>.</w:t>
      </w:r>
    </w:p>
    <w:p w14:paraId="4BC7D905" w14:textId="77777777" w:rsidR="0099183A" w:rsidRDefault="0099183A" w:rsidP="00F5784D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CDD6FC7" w14:textId="77777777" w:rsidR="0099183A" w:rsidRPr="0099183A" w:rsidRDefault="0099183A" w:rsidP="00F5784D">
      <w:pPr>
        <w:numPr>
          <w:ilvl w:val="1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Asesor de Información.</w:t>
      </w:r>
    </w:p>
    <w:p w14:paraId="661612C3" w14:textId="77777777" w:rsidR="0099183A" w:rsidRPr="0099183A" w:rsidRDefault="0099183A" w:rsidP="00F5784D">
      <w:pPr>
        <w:numPr>
          <w:ilvl w:val="1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Subgerente Financiero</w:t>
      </w:r>
    </w:p>
    <w:p w14:paraId="77DAAB23" w14:textId="77777777" w:rsidR="0099183A" w:rsidRPr="00D354F8" w:rsidRDefault="00D354F8" w:rsidP="00F5784D">
      <w:pPr>
        <w:numPr>
          <w:ilvl w:val="1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Tesorera.</w:t>
      </w:r>
    </w:p>
    <w:p w14:paraId="1AE457ED" w14:textId="77777777" w:rsidR="00D354F8" w:rsidRPr="0099183A" w:rsidRDefault="00D354F8" w:rsidP="00F5784D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50DDC77" w14:textId="77777777" w:rsidR="003071AA" w:rsidRPr="00852BFB" w:rsidRDefault="003071AA" w:rsidP="00F5784D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D354F8">
        <w:rPr>
          <w:rFonts w:ascii="Arial Narrow" w:hAnsi="Arial Narrow"/>
          <w:b/>
          <w:spacing w:val="-3"/>
          <w:sz w:val="22"/>
          <w:szCs w:val="22"/>
        </w:rPr>
        <w:t xml:space="preserve"> DE </w:t>
      </w:r>
      <w:r w:rsidR="00713BE4">
        <w:rPr>
          <w:rFonts w:ascii="Arial Narrow" w:hAnsi="Arial Narrow"/>
          <w:b/>
          <w:spacing w:val="-3"/>
          <w:sz w:val="22"/>
          <w:szCs w:val="22"/>
        </w:rPr>
        <w:t>OPERACIÓN</w:t>
      </w:r>
      <w:r w:rsidR="00A84BEA" w:rsidRPr="00852BFB">
        <w:rPr>
          <w:rFonts w:ascii="Arial Narrow" w:hAnsi="Arial Narrow"/>
          <w:b/>
          <w:spacing w:val="-3"/>
          <w:sz w:val="22"/>
          <w:szCs w:val="22"/>
        </w:rPr>
        <w:t>.</w:t>
      </w:r>
      <w:r w:rsidR="00713BE4">
        <w:rPr>
          <w:rFonts w:ascii="Arial Narrow" w:hAnsi="Arial Narrow"/>
          <w:b/>
          <w:spacing w:val="-3"/>
          <w:sz w:val="22"/>
          <w:szCs w:val="22"/>
        </w:rPr>
        <w:t xml:space="preserve"> </w:t>
      </w:r>
    </w:p>
    <w:p w14:paraId="3FCF9201" w14:textId="77777777" w:rsidR="00A84BEA" w:rsidRPr="00852BFB" w:rsidRDefault="00A84BEA" w:rsidP="00F5784D">
      <w:pPr>
        <w:ind w:left="680"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92102DD" w14:textId="77777777" w:rsidR="00890256" w:rsidRPr="00852BFB" w:rsidRDefault="00890256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un asociado infantil se va a trasladar a la sección adultos y está atrasado en aportes, debe ponerse al día para poderlo trasladar a </w:t>
      </w:r>
      <w:r w:rsidR="00CB0D9D" w:rsidRPr="00852BFB">
        <w:rPr>
          <w:rFonts w:ascii="Arial Narrow" w:hAnsi="Arial Narrow"/>
          <w:spacing w:val="-3"/>
          <w:sz w:val="22"/>
          <w:szCs w:val="22"/>
        </w:rPr>
        <w:t>esta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sección. Si el asociado infantil no puede ponerse al día, debe empezar como nuevo asociado y pierde la antigüedad de vinculación.</w:t>
      </w:r>
    </w:p>
    <w:p w14:paraId="22778B3D" w14:textId="1E3A49A5" w:rsidR="00890256" w:rsidRPr="00852BFB" w:rsidRDefault="00890256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un asociado infantil se va a trasladar a la sección adultos y tiene </w:t>
      </w:r>
      <w:r w:rsidR="009E7344" w:rsidRPr="00852BFB">
        <w:rPr>
          <w:rFonts w:ascii="Arial Narrow" w:hAnsi="Arial Narrow"/>
          <w:spacing w:val="-3"/>
          <w:sz w:val="22"/>
          <w:szCs w:val="22"/>
        </w:rPr>
        <w:t>vigentes cuentas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por pagar, cheques en canje, embargo o pignoración no dejara realizar el traslado.</w:t>
      </w:r>
    </w:p>
    <w:p w14:paraId="5F256A6A" w14:textId="77777777" w:rsidR="00890256" w:rsidRPr="00852BFB" w:rsidRDefault="00890256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tiene vigentes productos de </w:t>
      </w:r>
      <w:r w:rsidR="00621808" w:rsidRPr="00852BFB">
        <w:rPr>
          <w:rFonts w:ascii="Arial Narrow" w:hAnsi="Arial Narrow"/>
          <w:spacing w:val="-3"/>
          <w:sz w:val="22"/>
          <w:szCs w:val="22"/>
        </w:rPr>
        <w:t xml:space="preserve">Ahorro Contractual </w:t>
      </w:r>
      <w:r w:rsidRPr="00852BFB">
        <w:rPr>
          <w:rFonts w:ascii="Arial Narrow" w:hAnsi="Arial Narrow"/>
          <w:spacing w:val="-3"/>
          <w:sz w:val="22"/>
          <w:szCs w:val="22"/>
        </w:rPr>
        <w:t>Y CDAT, debe esperar que se cumplan las fechas de vencimientos de estos productos para poder realizar el traslado como adulto, o realizar la cancelación de estos productos, perdiendo así los intereses ganados.</w:t>
      </w:r>
    </w:p>
    <w:p w14:paraId="39705ABF" w14:textId="211613D0" w:rsidR="00890256" w:rsidRDefault="00890256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Por lo anterior, cuando un asociado infantil esté próximo a cumplir los 18 años y desee abrir un producto </w:t>
      </w:r>
      <w:r w:rsidR="00621808" w:rsidRPr="00852BFB">
        <w:rPr>
          <w:rFonts w:ascii="Arial Narrow" w:hAnsi="Arial Narrow"/>
          <w:spacing w:val="-3"/>
          <w:sz w:val="22"/>
          <w:szCs w:val="22"/>
        </w:rPr>
        <w:t>Ahorro Contractual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o CDAT, estos productos se deben aperturar con fecha de vencimiento máximo a la fecha en que el asociado infantil vaya a cumplir los 18 años.</w:t>
      </w:r>
    </w:p>
    <w:p w14:paraId="6702E44F" w14:textId="1EEB6651" w:rsidR="00A84682" w:rsidRPr="00852BFB" w:rsidRDefault="00A84682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color w:val="00B050"/>
          <w:spacing w:val="-3"/>
          <w:sz w:val="22"/>
          <w:szCs w:val="22"/>
        </w:rPr>
        <w:t>Para realizar el traslado de infantil a adulto se acepta</w:t>
      </w:r>
      <w:r w:rsidR="00CE3306">
        <w:rPr>
          <w:rFonts w:ascii="Arial Narrow" w:hAnsi="Arial Narrow"/>
          <w:color w:val="00B050"/>
          <w:spacing w:val="-3"/>
          <w:sz w:val="22"/>
          <w:szCs w:val="22"/>
        </w:rPr>
        <w:t>n contraseña siempre y cuando el asociado infantil como mínimo tenga 2 años de vinculado antes de cumplir la mayoría de edad</w:t>
      </w:r>
      <w:r w:rsidR="00A47B98">
        <w:rPr>
          <w:rFonts w:ascii="Arial Narrow" w:hAnsi="Arial Narrow"/>
          <w:color w:val="00B050"/>
          <w:spacing w:val="-3"/>
          <w:sz w:val="22"/>
          <w:szCs w:val="22"/>
        </w:rPr>
        <w:t>,</w:t>
      </w:r>
      <w:r w:rsidR="00CE3306">
        <w:rPr>
          <w:rFonts w:ascii="Arial Narrow" w:hAnsi="Arial Narrow"/>
          <w:color w:val="00B050"/>
          <w:spacing w:val="-3"/>
          <w:sz w:val="22"/>
          <w:szCs w:val="22"/>
        </w:rPr>
        <w:t xml:space="preserve"> en caso contrario se debe orientar </w:t>
      </w:r>
      <w:r w:rsidR="008D3673">
        <w:rPr>
          <w:rFonts w:ascii="Arial Narrow" w:hAnsi="Arial Narrow"/>
          <w:color w:val="00B050"/>
          <w:spacing w:val="-3"/>
          <w:sz w:val="22"/>
          <w:szCs w:val="22"/>
        </w:rPr>
        <w:t xml:space="preserve">al asociado </w:t>
      </w:r>
      <w:r w:rsidR="00CE3306">
        <w:rPr>
          <w:rFonts w:ascii="Arial Narrow" w:hAnsi="Arial Narrow"/>
          <w:color w:val="00B050"/>
          <w:spacing w:val="-3"/>
          <w:sz w:val="22"/>
          <w:szCs w:val="22"/>
        </w:rPr>
        <w:t xml:space="preserve">que una vez tenga la cedula original se puede realizar el </w:t>
      </w:r>
      <w:r w:rsidR="008D3673">
        <w:rPr>
          <w:rFonts w:ascii="Arial Narrow" w:hAnsi="Arial Narrow"/>
          <w:color w:val="00B050"/>
          <w:spacing w:val="-3"/>
          <w:sz w:val="22"/>
          <w:szCs w:val="22"/>
        </w:rPr>
        <w:t xml:space="preserve">proceso de </w:t>
      </w:r>
      <w:r w:rsidR="00CE3306">
        <w:rPr>
          <w:rFonts w:ascii="Arial Narrow" w:hAnsi="Arial Narrow"/>
          <w:color w:val="00B050"/>
          <w:spacing w:val="-3"/>
          <w:sz w:val="22"/>
          <w:szCs w:val="22"/>
        </w:rPr>
        <w:t>traslado, o en su defecto la aprobación del traslado quedar</w:t>
      </w:r>
      <w:r w:rsidR="00F5784D">
        <w:rPr>
          <w:rFonts w:ascii="Arial Narrow" w:hAnsi="Arial Narrow"/>
          <w:color w:val="00B050"/>
          <w:spacing w:val="-3"/>
          <w:sz w:val="22"/>
          <w:szCs w:val="22"/>
        </w:rPr>
        <w:t xml:space="preserve">a a </w:t>
      </w:r>
      <w:r w:rsidR="009E7344">
        <w:rPr>
          <w:rFonts w:ascii="Arial Narrow" w:hAnsi="Arial Narrow"/>
          <w:color w:val="00B050"/>
          <w:spacing w:val="-3"/>
          <w:sz w:val="22"/>
          <w:szCs w:val="22"/>
        </w:rPr>
        <w:t>potestad</w:t>
      </w:r>
      <w:r w:rsidR="00F5784D">
        <w:rPr>
          <w:rFonts w:ascii="Arial Narrow" w:hAnsi="Arial Narrow"/>
          <w:color w:val="00B050"/>
          <w:spacing w:val="-3"/>
          <w:sz w:val="22"/>
          <w:szCs w:val="22"/>
        </w:rPr>
        <w:t xml:space="preserve"> del Gerente</w:t>
      </w:r>
      <w:r w:rsidR="008D3673">
        <w:rPr>
          <w:rFonts w:ascii="Arial Narrow" w:hAnsi="Arial Narrow"/>
          <w:color w:val="00B050"/>
          <w:spacing w:val="-3"/>
          <w:sz w:val="22"/>
          <w:szCs w:val="22"/>
        </w:rPr>
        <w:t xml:space="preserve"> o Subgerente Administrativo.</w:t>
      </w:r>
    </w:p>
    <w:p w14:paraId="26561CFE" w14:textId="77777777" w:rsidR="003071AA" w:rsidRPr="00852BFB" w:rsidRDefault="003071AA" w:rsidP="00F5784D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50A2FA50" w14:textId="77777777" w:rsidR="003071AA" w:rsidRPr="00852BFB" w:rsidRDefault="003A6C69" w:rsidP="00F5784D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3A6C69">
        <w:rPr>
          <w:rFonts w:ascii="Arial Narrow" w:hAnsi="Arial Narrow"/>
          <w:b/>
          <w:spacing w:val="-3"/>
          <w:sz w:val="22"/>
          <w:szCs w:val="22"/>
        </w:rPr>
        <w:lastRenderedPageBreak/>
        <w:t>DESCRIPCIÓN DE ACTIVIDADES</w:t>
      </w:r>
      <w:r w:rsidR="003071AA" w:rsidRPr="00852BFB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769B831" w14:textId="77777777" w:rsidR="00CF120E" w:rsidRPr="00852BFB" w:rsidRDefault="00CF120E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DCBDD35" w14:textId="77777777" w:rsidR="00CF120E" w:rsidRPr="00852BFB" w:rsidRDefault="00852BFB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20F216F1" w14:textId="77777777" w:rsidR="00CF120E" w:rsidRPr="00852BFB" w:rsidRDefault="00CF120E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266E97B" w14:textId="77777777" w:rsidR="00852BFB" w:rsidRPr="00852BFB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Una vez se acerque el asociado a la Cooperativa, </w:t>
      </w:r>
      <w:r w:rsidR="00852BFB" w:rsidRPr="00852BFB">
        <w:rPr>
          <w:rFonts w:ascii="Arial Narrow" w:hAnsi="Arial Narrow"/>
          <w:spacing w:val="-3"/>
          <w:sz w:val="22"/>
          <w:szCs w:val="22"/>
        </w:rPr>
        <w:t>verifica el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estado de aportes a la fecha y le informa al asociado. </w:t>
      </w:r>
      <w:r w:rsidR="00852BFB" w:rsidRPr="00852BFB">
        <w:rPr>
          <w:rFonts w:ascii="Arial Narrow" w:hAnsi="Arial Narrow"/>
          <w:spacing w:val="-3"/>
          <w:sz w:val="22"/>
          <w:szCs w:val="22"/>
        </w:rPr>
        <w:t>En caso de que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se encuentre atrasado en aportes, debe ponerse al día para realizar el traslado a la sección de adulto. </w:t>
      </w:r>
    </w:p>
    <w:p w14:paraId="4117C390" w14:textId="77777777" w:rsidR="00CF120E" w:rsidRPr="00852BFB" w:rsidRDefault="00852BFB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En caso de que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no pueda ponerse al día en los aportes y quiera continuar vinculado a la Cooperativa se deberá realizar el retiro de asociado infantil y luego la vinculación como asociado adulto perdiendo la antigüedad. </w:t>
      </w:r>
    </w:p>
    <w:p w14:paraId="47B647C7" w14:textId="77777777" w:rsidR="00CF120E" w:rsidRPr="00852BFB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Determina con la persona si desea continuar o no como asociado. Si la determinación es No, procede a realizar el proceso de retiro de asociado descrito en la norma </w:t>
      </w:r>
      <w:r w:rsidRPr="00852BFB">
        <w:rPr>
          <w:rFonts w:ascii="Arial Narrow" w:hAnsi="Arial Narrow"/>
          <w:b/>
          <w:spacing w:val="-3"/>
          <w:sz w:val="22"/>
          <w:szCs w:val="22"/>
        </w:rPr>
        <w:t>AS-P-</w:t>
      </w:r>
      <w:r w:rsidR="00852BFB" w:rsidRPr="00852BFB">
        <w:rPr>
          <w:rFonts w:ascii="Arial Narrow" w:hAnsi="Arial Narrow"/>
          <w:b/>
          <w:spacing w:val="-3"/>
          <w:sz w:val="22"/>
          <w:szCs w:val="22"/>
        </w:rPr>
        <w:t>002 Retiro de Asociado</w:t>
      </w:r>
      <w:r w:rsidRPr="00852BFB">
        <w:rPr>
          <w:rFonts w:ascii="Arial Narrow" w:hAnsi="Arial Narrow"/>
          <w:spacing w:val="-3"/>
          <w:sz w:val="22"/>
          <w:szCs w:val="22"/>
        </w:rPr>
        <w:t>.</w:t>
      </w:r>
    </w:p>
    <w:p w14:paraId="36EC6D51" w14:textId="77777777" w:rsidR="00CF120E" w:rsidRPr="00852BFB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se encuentra atrasado en aportes sociales y desea continuar vinculado a la cooperativa, primero se debe hacer el retiro del asociado </w:t>
      </w:r>
      <w:r w:rsidR="001F347D" w:rsidRPr="00852BFB">
        <w:rPr>
          <w:rFonts w:ascii="Arial Narrow" w:hAnsi="Arial Narrow"/>
          <w:spacing w:val="-3"/>
          <w:sz w:val="22"/>
          <w:szCs w:val="22"/>
        </w:rPr>
        <w:t>infantil y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posteriormente se vincula como asociado adulto</w:t>
      </w:r>
      <w:r w:rsidR="00370DA7">
        <w:rPr>
          <w:rFonts w:ascii="Arial Narrow" w:hAnsi="Arial Narrow"/>
          <w:spacing w:val="-3"/>
          <w:sz w:val="22"/>
          <w:szCs w:val="22"/>
        </w:rPr>
        <w:t xml:space="preserve">, </w:t>
      </w:r>
      <w:r w:rsidRPr="00852BFB">
        <w:rPr>
          <w:rFonts w:ascii="Arial Narrow" w:hAnsi="Arial Narrow"/>
          <w:spacing w:val="-3"/>
          <w:sz w:val="22"/>
          <w:szCs w:val="22"/>
        </w:rPr>
        <w:t>perdiendo la antigüedad que traía como asociado infantil</w:t>
      </w:r>
    </w:p>
    <w:p w14:paraId="272A95F8" w14:textId="77777777" w:rsidR="00CF120E" w:rsidRPr="00852BFB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>Si la determinación es continuar como asociado y se encuentra al día en aportes, le solicita fotocopia de la cédula y/o contraseña, y la libreta de ahorros infantil.</w:t>
      </w:r>
    </w:p>
    <w:p w14:paraId="27C800E5" w14:textId="77777777" w:rsidR="00CF120E" w:rsidRPr="00852BFB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852BFB">
        <w:rPr>
          <w:rFonts w:ascii="Arial Narrow" w:hAnsi="Arial Narrow"/>
          <w:spacing w:val="-3"/>
          <w:sz w:val="22"/>
          <w:szCs w:val="22"/>
        </w:rPr>
        <w:t xml:space="preserve">Si el asociado infantil tiene productos </w:t>
      </w:r>
      <w:r w:rsidR="001F347D">
        <w:rPr>
          <w:rFonts w:ascii="Arial Narrow" w:hAnsi="Arial Narrow"/>
          <w:spacing w:val="-3"/>
          <w:sz w:val="22"/>
          <w:szCs w:val="22"/>
        </w:rPr>
        <w:t>Ahorro Contractual</w:t>
      </w:r>
      <w:r w:rsidRPr="00852BFB">
        <w:rPr>
          <w:rFonts w:ascii="Arial Narrow" w:hAnsi="Arial Narrow"/>
          <w:spacing w:val="-3"/>
          <w:sz w:val="22"/>
          <w:szCs w:val="22"/>
        </w:rPr>
        <w:t xml:space="preserve"> o CDAT, debe presentar original de éstos, para poder realizar el traslado a adulto.</w:t>
      </w:r>
    </w:p>
    <w:p w14:paraId="3ED714B4" w14:textId="77777777" w:rsidR="00CF120E" w:rsidRDefault="000518DF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Se carga la in</w:t>
      </w:r>
      <w:r w:rsidR="00CF120E" w:rsidRPr="00852BFB">
        <w:rPr>
          <w:rFonts w:ascii="Arial Narrow" w:hAnsi="Arial Narrow"/>
          <w:spacing w:val="-3"/>
          <w:sz w:val="22"/>
          <w:szCs w:val="22"/>
        </w:rPr>
        <w:t>formación del asociado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como </w:t>
      </w:r>
      <w:r w:rsidR="00E24C95">
        <w:rPr>
          <w:rFonts w:ascii="Arial Narrow" w:hAnsi="Arial Narrow"/>
          <w:spacing w:val="-3"/>
          <w:sz w:val="22"/>
          <w:szCs w:val="22"/>
        </w:rPr>
        <w:t>adulto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</w:t>
      </w:r>
      <w:r w:rsidR="00E24C95">
        <w:rPr>
          <w:rFonts w:ascii="Arial Narrow" w:hAnsi="Arial Narrow"/>
          <w:spacing w:val="-3"/>
          <w:sz w:val="22"/>
          <w:szCs w:val="22"/>
        </w:rPr>
        <w:t>y realiza los pasos descrito en el procedimiento AS-P-</w:t>
      </w:r>
      <w:r>
        <w:rPr>
          <w:rFonts w:ascii="Arial Narrow" w:hAnsi="Arial Narrow"/>
          <w:spacing w:val="-3"/>
          <w:sz w:val="22"/>
          <w:szCs w:val="22"/>
        </w:rPr>
        <w:t xml:space="preserve"> </w:t>
      </w:r>
      <w:r w:rsidR="00E24C95">
        <w:rPr>
          <w:rFonts w:ascii="Arial Narrow" w:hAnsi="Arial Narrow"/>
          <w:spacing w:val="-3"/>
          <w:sz w:val="22"/>
          <w:szCs w:val="22"/>
        </w:rPr>
        <w:t xml:space="preserve">001, </w:t>
      </w:r>
      <w:r w:rsidR="00CF120E" w:rsidRPr="00852BFB">
        <w:rPr>
          <w:rFonts w:ascii="Arial Narrow" w:hAnsi="Arial Narrow"/>
          <w:spacing w:val="-3"/>
          <w:sz w:val="22"/>
          <w:szCs w:val="22"/>
        </w:rPr>
        <w:t>imprime el formato AS-F-</w:t>
      </w:r>
      <w:r w:rsidR="00AB7D29">
        <w:rPr>
          <w:rFonts w:ascii="Arial Narrow" w:hAnsi="Arial Narrow"/>
          <w:spacing w:val="-3"/>
          <w:sz w:val="22"/>
          <w:szCs w:val="22"/>
        </w:rPr>
        <w:t>0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01 para ser firmado por el </w:t>
      </w:r>
      <w:r w:rsidR="00AB7D29" w:rsidRPr="00852BFB">
        <w:rPr>
          <w:rFonts w:ascii="Arial Narrow" w:hAnsi="Arial Narrow"/>
          <w:spacing w:val="-3"/>
          <w:sz w:val="22"/>
          <w:szCs w:val="22"/>
        </w:rPr>
        <w:t>asociado y</w:t>
      </w:r>
      <w:r w:rsidR="00CF120E" w:rsidRPr="00852BFB">
        <w:rPr>
          <w:rFonts w:ascii="Arial Narrow" w:hAnsi="Arial Narrow"/>
          <w:spacing w:val="-3"/>
          <w:sz w:val="22"/>
          <w:szCs w:val="22"/>
        </w:rPr>
        <w:t xml:space="preserve"> tomar huella. </w:t>
      </w:r>
    </w:p>
    <w:p w14:paraId="5C420A1E" w14:textId="77777777" w:rsidR="00F53B63" w:rsidRDefault="00F53B63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C8AFABC" w14:textId="77777777" w:rsidR="00E24C95" w:rsidRPr="00E24C95" w:rsidRDefault="00E24C95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E24C95">
        <w:rPr>
          <w:rFonts w:ascii="Arial Narrow" w:hAnsi="Arial Narrow"/>
          <w:b/>
          <w:spacing w:val="-3"/>
          <w:sz w:val="22"/>
          <w:szCs w:val="22"/>
        </w:rPr>
        <w:t>Apertura de Cuentas</w:t>
      </w:r>
    </w:p>
    <w:p w14:paraId="2AC1F655" w14:textId="77777777" w:rsidR="00E24C95" w:rsidRDefault="00E24C95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E13F46A" w14:textId="77777777" w:rsidR="00E24C95" w:rsidRPr="00852BFB" w:rsidRDefault="00E24C95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0E948909" w14:textId="77777777" w:rsidR="00E24C95" w:rsidRPr="00852BFB" w:rsidRDefault="00E24C95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359E1ED" w14:textId="77777777" w:rsidR="00E24C95" w:rsidRDefault="00E24C95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Entrega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el formato AS-F-001, copia de la cedula de </w:t>
      </w:r>
      <w:r>
        <w:rPr>
          <w:rFonts w:ascii="Arial Narrow" w:hAnsi="Arial Narrow"/>
          <w:spacing w:val="-3"/>
          <w:sz w:val="22"/>
          <w:szCs w:val="22"/>
        </w:rPr>
        <w:t>ciudadanía</w:t>
      </w:r>
      <w:r w:rsidR="0048602C">
        <w:rPr>
          <w:rFonts w:ascii="Arial Narrow" w:hAnsi="Arial Narrow"/>
          <w:spacing w:val="-3"/>
          <w:sz w:val="22"/>
          <w:szCs w:val="22"/>
        </w:rPr>
        <w:t xml:space="preserve"> o contraseña</w:t>
      </w:r>
      <w:r>
        <w:rPr>
          <w:rFonts w:ascii="Arial Narrow" w:hAnsi="Arial Narrow"/>
          <w:spacing w:val="-3"/>
          <w:sz w:val="22"/>
          <w:szCs w:val="22"/>
        </w:rPr>
        <w:t xml:space="preserve"> y el formato AS-F-00 al área de tesorería para que se realice por nota contable la cancelación de las cuentas como infantil y la apertura de las cuentas como adulto.</w:t>
      </w:r>
    </w:p>
    <w:p w14:paraId="5A3D421F" w14:textId="77777777" w:rsidR="00D7526A" w:rsidRDefault="00D7526A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B1E975E" w14:textId="77777777" w:rsidR="00D7526A" w:rsidRPr="00D7526A" w:rsidRDefault="00D7526A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D7526A">
        <w:rPr>
          <w:rFonts w:ascii="Arial Narrow" w:hAnsi="Arial Narrow"/>
          <w:b/>
          <w:spacing w:val="-3"/>
          <w:sz w:val="22"/>
          <w:szCs w:val="22"/>
        </w:rPr>
        <w:t>Área de Tesorer</w:t>
      </w:r>
      <w:r>
        <w:rPr>
          <w:rFonts w:ascii="Arial Narrow" w:hAnsi="Arial Narrow"/>
          <w:b/>
          <w:spacing w:val="-3"/>
          <w:sz w:val="22"/>
          <w:szCs w:val="22"/>
        </w:rPr>
        <w:t>ía</w:t>
      </w:r>
    </w:p>
    <w:p w14:paraId="5FA1F7DE" w14:textId="77777777" w:rsidR="00D7526A" w:rsidRDefault="00D7526A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3AEF044" w14:textId="77777777" w:rsidR="00D7526A" w:rsidRDefault="00D7526A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Recibe la documentación</w:t>
      </w:r>
      <w:r w:rsidR="004E1319">
        <w:rPr>
          <w:rFonts w:ascii="Arial Narrow" w:hAnsi="Arial Narrow"/>
          <w:spacing w:val="-3"/>
          <w:sz w:val="22"/>
          <w:szCs w:val="22"/>
        </w:rPr>
        <w:t>, verifica que los datos del asociado estén correctos en el Software, que las cuentas como infantil no presenten bloqueo o estado inactivo y que este al día en aportes sociales.</w:t>
      </w:r>
    </w:p>
    <w:p w14:paraId="49443AC4" w14:textId="77777777" w:rsidR="004E1319" w:rsidRDefault="004E1319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Proceded a realizar la nota </w:t>
      </w:r>
      <w:r w:rsidR="002B371F">
        <w:rPr>
          <w:rFonts w:ascii="Arial Narrow" w:hAnsi="Arial Narrow"/>
          <w:spacing w:val="-3"/>
          <w:sz w:val="22"/>
          <w:szCs w:val="22"/>
        </w:rPr>
        <w:t>contable de traslado cancelando las cuentas infantiles y aperturando las cuentas como adulto.</w:t>
      </w:r>
    </w:p>
    <w:p w14:paraId="598F57C7" w14:textId="77777777" w:rsidR="002B371F" w:rsidRDefault="002B371F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Entrega la documentación y copia de la nota contable al funcionario encargado para que realice </w:t>
      </w:r>
      <w:r w:rsidR="00243222">
        <w:rPr>
          <w:rFonts w:ascii="Arial Narrow" w:hAnsi="Arial Narrow"/>
          <w:spacing w:val="-3"/>
          <w:sz w:val="22"/>
          <w:szCs w:val="22"/>
        </w:rPr>
        <w:t>la actualización de la fecha de vinculación.</w:t>
      </w:r>
    </w:p>
    <w:p w14:paraId="6B2760AE" w14:textId="77777777" w:rsidR="00243222" w:rsidRDefault="00243222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0B4E8EC" w14:textId="77777777" w:rsidR="00243222" w:rsidRPr="00243222" w:rsidRDefault="00243222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243222">
        <w:rPr>
          <w:rFonts w:ascii="Arial Narrow" w:hAnsi="Arial Narrow"/>
          <w:b/>
          <w:spacing w:val="-3"/>
          <w:sz w:val="22"/>
          <w:szCs w:val="22"/>
        </w:rPr>
        <w:t xml:space="preserve">Actualización fecha de vinculación </w:t>
      </w:r>
    </w:p>
    <w:p w14:paraId="17588D5D" w14:textId="77777777" w:rsidR="00243222" w:rsidRDefault="00243222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B33E447" w14:textId="77777777" w:rsidR="00243222" w:rsidRPr="00852BFB" w:rsidRDefault="00243222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50C95A2C" w14:textId="77777777" w:rsidR="00243222" w:rsidRDefault="00243222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79536C7" w14:textId="77777777" w:rsidR="00243222" w:rsidRDefault="00243222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Recibe la documentación junto con la copia de la nota de traslado, adjunta el formato de vinculación como infantil y se dirige al área de contabilidad para que se proceda a </w:t>
      </w:r>
      <w:r w:rsidR="0030358E">
        <w:rPr>
          <w:rFonts w:ascii="Arial Narrow" w:hAnsi="Arial Narrow"/>
          <w:spacing w:val="-3"/>
          <w:sz w:val="22"/>
          <w:szCs w:val="22"/>
        </w:rPr>
        <w:t>actualizar</w:t>
      </w:r>
      <w:r>
        <w:rPr>
          <w:rFonts w:ascii="Arial Narrow" w:hAnsi="Arial Narrow"/>
          <w:spacing w:val="-3"/>
          <w:sz w:val="22"/>
          <w:szCs w:val="22"/>
        </w:rPr>
        <w:t xml:space="preserve"> la fecha de vinculación del asociado.</w:t>
      </w:r>
    </w:p>
    <w:p w14:paraId="1263669C" w14:textId="77777777" w:rsidR="0030358E" w:rsidRDefault="0030358E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A641AE2" w14:textId="77777777" w:rsidR="0030358E" w:rsidRPr="006A3D85" w:rsidRDefault="0030358E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6A3D85">
        <w:rPr>
          <w:rFonts w:ascii="Arial Narrow" w:hAnsi="Arial Narrow"/>
          <w:b/>
          <w:spacing w:val="-3"/>
          <w:sz w:val="22"/>
          <w:szCs w:val="22"/>
        </w:rPr>
        <w:t>Área de Contabilidad</w:t>
      </w:r>
    </w:p>
    <w:p w14:paraId="3D680A06" w14:textId="77777777" w:rsidR="00D7526A" w:rsidRDefault="00D7526A" w:rsidP="00F5784D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5B554B50" w14:textId="77777777" w:rsidR="0030358E" w:rsidRDefault="0030358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lastRenderedPageBreak/>
        <w:t>Recibe la documentación verifica que este correctamente creado el asociado, que los datos del asociad y la nota de traslado estén correctos y procede a realizar la actualización de la fecha de vinculación.</w:t>
      </w:r>
    </w:p>
    <w:p w14:paraId="723732AC" w14:textId="77777777" w:rsidR="0030358E" w:rsidRDefault="0030358E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Una vez realizada la actualización, entrega la documentación al funcionario encargado para que </w:t>
      </w:r>
      <w:r w:rsidR="00F1754E">
        <w:rPr>
          <w:rFonts w:ascii="Arial Narrow" w:hAnsi="Arial Narrow"/>
          <w:spacing w:val="-3"/>
          <w:sz w:val="22"/>
          <w:szCs w:val="22"/>
        </w:rPr>
        <w:t>finalice</w:t>
      </w:r>
      <w:r w:rsidR="006A3D85">
        <w:rPr>
          <w:rFonts w:ascii="Arial Narrow" w:hAnsi="Arial Narrow"/>
          <w:spacing w:val="-3"/>
          <w:sz w:val="22"/>
          <w:szCs w:val="22"/>
        </w:rPr>
        <w:t xml:space="preserve"> el trámite de traslado</w:t>
      </w:r>
    </w:p>
    <w:p w14:paraId="4A9FDEEE" w14:textId="77777777" w:rsidR="006A3D85" w:rsidRDefault="006A3D85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2382068" w14:textId="77777777" w:rsidR="006A3D85" w:rsidRPr="00852BFB" w:rsidRDefault="006A3D85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852BFB">
        <w:rPr>
          <w:rFonts w:ascii="Arial Narrow" w:hAnsi="Arial Narrow"/>
          <w:b/>
          <w:spacing w:val="-3"/>
          <w:sz w:val="22"/>
          <w:szCs w:val="22"/>
        </w:rPr>
        <w:t>Funcionario De La Agencia Encargado Del Traslado De Asociados Infantil A Adulto.</w:t>
      </w:r>
    </w:p>
    <w:p w14:paraId="6E402EB7" w14:textId="77777777" w:rsidR="0030358E" w:rsidRDefault="0030358E" w:rsidP="00F5784D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F4D02EA" w14:textId="77777777" w:rsidR="00CF120E" w:rsidRPr="0048602C" w:rsidRDefault="00E24C95" w:rsidP="00F5784D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El</w:t>
      </w:r>
      <w:r w:rsidR="00CF120E" w:rsidRPr="0048602C">
        <w:rPr>
          <w:rFonts w:ascii="Arial Narrow" w:hAnsi="Arial Narrow"/>
          <w:spacing w:val="-3"/>
          <w:sz w:val="22"/>
          <w:szCs w:val="22"/>
        </w:rPr>
        <w:t xml:space="preserve"> formato </w:t>
      </w:r>
      <w:r w:rsidR="00CF120E" w:rsidRPr="00EB34D9">
        <w:rPr>
          <w:rFonts w:ascii="Arial Narrow" w:hAnsi="Arial Narrow"/>
          <w:b/>
          <w:spacing w:val="-3"/>
          <w:sz w:val="22"/>
          <w:szCs w:val="22"/>
        </w:rPr>
        <w:t>AS-F-</w:t>
      </w:r>
      <w:r w:rsidR="00AB7D29" w:rsidRPr="00EB34D9">
        <w:rPr>
          <w:rFonts w:ascii="Arial Narrow" w:hAnsi="Arial Narrow"/>
          <w:b/>
          <w:spacing w:val="-3"/>
          <w:sz w:val="22"/>
          <w:szCs w:val="22"/>
        </w:rPr>
        <w:t>0</w:t>
      </w:r>
      <w:r w:rsidR="00CF120E" w:rsidRPr="00EB34D9">
        <w:rPr>
          <w:rFonts w:ascii="Arial Narrow" w:hAnsi="Arial Narrow"/>
          <w:b/>
          <w:spacing w:val="-3"/>
          <w:sz w:val="22"/>
          <w:szCs w:val="22"/>
        </w:rPr>
        <w:t>01</w:t>
      </w:r>
      <w:r w:rsidR="00CF120E" w:rsidRPr="0048602C">
        <w:rPr>
          <w:rFonts w:ascii="Arial Narrow" w:hAnsi="Arial Narrow"/>
          <w:spacing w:val="-3"/>
          <w:sz w:val="22"/>
          <w:szCs w:val="22"/>
        </w:rPr>
        <w:t xml:space="preserve"> se archiva junto con la tarjeta de firmas de asociado infantil en la carpeta comercial del asociado adulto.</w:t>
      </w:r>
    </w:p>
    <w:p w14:paraId="38759C28" w14:textId="77777777" w:rsidR="00CF120E" w:rsidRPr="00A25AF6" w:rsidRDefault="00CF120E" w:rsidP="00F5784D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6A3D85">
        <w:rPr>
          <w:rFonts w:ascii="Arial Narrow" w:hAnsi="Arial Narrow"/>
          <w:spacing w:val="-3"/>
          <w:sz w:val="22"/>
          <w:szCs w:val="22"/>
        </w:rPr>
        <w:t>Una vez se realice el traslado informa al</w:t>
      </w:r>
      <w:r w:rsidR="006A3D85" w:rsidRPr="006A3D85">
        <w:rPr>
          <w:rFonts w:ascii="Arial Narrow" w:hAnsi="Arial Narrow"/>
          <w:spacing w:val="-3"/>
          <w:sz w:val="22"/>
          <w:szCs w:val="22"/>
        </w:rPr>
        <w:t xml:space="preserve"> asociado los trámites </w:t>
      </w:r>
      <w:r w:rsidRPr="006A3D85">
        <w:rPr>
          <w:rFonts w:ascii="Arial Narrow" w:hAnsi="Arial Narrow"/>
          <w:spacing w:val="-3"/>
          <w:sz w:val="22"/>
          <w:szCs w:val="22"/>
        </w:rPr>
        <w:t xml:space="preserve">para que </w:t>
      </w:r>
      <w:r w:rsidR="006A3D85" w:rsidRPr="006A3D85">
        <w:rPr>
          <w:rFonts w:ascii="Arial Narrow" w:hAnsi="Arial Narrow"/>
          <w:spacing w:val="-3"/>
          <w:sz w:val="22"/>
          <w:szCs w:val="22"/>
        </w:rPr>
        <w:t xml:space="preserve">se le </w:t>
      </w:r>
      <w:r w:rsidRPr="006A3D85">
        <w:rPr>
          <w:rFonts w:ascii="Arial Narrow" w:hAnsi="Arial Narrow"/>
          <w:spacing w:val="-3"/>
          <w:sz w:val="22"/>
          <w:szCs w:val="22"/>
        </w:rPr>
        <w:t>asigne la libreta o tarjeta débito</w:t>
      </w:r>
      <w:r w:rsidR="006A3D85">
        <w:rPr>
          <w:rFonts w:ascii="Arial Narrow" w:hAnsi="Arial Narrow"/>
          <w:spacing w:val="-3"/>
          <w:sz w:val="22"/>
          <w:szCs w:val="22"/>
        </w:rPr>
        <w:t xml:space="preserve"> y finalizar con el proceso.</w:t>
      </w:r>
    </w:p>
    <w:p w14:paraId="12F47982" w14:textId="77777777" w:rsidR="00A25AF6" w:rsidRPr="00A25AF6" w:rsidRDefault="00A25AF6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5CD7744" w14:textId="77777777" w:rsidR="00F41FA3" w:rsidRPr="00042793" w:rsidRDefault="00F41FA3" w:rsidP="00F41FA3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6654BD5" w14:textId="77777777" w:rsidR="00F41FA3" w:rsidRDefault="00F41FA3" w:rsidP="00F41FA3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71B2C4E" w14:textId="77777777" w:rsidR="00F41FA3" w:rsidRPr="00582D05" w:rsidRDefault="00F41FA3" w:rsidP="00F41FA3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87F84FA" w14:textId="2F1D4017" w:rsidR="00F41FA3" w:rsidRDefault="00F41FA3" w:rsidP="00F41FA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07332C">
        <w:rPr>
          <w:rFonts w:ascii="Arial Narrow" w:hAnsi="Arial Narrow"/>
          <w:b/>
          <w:spacing w:val="-3"/>
          <w:sz w:val="22"/>
          <w:szCs w:val="22"/>
        </w:rPr>
        <w:t>AS-</w:t>
      </w:r>
      <w:r>
        <w:rPr>
          <w:rFonts w:ascii="Arial Narrow" w:hAnsi="Arial Narrow"/>
          <w:b/>
          <w:spacing w:val="-3"/>
          <w:sz w:val="22"/>
          <w:szCs w:val="22"/>
        </w:rPr>
        <w:t>F</w:t>
      </w:r>
      <w:r w:rsidRPr="0007332C">
        <w:rPr>
          <w:rFonts w:ascii="Arial Narrow" w:hAnsi="Arial Narrow"/>
          <w:b/>
          <w:spacing w:val="-3"/>
          <w:sz w:val="22"/>
          <w:szCs w:val="22"/>
        </w:rPr>
        <w:t>-00</w:t>
      </w:r>
      <w:r>
        <w:rPr>
          <w:rFonts w:ascii="Arial Narrow" w:hAnsi="Arial Narrow"/>
          <w:b/>
          <w:spacing w:val="-3"/>
          <w:sz w:val="22"/>
          <w:szCs w:val="22"/>
        </w:rPr>
        <w:t>3</w:t>
      </w:r>
      <w:r w:rsidRPr="0007332C">
        <w:rPr>
          <w:rFonts w:ascii="Arial Narrow" w:hAnsi="Arial Narrow"/>
          <w:b/>
          <w:spacing w:val="-3"/>
          <w:sz w:val="22"/>
          <w:szCs w:val="22"/>
        </w:rPr>
        <w:t xml:space="preserve"> </w:t>
      </w:r>
      <w:r w:rsidRPr="0007332C">
        <w:rPr>
          <w:rFonts w:ascii="Arial Narrow" w:hAnsi="Arial Narrow"/>
          <w:spacing w:val="-3"/>
          <w:sz w:val="22"/>
          <w:szCs w:val="22"/>
        </w:rPr>
        <w:t>Retiro de Asociado</w:t>
      </w:r>
    </w:p>
    <w:p w14:paraId="103080F5" w14:textId="77777777" w:rsidR="00F41FA3" w:rsidRPr="0007332C" w:rsidRDefault="00F41FA3" w:rsidP="00F41FA3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47E634F0" w14:textId="77777777" w:rsidR="00A25AF6" w:rsidRPr="002805F0" w:rsidRDefault="00A25AF6" w:rsidP="00F5784D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805F0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6589A451" w14:textId="77777777" w:rsidR="00A25AF6" w:rsidRPr="002805F0" w:rsidRDefault="00A25AF6" w:rsidP="00F5784D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A25AF6" w:rsidRPr="00F41FA3" w14:paraId="1C043C22" w14:textId="77777777" w:rsidTr="00F41FA3">
        <w:trPr>
          <w:trHeight w:val="67"/>
        </w:trPr>
        <w:tc>
          <w:tcPr>
            <w:tcW w:w="992" w:type="pct"/>
            <w:noWrap/>
            <w:hideMark/>
          </w:tcPr>
          <w:p w14:paraId="6C719C0D" w14:textId="77777777" w:rsidR="00A25AF6" w:rsidRPr="00F41FA3" w:rsidRDefault="00A25AF6" w:rsidP="00F5784D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F41FA3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D7C9CC0" w14:textId="77777777" w:rsidR="00A25AF6" w:rsidRPr="00F41FA3" w:rsidRDefault="00A25AF6" w:rsidP="00F5784D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0965FAC" w14:textId="77777777" w:rsidR="00A25AF6" w:rsidRPr="00F41FA3" w:rsidRDefault="00A25AF6" w:rsidP="00F5784D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73E10EDD" w14:textId="77777777" w:rsidR="00A25AF6" w:rsidRPr="00F41FA3" w:rsidRDefault="00A25AF6" w:rsidP="00F5784D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A25AF6" w:rsidRPr="00F41FA3" w14:paraId="2D24B86D" w14:textId="77777777" w:rsidTr="00F41FA3">
        <w:trPr>
          <w:trHeight w:val="77"/>
        </w:trPr>
        <w:tc>
          <w:tcPr>
            <w:tcW w:w="992" w:type="pct"/>
            <w:noWrap/>
            <w:vAlign w:val="center"/>
            <w:hideMark/>
          </w:tcPr>
          <w:p w14:paraId="6983A3F7" w14:textId="77777777" w:rsidR="00A25AF6" w:rsidRPr="00F41FA3" w:rsidRDefault="00A25AF6" w:rsidP="007B53D7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vAlign w:val="center"/>
            <w:hideMark/>
          </w:tcPr>
          <w:p w14:paraId="7A361CBC" w14:textId="77777777" w:rsidR="00A25AF6" w:rsidRPr="00F41FA3" w:rsidRDefault="00A25AF6" w:rsidP="007B53D7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1424" w:type="pct"/>
            <w:noWrap/>
            <w:vAlign w:val="center"/>
            <w:hideMark/>
          </w:tcPr>
          <w:p w14:paraId="08F9489E" w14:textId="77777777" w:rsidR="00A25AF6" w:rsidRPr="00F41FA3" w:rsidRDefault="00A25AF6" w:rsidP="007B53D7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vAlign w:val="center"/>
            <w:hideMark/>
          </w:tcPr>
          <w:p w14:paraId="5E6393AA" w14:textId="77777777" w:rsidR="00A25AF6" w:rsidRPr="00F41FA3" w:rsidRDefault="00A25AF6" w:rsidP="007B53D7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tr w:rsidR="007B53D7" w:rsidRPr="00F41FA3" w14:paraId="0568C9A0" w14:textId="77777777" w:rsidTr="00F41FA3">
        <w:trPr>
          <w:trHeight w:val="67"/>
        </w:trPr>
        <w:tc>
          <w:tcPr>
            <w:tcW w:w="992" w:type="pct"/>
            <w:vAlign w:val="center"/>
          </w:tcPr>
          <w:p w14:paraId="7B88A5C0" w14:textId="36F4C5FA" w:rsidR="007B53D7" w:rsidRPr="00F41FA3" w:rsidRDefault="007B53D7" w:rsidP="007B53D7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F41FA3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341" w:type="pct"/>
            <w:vAlign w:val="center"/>
          </w:tcPr>
          <w:p w14:paraId="444BA5B8" w14:textId="536FADDF" w:rsidR="007B53D7" w:rsidRPr="00F41FA3" w:rsidRDefault="007B53D7" w:rsidP="007B53D7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F41FA3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18/06/2019</w:t>
            </w:r>
          </w:p>
        </w:tc>
        <w:tc>
          <w:tcPr>
            <w:tcW w:w="1424" w:type="pct"/>
            <w:vAlign w:val="center"/>
          </w:tcPr>
          <w:p w14:paraId="25215E22" w14:textId="22295074" w:rsidR="007B53D7" w:rsidRPr="00F41FA3" w:rsidRDefault="007B53D7" w:rsidP="007B53D7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F41FA3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Se adiciono el numeral 6.5</w:t>
            </w:r>
          </w:p>
        </w:tc>
        <w:tc>
          <w:tcPr>
            <w:tcW w:w="1243" w:type="pct"/>
            <w:vAlign w:val="center"/>
          </w:tcPr>
          <w:p w14:paraId="0C251379" w14:textId="6FBEFE34" w:rsidR="007B53D7" w:rsidRPr="00F41FA3" w:rsidRDefault="007B53D7" w:rsidP="007B53D7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s-CO"/>
              </w:rPr>
            </w:pPr>
            <w:r w:rsidRPr="00F41FA3">
              <w:rPr>
                <w:rFonts w:ascii="Arial Narrow" w:hAnsi="Arial Narrow"/>
                <w:bCs/>
                <w:color w:val="00B050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</w:tbl>
    <w:p w14:paraId="75E45C9D" w14:textId="77777777" w:rsidR="00A25AF6" w:rsidRPr="006A3D85" w:rsidRDefault="00A25AF6" w:rsidP="00F5784D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sectPr w:rsidR="00A25AF6" w:rsidRPr="006A3D85" w:rsidSect="00F41FA3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F82C" w14:textId="77777777" w:rsidR="002A268E" w:rsidRDefault="002A268E">
      <w:r>
        <w:separator/>
      </w:r>
    </w:p>
  </w:endnote>
  <w:endnote w:type="continuationSeparator" w:id="0">
    <w:p w14:paraId="31BA799C" w14:textId="77777777" w:rsidR="002A268E" w:rsidRDefault="002A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2785" w14:textId="789C1746" w:rsidR="00F41FA3" w:rsidRDefault="00F41FA3" w:rsidP="00F41FA3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0044" w14:textId="77777777" w:rsidR="002A268E" w:rsidRDefault="002A268E">
      <w:r>
        <w:separator/>
      </w:r>
    </w:p>
  </w:footnote>
  <w:footnote w:type="continuationSeparator" w:id="0">
    <w:p w14:paraId="676EA9A5" w14:textId="77777777" w:rsidR="002A268E" w:rsidRDefault="002A2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09"/>
      <w:gridCol w:w="827"/>
      <w:gridCol w:w="991"/>
      <w:gridCol w:w="866"/>
      <w:gridCol w:w="325"/>
      <w:gridCol w:w="905"/>
      <w:gridCol w:w="1098"/>
      <w:gridCol w:w="789"/>
      <w:gridCol w:w="842"/>
    </w:tblGrid>
    <w:tr w:rsidR="008F45FB" w:rsidRPr="00F41FA3" w14:paraId="3ED80A21" w14:textId="77777777" w:rsidTr="00A94172">
      <w:trPr>
        <w:trHeight w:val="56"/>
      </w:trPr>
      <w:tc>
        <w:tcPr>
          <w:tcW w:w="1448" w:type="pct"/>
          <w:vMerge w:val="restart"/>
          <w:noWrap/>
          <w:vAlign w:val="center"/>
          <w:hideMark/>
        </w:tcPr>
        <w:p w14:paraId="3B367B09" w14:textId="77777777" w:rsidR="008F45FB" w:rsidRPr="00F41FA3" w:rsidRDefault="008F45FB" w:rsidP="008F45FB">
          <w:pPr>
            <w:rPr>
              <w:rFonts w:ascii="Arial Narrow" w:hAnsi="Arial Narrow"/>
              <w:sz w:val="18"/>
              <w:szCs w:val="18"/>
            </w:rPr>
          </w:pPr>
          <w:r w:rsidRPr="00F41FA3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00A24616" wp14:editId="6C677D47">
                <wp:simplePos x="0" y="0"/>
                <wp:positionH relativeFrom="column">
                  <wp:posOffset>-44450</wp:posOffset>
                </wp:positionH>
                <wp:positionV relativeFrom="paragraph">
                  <wp:posOffset>-48895</wp:posOffset>
                </wp:positionV>
                <wp:extent cx="1480185" cy="308610"/>
                <wp:effectExtent l="0" t="0" r="5715" b="0"/>
                <wp:wrapSquare wrapText="bothSides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08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341AED93" w14:textId="77777777" w:rsidR="008F45FB" w:rsidRPr="00F41FA3" w:rsidRDefault="008F45FB" w:rsidP="008F45F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80" w:type="pct"/>
          <w:gridSpan w:val="6"/>
          <w:vAlign w:val="center"/>
        </w:tcPr>
        <w:p w14:paraId="0818EA10" w14:textId="77777777" w:rsidR="008F45FB" w:rsidRPr="00F41FA3" w:rsidRDefault="008F45FB" w:rsidP="008F45F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8F45FB" w:rsidRPr="00F41FA3" w14:paraId="721CC013" w14:textId="77777777" w:rsidTr="00A94172">
      <w:trPr>
        <w:trHeight w:val="56"/>
      </w:trPr>
      <w:tc>
        <w:tcPr>
          <w:tcW w:w="1448" w:type="pct"/>
          <w:vMerge/>
          <w:noWrap/>
          <w:vAlign w:val="center"/>
        </w:tcPr>
        <w:p w14:paraId="0109752D" w14:textId="77777777" w:rsidR="008F45FB" w:rsidRPr="00F41FA3" w:rsidRDefault="008F45FB" w:rsidP="008F45FB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2E0E303" w14:textId="77777777" w:rsidR="008F45FB" w:rsidRPr="00F41FA3" w:rsidRDefault="008F45FB" w:rsidP="008F45F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41FA3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80" w:type="pct"/>
          <w:gridSpan w:val="6"/>
          <w:vAlign w:val="center"/>
        </w:tcPr>
        <w:p w14:paraId="6871D59C" w14:textId="77777777" w:rsidR="008F45FB" w:rsidRPr="00F41FA3" w:rsidRDefault="008F45FB" w:rsidP="008F45F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41FA3">
            <w:rPr>
              <w:rFonts w:ascii="Arial Narrow" w:hAnsi="Arial Narrow"/>
              <w:b/>
              <w:sz w:val="18"/>
              <w:szCs w:val="18"/>
              <w:lang w:eastAsia="en-US"/>
            </w:rPr>
            <w:t>TRASLADO DE INFANTIL A ADULTO</w:t>
          </w:r>
        </w:p>
      </w:tc>
    </w:tr>
    <w:tr w:rsidR="008F45FB" w:rsidRPr="00F41FA3" w14:paraId="13EF96D1" w14:textId="77777777" w:rsidTr="00A94172">
      <w:trPr>
        <w:trHeight w:val="212"/>
      </w:trPr>
      <w:tc>
        <w:tcPr>
          <w:tcW w:w="1448" w:type="pct"/>
          <w:vMerge/>
          <w:vAlign w:val="center"/>
          <w:hideMark/>
        </w:tcPr>
        <w:p w14:paraId="54018326" w14:textId="77777777" w:rsidR="008F45FB" w:rsidRPr="00F41FA3" w:rsidRDefault="008F45FB" w:rsidP="008F45FB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59113886" w14:textId="77777777" w:rsidR="008F45FB" w:rsidRPr="00F41FA3" w:rsidRDefault="008F45FB" w:rsidP="008F45F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04B23FDB" w14:textId="194BEF3D" w:rsidR="008F45FB" w:rsidRPr="00F41FA3" w:rsidRDefault="008F45FB" w:rsidP="008F45F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41FA3">
            <w:rPr>
              <w:rFonts w:ascii="Arial Narrow" w:hAnsi="Arial Narrow"/>
              <w:b/>
              <w:sz w:val="18"/>
              <w:szCs w:val="18"/>
              <w:lang w:eastAsia="en-US"/>
            </w:rPr>
            <w:t>AS-P</w:t>
          </w:r>
          <w:r w:rsidR="00F60E44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F41FA3">
            <w:rPr>
              <w:rFonts w:ascii="Arial Narrow" w:hAnsi="Arial Narrow"/>
              <w:b/>
              <w:sz w:val="18"/>
              <w:szCs w:val="18"/>
              <w:lang w:eastAsia="en-US"/>
            </w:rPr>
            <w:t>-5</w:t>
          </w:r>
        </w:p>
      </w:tc>
      <w:tc>
        <w:tcPr>
          <w:tcW w:w="463" w:type="pct"/>
          <w:noWrap/>
          <w:vAlign w:val="center"/>
          <w:hideMark/>
        </w:tcPr>
        <w:p w14:paraId="45485980" w14:textId="77777777" w:rsidR="008F45FB" w:rsidRPr="00F41FA3" w:rsidRDefault="008F45FB" w:rsidP="008F45F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039E4C09" w14:textId="0B33D785" w:rsidR="008F45FB" w:rsidRPr="00F41FA3" w:rsidRDefault="007B53D7" w:rsidP="008F45F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6AD7A226" w14:textId="77777777" w:rsidR="008F45FB" w:rsidRPr="00F41FA3" w:rsidRDefault="008F45FB" w:rsidP="008F45F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6D748470" w14:textId="3DB1C8C6" w:rsidR="008F45FB" w:rsidRPr="00F41FA3" w:rsidRDefault="007B53D7" w:rsidP="008F45FB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F41FA3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18/06/</w:t>
          </w:r>
          <w:r w:rsidR="002604F4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20</w:t>
          </w:r>
          <w:r w:rsidRPr="00F41FA3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19</w:t>
          </w:r>
        </w:p>
      </w:tc>
      <w:tc>
        <w:tcPr>
          <w:tcW w:w="422" w:type="pct"/>
          <w:noWrap/>
          <w:vAlign w:val="center"/>
          <w:hideMark/>
        </w:tcPr>
        <w:p w14:paraId="2A09A79D" w14:textId="77777777" w:rsidR="008F45FB" w:rsidRPr="00F41FA3" w:rsidRDefault="008F45FB" w:rsidP="008F45F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41FA3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50" w:type="pct"/>
          <w:noWrap/>
          <w:vAlign w:val="center"/>
          <w:hideMark/>
        </w:tcPr>
        <w:p w14:paraId="4F6FED4E" w14:textId="21313467" w:rsidR="008F45FB" w:rsidRPr="00F41FA3" w:rsidRDefault="008F45FB" w:rsidP="008F45FB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2E12D5" w:rsidRPr="002E12D5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2E12D5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F41FA3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69797C5B" w14:textId="77777777" w:rsidR="008F45FB" w:rsidRPr="00F41FA3" w:rsidRDefault="008F45FB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5"/>
  </w:num>
  <w:num w:numId="8">
    <w:abstractNumId w:val="20"/>
  </w:num>
  <w:num w:numId="9">
    <w:abstractNumId w:val="32"/>
  </w:num>
  <w:num w:numId="10">
    <w:abstractNumId w:val="26"/>
  </w:num>
  <w:num w:numId="11">
    <w:abstractNumId w:val="27"/>
  </w:num>
  <w:num w:numId="12">
    <w:abstractNumId w:val="5"/>
  </w:num>
  <w:num w:numId="13">
    <w:abstractNumId w:val="31"/>
  </w:num>
  <w:num w:numId="14">
    <w:abstractNumId w:val="16"/>
  </w:num>
  <w:num w:numId="15">
    <w:abstractNumId w:val="21"/>
  </w:num>
  <w:num w:numId="16">
    <w:abstractNumId w:val="30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8"/>
  </w:num>
  <w:num w:numId="33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0091"/>
    <w:rsid w:val="00042CF2"/>
    <w:rsid w:val="000433F7"/>
    <w:rsid w:val="00045649"/>
    <w:rsid w:val="000475DF"/>
    <w:rsid w:val="00050DAB"/>
    <w:rsid w:val="000518DF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332C"/>
    <w:rsid w:val="000741D5"/>
    <w:rsid w:val="000759AC"/>
    <w:rsid w:val="0007795A"/>
    <w:rsid w:val="00077C2B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C5423"/>
    <w:rsid w:val="000C6AFA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6A68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4DAA"/>
    <w:rsid w:val="001A52E2"/>
    <w:rsid w:val="001A7DE5"/>
    <w:rsid w:val="001B08F5"/>
    <w:rsid w:val="001B0CD7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47D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3222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4F4"/>
    <w:rsid w:val="00260C18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268E"/>
    <w:rsid w:val="002A3F07"/>
    <w:rsid w:val="002A54E7"/>
    <w:rsid w:val="002A66C6"/>
    <w:rsid w:val="002B0110"/>
    <w:rsid w:val="002B371F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12D5"/>
    <w:rsid w:val="002E1CB1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358E"/>
    <w:rsid w:val="0030413B"/>
    <w:rsid w:val="00306C52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605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0DA7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A6C69"/>
    <w:rsid w:val="003B127F"/>
    <w:rsid w:val="003B1A91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034"/>
    <w:rsid w:val="00422D21"/>
    <w:rsid w:val="00423AA3"/>
    <w:rsid w:val="00426131"/>
    <w:rsid w:val="00426C59"/>
    <w:rsid w:val="00427998"/>
    <w:rsid w:val="0043297A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02C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2F0"/>
    <w:rsid w:val="004D06A0"/>
    <w:rsid w:val="004D0C6D"/>
    <w:rsid w:val="004D402E"/>
    <w:rsid w:val="004D5C2D"/>
    <w:rsid w:val="004D76A9"/>
    <w:rsid w:val="004D7756"/>
    <w:rsid w:val="004E10F2"/>
    <w:rsid w:val="004E1319"/>
    <w:rsid w:val="004E2209"/>
    <w:rsid w:val="004E4DEC"/>
    <w:rsid w:val="004E667B"/>
    <w:rsid w:val="004F060A"/>
    <w:rsid w:val="004F07FB"/>
    <w:rsid w:val="004F172E"/>
    <w:rsid w:val="004F1DA5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995"/>
    <w:rsid w:val="00581A0D"/>
    <w:rsid w:val="00582D05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3B01"/>
    <w:rsid w:val="005A467D"/>
    <w:rsid w:val="005A4AAC"/>
    <w:rsid w:val="005A4D35"/>
    <w:rsid w:val="005A727D"/>
    <w:rsid w:val="005A79B1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0603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3D85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5543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5CE"/>
    <w:rsid w:val="006F4BE0"/>
    <w:rsid w:val="006F58DD"/>
    <w:rsid w:val="007016C5"/>
    <w:rsid w:val="007035C8"/>
    <w:rsid w:val="00710586"/>
    <w:rsid w:val="00711F12"/>
    <w:rsid w:val="007133E1"/>
    <w:rsid w:val="00713BE4"/>
    <w:rsid w:val="007153F5"/>
    <w:rsid w:val="00715F11"/>
    <w:rsid w:val="00721458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53D7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2BFB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3673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45FB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4E9A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62D5"/>
    <w:rsid w:val="00977363"/>
    <w:rsid w:val="00977D52"/>
    <w:rsid w:val="00985810"/>
    <w:rsid w:val="00985890"/>
    <w:rsid w:val="00985B75"/>
    <w:rsid w:val="009862E6"/>
    <w:rsid w:val="009904EE"/>
    <w:rsid w:val="0099179A"/>
    <w:rsid w:val="0099183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7344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5AF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47B98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682"/>
    <w:rsid w:val="00A84BEA"/>
    <w:rsid w:val="00A86A90"/>
    <w:rsid w:val="00A86C23"/>
    <w:rsid w:val="00A917ED"/>
    <w:rsid w:val="00A9225B"/>
    <w:rsid w:val="00A931F4"/>
    <w:rsid w:val="00A94172"/>
    <w:rsid w:val="00A94458"/>
    <w:rsid w:val="00A95109"/>
    <w:rsid w:val="00A951B7"/>
    <w:rsid w:val="00A97286"/>
    <w:rsid w:val="00AA0AA2"/>
    <w:rsid w:val="00AA2A2B"/>
    <w:rsid w:val="00AA30D0"/>
    <w:rsid w:val="00AA3628"/>
    <w:rsid w:val="00AA3C9A"/>
    <w:rsid w:val="00AA4343"/>
    <w:rsid w:val="00AA52DD"/>
    <w:rsid w:val="00AB277A"/>
    <w:rsid w:val="00AB2A6D"/>
    <w:rsid w:val="00AB5686"/>
    <w:rsid w:val="00AB7D29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4920"/>
    <w:rsid w:val="00AF4991"/>
    <w:rsid w:val="00B026B3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D0D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C28C2"/>
    <w:rsid w:val="00BC2AD1"/>
    <w:rsid w:val="00BC5A5D"/>
    <w:rsid w:val="00BC625B"/>
    <w:rsid w:val="00BC65A0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4AC0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486E"/>
    <w:rsid w:val="00C45B6D"/>
    <w:rsid w:val="00C45F30"/>
    <w:rsid w:val="00C47770"/>
    <w:rsid w:val="00C50237"/>
    <w:rsid w:val="00C502A6"/>
    <w:rsid w:val="00C539D2"/>
    <w:rsid w:val="00C55495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304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306"/>
    <w:rsid w:val="00CE3691"/>
    <w:rsid w:val="00CE3AD1"/>
    <w:rsid w:val="00CE66B9"/>
    <w:rsid w:val="00CE70DB"/>
    <w:rsid w:val="00CF01EA"/>
    <w:rsid w:val="00CF0E8C"/>
    <w:rsid w:val="00CF120E"/>
    <w:rsid w:val="00CF2B02"/>
    <w:rsid w:val="00CF3708"/>
    <w:rsid w:val="00CF3A0A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4F8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C3B"/>
    <w:rsid w:val="00D71634"/>
    <w:rsid w:val="00D733D8"/>
    <w:rsid w:val="00D7526A"/>
    <w:rsid w:val="00D806F7"/>
    <w:rsid w:val="00D83E1F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4C9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5D1F"/>
    <w:rsid w:val="00E76130"/>
    <w:rsid w:val="00E7781E"/>
    <w:rsid w:val="00E81016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34D9"/>
    <w:rsid w:val="00EB40AA"/>
    <w:rsid w:val="00EB435B"/>
    <w:rsid w:val="00EB5EB8"/>
    <w:rsid w:val="00EB685C"/>
    <w:rsid w:val="00EC3426"/>
    <w:rsid w:val="00EC4DE7"/>
    <w:rsid w:val="00EC630B"/>
    <w:rsid w:val="00ED541A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54E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6BA4"/>
    <w:rsid w:val="00F370C7"/>
    <w:rsid w:val="00F40690"/>
    <w:rsid w:val="00F415A6"/>
    <w:rsid w:val="00F41FA3"/>
    <w:rsid w:val="00F42CD1"/>
    <w:rsid w:val="00F4307C"/>
    <w:rsid w:val="00F43E14"/>
    <w:rsid w:val="00F45013"/>
    <w:rsid w:val="00F4523F"/>
    <w:rsid w:val="00F45DE2"/>
    <w:rsid w:val="00F50A99"/>
    <w:rsid w:val="00F510E8"/>
    <w:rsid w:val="00F53B63"/>
    <w:rsid w:val="00F54AA2"/>
    <w:rsid w:val="00F55002"/>
    <w:rsid w:val="00F569DB"/>
    <w:rsid w:val="00F5784D"/>
    <w:rsid w:val="00F57AA2"/>
    <w:rsid w:val="00F6086D"/>
    <w:rsid w:val="00F60E44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0B25"/>
    <w:rsid w:val="00FA20DF"/>
    <w:rsid w:val="00FA3610"/>
    <w:rsid w:val="00FA5807"/>
    <w:rsid w:val="00FA5EA8"/>
    <w:rsid w:val="00FA73B7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AC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DEAFA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F41FA3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7A18-CE40-49EB-95BD-740B239A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5710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2020-07-28T14:25:00Z</cp:lastPrinted>
  <dcterms:created xsi:type="dcterms:W3CDTF">2019-06-18T15:32:00Z</dcterms:created>
  <dcterms:modified xsi:type="dcterms:W3CDTF">2021-12-01T22:59:00Z</dcterms:modified>
</cp:coreProperties>
</file>