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Deep Technical &amp; Security Audit</w:t>
      </w:r>
    </w:p>
    <w:p>
      <w:pPr>
        <w:spacing w:after="0" w:before="80"/>
      </w:pPr>
      <w:r>
        <w:rPr>
          <w:rFonts w:ascii="Consolas" w:cs="Consolas" w:eastAsia="Consolas" w:hAnsi="Consolas"/>
          <w:color w:val="C8500A"/>
          <w:sz w:val="34"/>
          <w:szCs w:val="34"/>
        </w:rPr>
        <w:t xml:space="preserve">apps/agent-board-ledger</w:t>
      </w:r>
    </w:p>
    <w:p>
      <w:pPr>
        <w:spacing w:after="400" w:before="4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ClawHouse backend — board ledger, NEAR watchers, key-market &amp; Hyperliquid paper-trading engine</w:t>
      </w:r>
    </w:p>
    <w:p>
      <w:pPr>
        <w:pBdr>
          <w:top w:val="single" w:color="1F3A5F" w:sz="6" w:space="6"/>
          <w:bottom w:val="single" w:color="1F3A5F" w:sz="6" w:space="6"/>
        </w:pBd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Scope: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api/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+ 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src/server.ts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(2,358 ln)  + 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src/paper-trading.ts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(1,432 ln)  + 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db.ts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auth.ts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key-market.ts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neon-schema.ts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Reviewed: </w:t>
      </w:r>
      <w:r>
        <w:rPr>
          <w:rFonts w:ascii="Arial" w:cs="Arial" w:eastAsia="Arial" w:hAnsi="Arial"/>
          <w:color w:val="5A5A5A"/>
          <w:sz w:val="21"/>
          <w:szCs w:val="21"/>
        </w:rPr>
        <w:t xml:space="preserve">architecture · authentication &amp; trust model · API surface · ledger/PnL &amp; paper-trading financial core · data layer (SQLite vs Neon/Postgres) · concurrency &amp; atomicity · dependencies &amp; config</w:t>
      </w:r>
    </w:p>
    <w:p>
      <w:pPr>
        <w:spacing w:after="200" w:before="0" w:line="276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Audit date: </w:t>
      </w:r>
      <w:r>
        <w:rPr>
          <w:rFonts w:ascii="Arial" w:cs="Arial" w:eastAsia="Arial" w:hAnsi="Arial"/>
          <w:color w:val="5A5A5A"/>
          <w:sz w:val="21"/>
          <w:szCs w:val="21"/>
        </w:rPr>
        <w:t xml:space="preserve">23 June 2026</w:t>
      </w: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        Method: </w:t>
      </w:r>
      <w:r>
        <w:rPr>
          <w:rFonts w:ascii="Arial" w:cs="Arial" w:eastAsia="Arial" w:hAnsi="Arial"/>
          <w:color w:val="5A5A5A"/>
          <w:sz w:val="21"/>
          <w:szCs w:val="21"/>
        </w:rPr>
        <w:t xml:space="preserve">manual line-by-line read of all runtime source; no code executed against live data.</w:t>
      </w:r>
    </w:p>
    <w:p>
      <w:pPr>
        <w:spacing w:after="200" w:before="0" w:line="276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Relationship to existing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SECURITY-SCAN.md</w:t>
      </w:r>
      <w:r>
        <w:rPr>
          <w:rFonts w:ascii="Arial" w:cs="Arial" w:eastAsia="Arial" w:hAnsi="Arial"/>
          <w:i/>
          <w:iCs/>
          <w:color w:val="5A5A5A"/>
          <w:sz w:val="21"/>
          <w:szCs w:val="21"/>
        </w:rPr>
        <w:t xml:space="preserve">: this audit is additive. It goes deeper on the areas that scan rated lightly — the financial-core concurrency model, SQLite↔Postgres transaction divergence, and money-integrity invariants — and re-rates them at the severity those issues carry for a system that keeps a financial ledger. Overlapping items are cross-referenced, not re-derived.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1.  Executive summary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backend is a single-file HTTP router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createApp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server.ts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fronting a Neon/Postgres database (SQLite only for local/test), deployed as Vercel serverless functions. It does three jobs in one process: (a) a signed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board ledger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that records an agent's self-attested trade events and reconciles them against on-chain NEAR balances; (b)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key-market trade recorder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that verifies NEAR transactions; and (c) a full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paper-trading matching/risk/liquidation engine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modelled on Hyperliquid. The cryptography (NEAR ed25519 signatures, nonce replay tables, constant-time admin-token compare) is competently built, and the smart-contract math was separately proven solvent.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dominant risk is not a classic web vulnerability — it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atomicity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paper-trading engine maintains mutable money state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cash_balance_usd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positions) through read-modify-write sequences that are </w:t>
      </w:r>
      <w:r>
        <w:rPr>
          <w:rFonts w:ascii="Arial" w:cs="Arial" w:eastAsia="Arial" w:hAnsi="Arial"/>
          <w:b/>
          <w:bCs/>
          <w:i/>
          <w:iCs/>
          <w:color w:val="1A1A1A"/>
          <w:sz w:val="21"/>
          <w:szCs w:val="21"/>
        </w:rPr>
        <w:t xml:space="preserve">not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wrapped in a serializable transaction, run on a serverless platform where many invocations execute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concurrently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against the same Neon database. Under concurrency these sequences interleave and corrupt balances. The same code is exercised by a once-per-minute cron that iterates every board. For a component whose entire purpose is to be a trustworthy ledger and leaderboard, this is the finding to investigate first.</w:t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Findings by severity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500"/>
        <w:gridCol w:w="1200"/>
        <w:gridCol w:w="6660"/>
      </w:tblGrid>
      <w:tr>
        <w:trPr>
          <w:tblHeader/>
        </w:trPr>
        <w:tc>
          <w:tcPr>
            <w:tcW w:type="dxa" w:w="1500"/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Severity</w:t>
            </w:r>
          </w:p>
        </w:tc>
        <w:tc>
          <w:tcPr>
            <w:tcW w:type="dxa" w:w="1200"/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Count</w:t>
            </w:r>
          </w:p>
        </w:tc>
        <w:tc>
          <w:tcPr>
            <w:tcW w:type="dxa" w:w="6660"/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Themes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Critical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Non-atomic balance/position mutation under serverless concurrency; cross-account audit-chain fork (tamper-evidence defeated)</w:t>
            </w:r>
          </w:p>
        </w:tc>
      </w:tr>
      <w:tr>
        <w:tc>
          <w:tcPr>
            <w:tcW w:type="dxa" w:w="15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C8500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666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Inverted trust model on PnL-moving writes; SQLite↔Postgres transaction/schema divergence; idempotency race; no rate limiting / unbounded admin-token blast radius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Float money math; cron one-failure-aborts-all batch; SSRF via caller-supplied rpc_url; missing pagination/N+1; read-grant model weaknesses</w:t>
            </w:r>
          </w:p>
        </w:tc>
      </w:tr>
      <w:tr>
        <w:tc>
          <w:tcPr>
            <w:tcW w:type="dxa" w:w="15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A7D44"/>
                <w:sz w:val="19"/>
                <w:szCs w:val="19"/>
              </w:rPr>
              <w:t xml:space="preserve">Low / Info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6+</w:t>
            </w:r>
          </w:p>
        </w:tc>
        <w:tc>
          <w:tcPr>
            <w:tcW w:type="dxa" w:w="666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Error-message leakage, dead routes/CORS, validation sprawl, write amplification, dependency advisories (elliptic, postcss, wee_alloc)</w:t>
            </w:r>
          </w:p>
        </w:tc>
      </w:tr>
    </w:tbl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you must investigate first — ranked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Atomicity of the paper-trading money path (C-1).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Reproduce with two concurrent orders on one account and check whether cash/positions stay consistent. This is the single highest-value test.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audit hash-chain (C-2).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It chains globally across all accounts off a non-locked SELECT — concurrent writes fork it, so it is not tamper-evident as claimed.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trust model (H-1).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Decide whether observations / balance-changes / prices — the inputs that determine PnL — should be agent-signed, or accept that PnL integrity rests entirely on one shared admin token.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SQLite vs Postgres divergence (H-2).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Tests run on SQLite; production runs on Neon. They differ in transaction isolation, an AFTER-INSERT trigger, and column types. Tests can pass while production behaves differently.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Secret blast radius &amp; rotation (H-4 / config).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One admin token authorizes every high-value write with no rate limit; confirm it is rotated and that the Neon password flagged in the prior scan was rotated.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2.  Architecture overview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Runtime: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Bun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locally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src/server.ts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via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Bun.serve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Vercel serverless functions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production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api/ledger.ts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api/cron.ts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forward every method into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handleVercelLedgerRequest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). All paths converge on one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app.fetch(request)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if-ladder router (~28 endpoints).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Storage: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Neon/Postgres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production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@neondatabase/serverless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Pool);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SQLite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(bun:sqlite) for local/in-memory/tests. A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LedgerDb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interface abstracts both, with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?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placeholders rewritten to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$1,$2,…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Postgres.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Parameterized everywhere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SQL-injection surface is effectively nil (every query uses bound params; the only interpolated identifiers are hardcoded table names).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Auth model (three layers):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(1)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NEAR ed25519 request signatures for board/agent/paper registration and for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/events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/attachments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/paper/orders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canonical JSON payload + body-SHA256 + freshness window + nonce-replay table.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(2)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 shared bearer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AGENT_BOARD_LEDGER_ADMIN_TOKEN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(constant-time compared) for all service/operator writes.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(3)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 posted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read_token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(SHA-256 stored) for tiered board reads, optionally re-validated live against NEAR key balance.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Cron: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vercel.json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schedules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/api/cron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every minute → NEAR account watch for all tracked boards → observation/event/PnL reconcile → paper liquidation monitor. The whole tick runs under the admin identity.</w:t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Architectural observations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Monolithic hot path.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POST /paper/orders synchronously: validates → fills against an order book → mutates positions and cash → appends a hash-chained audit row → recomputes account risk → writes a leaderboard snapshot. Leaderboard generation as a side-effect of placing an order couples write latency to read-model rebuild and widens every transaction.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Serverless + mutable shared state.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Vercel functions scale horizontally and run concurrently. The engine assumes effectively-sequential execution (no row locks, validation outside the write transaction). The deployment model and the concurrency assumptions are in direct conflict — this is the root cause behind C-1, H-3, and C-2.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Two storage engines with different semantics.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SQLite (single-writer, serialized) hides concurrency bugs that Neon (MVCC, READ COMMITTED, real parallelism) will expose. The schema also diverges: an AFTER-INSERT trigger and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REAL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vs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DOUBLE PRECISION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exist on one side only.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Numbers stored as floats.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REAL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DOUBLE PRECISION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+ JS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Number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all money and quantities. Acceptable for a simulation; a correctness liability if real value is ever attached, and it already interacts badly with the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EPSILON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comparisons throughout the risk engine.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3.  Detailed findings</w:t>
      </w:r>
    </w:p>
    <w:tbl>
      <w:tblPr>
        <w:tblW w:type="dxa" w:w="9360"/>
        <w:tblBorders>
          <w:top w:val="none"/>
          <w:left w:val="none"/>
          <w:bottom w:val="single" w:color="B00020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C-1.  Non-atomic balance &amp; position mutation under concurrency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Where: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submitPaperOrder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applyFillToPosition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updatePaperAccountCash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paper-trading.ts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233–393, 637–748, 1239–1244).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submitPaperOrder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account is read and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all margin/balance validation runs on the top-level connection before the transaction begins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</w:t>
      </w:r>
    </w:p>
    <w:p>
      <w:pPr>
        <w:pBdr>
          <w:left w:val="single" w:color="1F3A5F" w:sz="18" w:space="8"/>
        </w:pBdr>
        <w:shd w:fill="F0F0F0" w:val="clear"/>
        <w:spacing w:after="110" w:before="40"/>
      </w:pPr>
      <w:r>
        <w:rPr>
          <w:rFonts w:ascii="Consolas" w:cs="Consolas" w:eastAsia="Consolas" w:hAnsi="Consolas"/>
          <w:color w:val="262626"/>
          <w:sz w:val="18"/>
          <w:szCs w:val="18"/>
        </w:rPr>
        <w:t xml:space="preserve">const account = await requirePaperAccount(db, input.paperAccountId);  // read</w:t>
      </w:r>
    </w:p>
    <w:p>
      <w:pPr>
        <w:pBdr>
          <w:left w:val="single" w:color="1F3A5F" w:sz="18" w:space="8"/>
        </w:pBdr>
        <w:shd w:fill="F0F0F0" w:val="clear"/>
        <w:spacing w:after="110" w:before="40"/>
      </w:pPr>
      <w:r>
        <w:rPr>
          <w:rFonts w:ascii="Consolas" w:cs="Consolas" w:eastAsia="Consolas" w:hAnsi="Consolas"/>
          <w:color w:val="262626"/>
          <w:sz w:val="18"/>
          <w:szCs w:val="18"/>
        </w:rPr>
        <w:t xml:space="preserve">// ... validateMarginAvailable(db, account, ...) reads cash_balance_usd ...</w:t>
      </w:r>
    </w:p>
    <w:p>
      <w:pPr>
        <w:pBdr>
          <w:left w:val="single" w:color="1F3A5F" w:sz="18" w:space="8"/>
        </w:pBdr>
        <w:shd w:fill="F0F0F0" w:val="clear"/>
        <w:spacing w:after="110" w:before="40"/>
      </w:pPr>
      <w:r>
        <w:rPr>
          <w:rFonts w:ascii="Consolas" w:cs="Consolas" w:eastAsia="Consolas" w:hAnsi="Consolas"/>
          <w:color w:val="262626"/>
          <w:sz w:val="18"/>
          <w:szCs w:val="18"/>
        </w:rPr>
        <w:t xml:space="preserve">const fills = await db.transaction(async (tx) =&gt; { /* writes happen here */ });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write itself is a read-modify-write that re-reads the account inside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applyFillToPosition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then issues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UPDATE paper_accounts SET cash_balance_usd = cash_balance_usd + ?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There are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 row locks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SELECT … FOR UPDATE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appears nowhere in the codebase), the default Neon isolation is READ COMMITTED, and the margin check is </w:t>
      </w:r>
      <w:r>
        <w:rPr>
          <w:rFonts w:ascii="Arial" w:cs="Arial" w:eastAsia="Arial" w:hAnsi="Arial"/>
          <w:b/>
          <w:bCs/>
          <w:i/>
          <w:iCs/>
          <w:color w:val="1A1A1A"/>
          <w:sz w:val="21"/>
          <w:szCs w:val="21"/>
        </w:rPr>
        <w:t xml:space="preserve">outside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transaction entirely.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Consequence (classic TOCTOU):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two orders for the same account arriving close together both read the same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cash_balance_usd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both pass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validateMarginAvailable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both commit. The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cash = cash + delta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UPDATEs are individually atomic so neither write is lost — but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decision to allow the trade was made against stale balance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so an account can open positions whose combined initial margin exceeds equity. Margin/leverage limits,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insufficient_*_paper_margin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spot cash checks are all bypassable by racing. The same applies to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validateSpotOrderBalances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validateReduceOnlyOrder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the liquidation path in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runPaperRiskCheck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which reads positions, computes, then writes with no lock.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Why this is Critical here: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product is a competitive leaderboard ledger. An agent that can race its own orders can manufacture equity/PnL and poison the leaderboard — defeating the system's core promise. The serverless deployment makes concurrent invocations the normal case, not an edge case.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 / 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(1) move the account read and ALL validation inside the transaction; (2) take a row lock —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SELECT … FOR UPDATE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the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paper_accounts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row at the top of the tx (Postgres) — or serialize per account via a Postgres advisory lock keyed on account id; (3) consider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SERIALIZABLE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isolation with retry; (4) add a concurrent-order test (two in-flight orders, assert final cash equals the sequential result).</w:t>
      </w:r>
    </w:p>
    <w:tbl>
      <w:tblPr>
        <w:tblW w:type="dxa" w:w="9360"/>
        <w:tblBorders>
          <w:top w:val="none"/>
          <w:left w:val="none"/>
          <w:bottom w:val="single" w:color="B00020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B000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C-2.  Global audit hash-chain forks under concurrency (tamper-evidence defeated)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Where: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appendPaperAuditEvent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paper-trading.ts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1246–1281).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audit row chains off the previous one's hash, but the predecessor is selected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globally across every account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no lock:</w:t>
      </w:r>
    </w:p>
    <w:p>
      <w:pPr>
        <w:pBdr>
          <w:left w:val="single" w:color="1F3A5F" w:sz="18" w:space="8"/>
        </w:pBdr>
        <w:shd w:fill="F0F0F0" w:val="clear"/>
        <w:spacing w:after="110" w:before="40"/>
      </w:pPr>
      <w:r>
        <w:rPr>
          <w:rFonts w:ascii="Consolas" w:cs="Consolas" w:eastAsia="Consolas" w:hAnsi="Consolas"/>
          <w:color w:val="262626"/>
          <w:sz w:val="18"/>
          <w:szCs w:val="18"/>
        </w:rPr>
        <w:t xml:space="preserve">SELECT event_hash FROM paper_audit_events ORDER BY ... DESC LIMIT 1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Two concurrent writes read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previous_hash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both chain off it. The chain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forks silently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into a tree — at which point it no longer proves ordering or completeness, which is the entire point of a hash chain. The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ingest_sequence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derived from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MAX(ingest_sequence)+1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has the same race and can collide. Because the chain is global,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unrelated accounts' activity interleaves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so even single-account replay can't be verified independently.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 / 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make the chain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per-account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advance it under the same row lock as C-1; back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ingest_sequence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a real DB sequence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BIGSERIAL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GENERATED ALWAYS AS IDENTITY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or a uniqueness constraint that forces retry; document that without a lock the chain is advisory only. Rated Critical because the feature is explicitly sold as tamper-evident and currently is not.</w:t>
      </w:r>
    </w:p>
    <w:tbl>
      <w:tblPr>
        <w:tblW w:type="dxa" w:w="9360"/>
        <w:tblBorders>
          <w:top w:val="none"/>
          <w:left w:val="none"/>
          <w:bottom w:val="single" w:color="C8500A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C850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H-1.  Inverted trust model: the writes that move PnL are not agent-signed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Where: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server.ts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route table —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/observations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/balance-changes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/prices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/read-access/*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(lines 113–149).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Only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/agents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/boards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/events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/events/.../attachments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/paper/orders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require a NEAR signature. The writes that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actually determine reported value and PnL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observations (current_value_usd, top-ups, withdrawals), balance-changes, and price snapshots — are gated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by the shared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AGENT_BOARD_LEDGER_ADMIN_TOKEN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So the cryptographic-attestation story protects the advisory event log while the high-value accounting path rests on one shared secret. The auth strength is backwards relative to value.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 / 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either require agent signatures on PnL-moving writes (and have the cron present a service-scoped credential), or document explicitly that PnL integrity is a trusted-operator guarantee, not a cryptographic one — and then treat the admin token accordingly (rotation, per-environment scoping, audit). Overlaps the prior scan's C4; re-rated High because it determines what the ledger's numbers are worth.</w:t>
      </w:r>
    </w:p>
    <w:tbl>
      <w:tblPr>
        <w:tblW w:type="dxa" w:w="9360"/>
        <w:tblBorders>
          <w:top w:val="none"/>
          <w:left w:val="none"/>
          <w:bottom w:val="single" w:color="C8500A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C850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H-2.  SQLite (tests) vs Neon/Postgres (prod) behavioural divergence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Where: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db.ts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SqliteLedgerDb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vs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NeonLedgerDb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migrate()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trigger,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neon-schema.ts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Transaction isolation differs.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SQLite serializes all writers (one BEGIN at a time, single file). Postgres runs READ COMMITTED with real parallelism. Concurrency bugs (C-1, C-2, H-3) are masked in the test suite and only appear in production.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Nested transactions are unsafe on SQLite.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SqliteLedgerDb.transaction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issues a bare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BEGIN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the shared connection; if any path nests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transaction()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inside another, SQLite throws "cannot start a transaction within a transaction" and the outer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ROLLBACK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runs against the wrong state. Neon opens a dedicated pooled client per tx, so behaviour differs again.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Schema drift.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SQLite has an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AFTER INSERT ON boards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trigger that also inserts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tracked_wallets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Neon does not (the handler does it explicitly with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ON CONFLICT DO NOTHING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). Idempotent today, but a divergence that breaks the moment one path is edited. Column types differ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REAL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vs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DOUBLE PRECISION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), and the long inline SQLite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migrate()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(column adds, backfills,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DROP COLUMN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has no Postgres equivalent.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 / 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run the test suite (or at least the financial-core and concurrency tests) against a real Postgres instance in CI; converge the two schemas to a single source of truth; forbid nested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transaction()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or make it reentrant.</w:t>
      </w:r>
    </w:p>
    <w:tbl>
      <w:tblPr>
        <w:tblW w:type="dxa" w:w="9360"/>
        <w:tblBorders>
          <w:top w:val="none"/>
          <w:left w:val="none"/>
          <w:bottom w:val="single" w:color="C8500A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C850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H-3.  Idempotency check races (duplicate client_order_id → wrong error)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Where: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submitPaperOrder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idempotency SELECT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paper-trading.ts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245–254).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client_order_id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idempotency lookup runs outside the transaction. Two concurrent identical orders both miss the pre-check, both proceed; the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UNIQUE(paper_account_id, client_order_id)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constraint then makes the second fail as a generic unique-violation, surfacing as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409 "Duplicate record"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instead of the intended "return the existing order" replay. A correctly-retrying client gets an error on a legitimate retry — the opposite of idempotency's purpose.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 / 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perform an upsert /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INSERT … ON CONFLICT DO NOTHING RETURNING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and, on conflict, re-read and return the existing order's replay payload inside the same transaction.</w:t>
      </w:r>
    </w:p>
    <w:tbl>
      <w:tblPr>
        <w:tblW w:type="dxa" w:w="9360"/>
        <w:tblBorders>
          <w:top w:val="none"/>
          <w:left w:val="none"/>
          <w:bottom w:val="single" w:color="C8500A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C850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H-4.  No rate limiting; single admin token with unbounded blast radius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Where: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whole service — no rate-limit / throttle / WAF logic exists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grep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rate/throttle/cors → none).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One bearer token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AGENT_BOARD_LEDGER_ADMIN_TOKEN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authorizes every operator write across both staging and prod projects. No scoping, no per-caller identity, no expiry. If it leaks, an attacker can rewrite observations/prices and thus all PnL. Combined with H-1 this token IS the ledger's integrity boundary.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 rate limiting anywhere.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Signature verification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PublicKey.verify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and the NEAR-RPC-calling read path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key_holder_live_check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hits RPC on every read) are CPU/latency-amplifying — a DoS and cost-amplification vector on metered serverless + RPC.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 / fix: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rotate the admin token and the previously-flagged Neon password; move to per-environment, ideally per-purpose credentials; add rate limiting (edge middleware or a token-bucket keyed by IP/account) especially on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/paper/orders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any RPC-amplifying read; cache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key_holder_live_check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results with a short TTL.</w:t>
      </w:r>
    </w:p>
    <w:p>
      <w:pPr>
        <w:pageBreakBefore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Medium-severity findings</w:t>
      </w:r>
    </w:p>
    <w:tbl>
      <w:tblPr>
        <w:tblW w:type="dxa" w:w="9360"/>
        <w:tblBorders>
          <w:top w:val="none"/>
          <w:left w:val="none"/>
          <w:bottom w:val="single" w:color="B8860B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M-1.  Floating-point money math throughout the engine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cash, margin, PnL, fees, and position sizes are JS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Number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EPSILON = 1e-9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tolerance and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roundQty → toFixed(12)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Averaging entry prices, accumulating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realized_pnl_usd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cash = cash + delta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over many fills accrue rounding error; the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EPSILON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margin comparisons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cash + EPSILON &lt; required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can both false-accept and false-reject at the boundary. Fine for a simulation, but it interacts with the leaderboard (ranking on tiny float deltas) and would be disqualifying for real funds.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move to integer minor-units or a decimal library if these numbers ever gate anything real. (Prior scan A7, re-rated given leaderboard stakes.)</w:t>
      </w:r>
    </w:p>
    <w:tbl>
      <w:tblPr>
        <w:tblW w:type="dxa" w:w="9360"/>
        <w:tblBorders>
          <w:top w:val="none"/>
          <w:left w:val="none"/>
          <w:bottom w:val="single" w:color="B8860B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M-2.  Cron batch aborts all boards on one failure / swallows monitor errors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Where: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reconcileCronLedgerTick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runPaperLiquidationMonitorSafely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server.ts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1085–1126, 1183+).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8A2D00"/>
          <w:sz w:val="19"/>
          <w:szCs w:val="19"/>
        </w:rPr>
        <w:t xml:space="preserve">reconcileCronLedgerTick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its entire multi-board reconcile inside one transaction: one board's bad data rolls back the whole tick, so a single poisoned board can stall reconciliation for all. Separately,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runPaperLiquidationMonitorSafely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catches all errors and returns a synthetic success object, so a failing liquidation monitor can report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status: "updated"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while liquidations silently never run — masking exactly the safety mechanism you most need to trust.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per-board try/catch with isolated transactions; surface monitor failures as a non-green status and alert.</w:t>
      </w:r>
    </w:p>
    <w:tbl>
      <w:tblPr>
        <w:tblW w:type="dxa" w:w="9360"/>
        <w:tblBorders>
          <w:top w:val="none"/>
          <w:left w:val="none"/>
          <w:bottom w:val="single" w:color="B8860B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M-3.  SSRF via caller-supplied rpc_url on admin-gated NEAR endpoints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Where: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checkNearKeyMarketReadAccess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runNearAccountWatch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runNearFtWatch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accept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data.rpcUrl ?? data.rpc_url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POST to it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server.ts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771, 863, 969).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These endpoints are admin-token-gated, so this is not unauthenticated — but a caller (or a leaked token, per H-4) can point the server at an arbitrary URL, including cloud metadata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169.254.169.254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or internal services, with the server's network identity. There is no host allowlist or private/link-local block (the prior scan fixed the analogous issue in the acceptance-workbench, not here).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allowlist RPC hosts (or pin to the configured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AGENT_BOARD_LEDGER_NEAR_RPC_URL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), block private/loopback/link-local ranges, disable redirects.</w:t>
      </w:r>
    </w:p>
    <w:tbl>
      <w:tblPr>
        <w:tblW w:type="dxa" w:w="9360"/>
        <w:tblBorders>
          <w:top w:val="none"/>
          <w:left w:val="none"/>
          <w:bottom w:val="single" w:color="B8860B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M-4.  Missing pagination, silent caps, and N+1 on read paths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8A2D00"/>
          <w:sz w:val="19"/>
          <w:szCs w:val="19"/>
        </w:rPr>
        <w:t xml:space="preserve">GET /boards/:id/events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fully unbounded (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listEvents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has no LIMIT) and each event fires its own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listAttachments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via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Promise.all(map(presentEvent))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an N+1 that grows without bound as a board ages; a memory/latency cliff and a cheap DoS.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balance-changes / prices silently cap at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LIMIT 100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no cursor (data silently truncated);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matchingReadGrant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scans all granted checks for a board and re-hashes each — O(grants) per read, RPC-amplified when live-check is on.</w:t>
      </w:r>
    </w:p>
    <w:p>
      <w:pPr>
        <w:spacing w:after="120" w:before="4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cursor pagination on all list endpoints; batch-load attachments; look up read grants by an indexed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read_token_sha256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column instead of scanning.</w:t>
      </w:r>
    </w:p>
    <w:tbl>
      <w:tblPr>
        <w:tblW w:type="dxa" w:w="9360"/>
        <w:tblBorders>
          <w:top w:val="none"/>
          <w:left w:val="none"/>
          <w:bottom w:val="single" w:color="B8860B" w:sz="4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M-5.  Read-grant model: over-engineered, partial, and easy to misconfigure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grant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caller-supplied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the client POSTs a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read_token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whose SHA-256 the server stores; the server never issues the token. Tier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operator_admin_audit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defined but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 endpoint requires it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a whole privilege tier with no consumer.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Access tiers don't filter the response body: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GET /boards/:id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returns the full board row regardless of whether the reader cleared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public_summary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key_holder_detail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tiering buys nothing on output.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8A2D00"/>
          <w:sz w:val="19"/>
          <w:szCs w:val="19"/>
        </w:rPr>
        <w:t xml:space="preserve">key_holder_live_check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re-hits NEAR RPC on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every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read, coupling read availability/latency to an external chain RPC (see M-3/H-4).</w:t>
      </w:r>
    </w:p>
    <w:p>
      <w:pPr>
        <w:spacing w:after="120" w:before="4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Investigate: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decide whether tiering is real; if so, filter outputs per tier and have the server mint signed, expiring read tokens; cache live key-balance checks.</w:t>
      </w:r>
    </w:p>
    <w:p>
      <w:pPr>
        <w:pageBreakBefore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Low / informational findings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900"/>
        <w:gridCol w:w="3100"/>
        <w:gridCol w:w="5360"/>
      </w:tblGrid>
      <w:tr>
        <w:trPr>
          <w:tblHeader/>
        </w:trPr>
        <w:tc>
          <w:tcPr>
            <w:tcW w:type="dxa" w:w="900"/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Issue</w:t>
            </w:r>
          </w:p>
        </w:tc>
        <w:tc>
          <w:tcPr>
            <w:tcW w:type="dxa" w:w="5360"/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Detail &amp; action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L-1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Validation-error messages returned to clients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RequestError messages and safeErrorMessage(error) in cron payloads leak internal detail (table/field names). Generic external messages; log detail server-side.</w:t>
            </w:r>
          </w:p>
        </w:tc>
      </w:tr>
      <w:tr>
        <w:tc>
          <w:tcPr>
            <w:tcW w:type="dxa" w:w="9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L-2</w:t>
            </w:r>
          </w:p>
        </w:tc>
        <w:tc>
          <w:tcPr>
            <w:tcW w:type="dxa" w:w="31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Dead routes &amp; no CORS</w:t>
            </w:r>
          </w:p>
        </w:tc>
        <w:tc>
          <w:tcPr>
            <w:tcW w:type="dxa" w:w="536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api/ledger.ts exports DELETE/PATCH/PUT/OPTIONS; router serves none -&gt; 404, and OPTIONS+no CORS headers means the API is not browser cross-origin usable. Remove or implement; add CORS if browsers must call it.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L-3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Validation sprawl / 3 parallel kits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Dual camelCase/snake_case aliasing on ~every field invites silent 'missing field' on typos; hyperliquid.ts returns 502 for bad INPUT (should be 400). Centralize one validator.</w:t>
            </w:r>
          </w:p>
        </w:tc>
      </w:tr>
      <w:tr>
        <w:tc>
          <w:tcPr>
            <w:tcW w:type="dxa" w:w="9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L-4</w:t>
            </w:r>
          </w:p>
        </w:tc>
        <w:tc>
          <w:tcPr>
            <w:tcW w:type="dxa" w:w="31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amplification on watchers</w:t>
            </w:r>
          </w:p>
        </w:tc>
        <w:tc>
          <w:tcPr>
            <w:tcW w:type="dxa" w:w="536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NEAR watch endpoints insert a balance_change every tick even on zero delta (a persisted 'no_change' type). Unbounded growth for idle boards; skip no-op writes.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L-5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status/completeness as free-form strings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staleness_status / completeness_status assembled ad-hoc with no canonical enum; DB defaults are not in any documented set. Define enums; constrain at the DB.</w:t>
            </w:r>
          </w:p>
        </w:tc>
      </w:tr>
      <w:tr>
        <w:tc>
          <w:tcPr>
            <w:tcW w:type="dxa" w:w="9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L-6</w:t>
            </w:r>
          </w:p>
        </w:tc>
        <w:tc>
          <w:tcPr>
            <w:tcW w:type="dxa" w:w="31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Account 'status' accepted unvalidated</w:t>
            </w:r>
          </w:p>
        </w:tc>
        <w:tc>
          <w:tcPr>
            <w:tcW w:type="dxa" w:w="536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createPaperAccount accepts any status string but only 'active' can trade -&gt; an account silently created un-tradeable. Validate against an enum.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D-1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Dependency advisories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elliptic &lt;=6.6.1 (low) via @near-js/crypto-&gt;secp256k1; postcss &lt;8.5.10 (moderate) in the web app via next; wee_alloc (critical, Rust) in the key-market contract lockfile - prior scan reports it mitigated by disabling near-sdk default features. Re-run bun/cargo audit; confirm wee_alloc is gone from the built artifact.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4.  What is done well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SQL injection: effectively closed.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Every query is parameterized; the only string-interpolated identifiers are hardcoded table names. No user input reaches SQL text.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Signature scheme is sound.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Canonical JSON payload binds domain, version, method, path, body-SHA256, timestamp, nonce, and identity; freshness window (5 min, +60s skew) plus a nonce-replay table per scope. Body hash is checked against the actual raw body before parsing.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Constant-time admin/cron token compare.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tokensMatch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uses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crypto.timingSafeEqual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a length guard; the prior scan's timing-leak items are reported fixed.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Defensive NEAR decoding.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View-result bytes are range-checked (0–255), integer strings regex-validated, FT decimals bounded 0–36, oversized balances rejected rather than silently overflowing.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Secrets hygiene in git.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.env*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are git-ignored; only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.env.example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files are tracked (verified across the tree). The prior scan confirmed no secret was ever committed across all revisions.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Smart-contract math proven solvent.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bonding curve was independently re-derived: per-key price-in equals price-out, so the reserve is solvent by construction and cannot be round-trip-drained (prior scan Part B).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5.  Prioritized remediation plan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620"/>
        <w:gridCol w:w="5340"/>
        <w:gridCol w:w="1700"/>
        <w:gridCol w:w="1700"/>
      </w:tblGrid>
      <w:tr>
        <w:trPr>
          <w:tblHeader/>
        </w:trPr>
        <w:tc>
          <w:tcPr>
            <w:tcW w:type="dxa" w:w="620"/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Addresses</w:t>
            </w:r>
          </w:p>
        </w:tc>
        <w:tc>
          <w:tcPr>
            <w:tcW w:type="dxa" w:w="1700"/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Wrap the order/fill/cash path in one transaction with a per-account row lock (SELECT ... FOR UPDATE) or advisory lock; add a concurrent-order test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C-1, H-3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2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34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Make the audit hash-chain per-account and advance it under the same lock; back ingest_sequence with a real DB sequence</w:t>
            </w:r>
          </w:p>
        </w:tc>
        <w:tc>
          <w:tcPr>
            <w:tcW w:type="dxa" w:w="17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C-2</w:t>
            </w:r>
          </w:p>
        </w:tc>
        <w:tc>
          <w:tcPr>
            <w:tcW w:type="dxa" w:w="17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Rotate the admin token + Neon password; scope credentials per environment; add rate limiting on /paper/orders and RPC-amplifying reads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H-4, M-3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Low-Med</w:t>
            </w:r>
          </w:p>
        </w:tc>
      </w:tr>
      <w:tr>
        <w:tc>
          <w:tcPr>
            <w:tcW w:type="dxa" w:w="62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34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Decide &amp; implement the trust model for PnL-moving writes (sign them, or document the trusted-operator boundary)</w:t>
            </w:r>
          </w:p>
        </w:tc>
        <w:tc>
          <w:tcPr>
            <w:tcW w:type="dxa" w:w="17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H-1</w:t>
            </w:r>
          </w:p>
        </w:tc>
        <w:tc>
          <w:tcPr>
            <w:tcW w:type="dxa" w:w="17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financial-core &amp; concurrency tests against real Postgres in CI; converge SQLite/Neon schemas; forbid nested transaction()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H-2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2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34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Allowlist NEAR rpc_url / block private ranges; cache key_holder_live_check</w:t>
            </w:r>
          </w:p>
        </w:tc>
        <w:tc>
          <w:tcPr>
            <w:tcW w:type="dxa" w:w="17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M-3, M-5</w:t>
            </w:r>
          </w:p>
        </w:tc>
        <w:tc>
          <w:tcPr>
            <w:tcW w:type="dxa" w:w="17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5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Per-board isolation in cron; surface liquidation-monitor failures instead of swallowing them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M-2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2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534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cursor pagination + batch attachment loads; index read_token_sha256</w:t>
            </w:r>
          </w:p>
        </w:tc>
        <w:tc>
          <w:tcPr>
            <w:tcW w:type="dxa" w:w="17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M-4, M-5</w:t>
            </w:r>
          </w:p>
        </w:tc>
        <w:tc>
          <w:tcPr>
            <w:tcW w:type="dxa" w:w="17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5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numbers ever gate real value, move money math to integer minor-units / decimals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M-1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2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534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Cleanup: generic external errors, remove dead routes/add CORS, single validator, dependency bumps</w:t>
            </w:r>
          </w:p>
        </w:tc>
        <w:tc>
          <w:tcPr>
            <w:tcW w:type="dxa" w:w="17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L-1..L-6, D-1</w:t>
            </w:r>
          </w:p>
        </w:tc>
        <w:tc>
          <w:tcPr>
            <w:tcW w:type="dxa" w:w="1700"/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Bottom line: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cryptography and contract math are in good shape; the exposure is concentrated in the financial core's behaviour under real concurrency on a serverless + MVCC stack, and in a trust model where one shared token — not the signatures — secures the numbers that matter. Items 1–4 are the audit you must do before this is trusted with anything beyond a sandbox.</w:t>
      </w:r>
    </w:p>
    <w:p>
      <w:pPr>
        <w:spacing w:after="120" w:before="12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Prepared as an additive deep-dive over the existing </w:t>
      </w:r>
      <w:r>
        <w:rPr>
          <w:rFonts w:ascii="Consolas" w:cs="Consolas" w:eastAsia="Consolas" w:hAnsi="Consolas"/>
          <w:color w:val="8A2D00"/>
          <w:sz w:val="19"/>
          <w:szCs w:val="19"/>
        </w:rPr>
        <w:t xml:space="preserve">SECURITY-SCAN.md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Cross-referenced items are marked; severities reflect the stakes of a financial ledger/leaderboard rather than a generic web service.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Page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6"/>
        <w:szCs w:val="16"/>
      </w:rPr>
      <w:t xml:space="preserve"> of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6"/>
      </w:pBdr>
      <w:spacing w:after="0"/>
      <w:jc w:val="right"/>
    </w:pPr>
    <w:r>
      <w:rPr>
        <w:rFonts w:ascii="Arial" w:cs="Arial" w:eastAsia="Arial" w:hAnsi="Arial"/>
        <w:color w:val="5A5A5A"/>
        <w:sz w:val="15"/>
        <w:szCs w:val="15"/>
      </w:rPr>
      <w:t xml:space="preserve">agent-board-ledger · Technical &amp; Security Audit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agent-board-ledger — Deep Technical &amp; Security Audit</dc:title>
  <dc:creator>ClawHouse Technical Audit</dc:creator>
  <cp:lastModifiedBy>Un-named</cp:lastModifiedBy>
  <cp:revision>1</cp:revision>
  <dcterms:created xsi:type="dcterms:W3CDTF">2026-06-23T03:36:21.252Z</dcterms:created>
  <dcterms:modified xsi:type="dcterms:W3CDTF">2026-06-23T03:36:21.252Z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