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Segregated Environments – BSI.IT.23.C4</w:t>
      </w:r>
    </w:p>
    <w:p>
      <w:pPr>
        <w:spacing w:after="160"/>
      </w:pPr>
      <w:r>
        <w:rPr>
          <w:rFonts w:ascii="Aptos" w:hAnsi="Aptos" w:cs="Aptos" w:eastAsia="Aptos"/>
          <w:b w:val="0"/>
          <w:i/>
          <w:color w:val="475569"/>
          <w:sz w:val="20"/>
        </w:rPr>
        <w:t>Design Assessment, Walkthrough and Sample of One (T24 environments – DH 3264 NDF / DH 3263 Security Lending) – tested from scratch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T24</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OPEN ITEMS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PENDING</w:t>
            </w:r>
          </w:p>
        </w:tc>
        <w:tc>
          <w:tcPr>
            <w:tcW w:type="dxa" w:w="2556"/>
            <w:shd w:val="clear" w:color="auto" w:fill="EAF4FB"/>
          </w:tcPr>
          <w:p>
            <w:pPr>
              <w:jc w:val="center"/>
            </w:pPr>
            <w:r>
              <w:rPr>
                <w:rFonts w:ascii="Aptos" w:hAnsi="Aptos" w:cs="Aptos" w:eastAsia="Aptos"/>
                <w:b/>
                <w:i w:val="0"/>
                <w:color w:val="17365D"/>
                <w:sz w:val="26"/>
              </w:rPr>
              <w:t>PENDING</w:t>
            </w:r>
          </w:p>
        </w:tc>
        <w:tc>
          <w:tcPr>
            <w:tcW w:type="dxa" w:w="2556"/>
            <w:shd w:val="clear" w:color="auto" w:fill="EAF4FB"/>
          </w:tcPr>
          <w:p>
            <w:pPr>
              <w:jc w:val="center"/>
            </w:pPr>
            <w:r>
              <w:rPr>
                <w:rFonts w:ascii="Aptos" w:hAnsi="Aptos" w:cs="Aptos" w:eastAsia="Aptos"/>
                <w:b/>
                <w:i w:val="0"/>
                <w:color w:val="17365D"/>
                <w:sz w:val="26"/>
              </w:rPr>
              <w:t>OI-04, OI-05</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BSI.IT.23.C4 – Segregated Environments (Heracles ID 50541463) – Key, Hybrid (Heracles: Semi-Automated), Annual</w:t>
            </w:r>
          </w:p>
        </w:tc>
      </w:tr>
      <w:tr>
        <w:tc>
          <w:tcPr>
            <w:tcW w:type="dxa" w:w="2304"/>
            <w:shd w:val="clear" w:color="auto" w:fill="F1F5F9"/>
          </w:tcPr>
          <w:p>
            <w:r>
              <w:rPr>
                <w:rFonts w:ascii="Aptos" w:hAnsi="Aptos" w:cs="Aptos" w:eastAsia="Aptos"/>
                <w:b/>
                <w:i w:val="0"/>
                <w:color w:val="17365D"/>
                <w:sz w:val="18"/>
              </w:rPr>
              <w:t>Statement</w:t>
            </w:r>
          </w:p>
        </w:tc>
        <w:tc>
          <w:tcPr>
            <w:tcW w:type="dxa" w:w="7776"/>
          </w:tcPr>
          <w:p>
            <w:pPr>
              <w:spacing w:after="0"/>
            </w:pPr>
            <w:r>
              <w:rPr>
                <w:rFonts w:ascii="Aptos" w:hAnsi="Aptos" w:cs="Aptos" w:eastAsia="Aptos"/>
                <w:b w:val="0"/>
                <w:i w:val="0"/>
                <w:sz w:val="18"/>
              </w:rPr>
              <w:t>Software Development and QA teams develop and test code in non-production environments. Exceptions must be approved by Information Security.</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BSI.IT.23.R3 Inadequately Configured Sys – inappropriate data disclosures caused by the production version into the IT environment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 annual control, sample 1</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Test script</w:t>
            </w:r>
          </w:p>
        </w:tc>
        <w:tc>
          <w:tcPr>
            <w:tcW w:type="dxa" w:w="7776"/>
          </w:tcPr>
          <w:p>
            <w:pPr>
              <w:spacing w:after="0"/>
            </w:pPr>
            <w:r>
              <w:rPr>
                <w:rFonts w:ascii="Aptos" w:hAnsi="Aptos" w:cs="Aptos" w:eastAsia="Aptos"/>
                <w:b w:val="0"/>
                <w:i w:val="0"/>
                <w:sz w:val="18"/>
              </w:rPr>
              <w:t>No C4 script in the IT RCSA 2026 Test Plan "New test scripts" tab and no 2025 script in the Tracker – proposed 9-step script (00 Reference)</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No 2026 walkthrough held; to be scheduled with Jose Luis Martinez Avial / T24 team to answer OI-04 / OI-05.</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T24 production (miasx1 / ENVmiaprd) vs non-production (miasx4 / ENVmiaaft28) used by the NDF and Security Lending releases</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BSI.IT.23.C4 Segregated Environments/Evidence (BSI.IT.23.C4.01 – C4.07)</w:t>
            </w:r>
          </w:p>
        </w:tc>
      </w:tr>
    </w:tbl>
    <w:p/>
    <w:p>
      <w:pPr>
        <w:pStyle w:val="Heading1"/>
      </w:pPr>
      <w:r>
        <w:t>1. Design Effectiveness Summary</w:t>
      </w:r>
    </w:p>
    <w:p>
      <w:pPr>
        <w:spacing w:after="120"/>
      </w:pPr>
      <w:r>
        <w:rPr>
          <w:rFonts w:ascii="Aptos" w:hAnsi="Aptos" w:cs="Aptos" w:eastAsia="Aptos"/>
          <w:b w:val="0"/>
          <w:i w:val="0"/>
          <w:sz w:val="20"/>
        </w:rPr>
        <w:t>The control design appears effective for T24. Segregation is system-enforced: production and non-production run on different servers, IP addresses and T24 environments, and code reaches production only through ServiceNow release / change tickets after testing in non-production. Exceptions (development or testing in production) require Information Security approval. Hybrid nature is appropriate: the infrastructure enforces separation, while exception approval is manual.</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Segregation continuously enforced; Heracles "Annual" confirmation; activity per release (OBS-09).</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DNS / server / environment records and T24 data per environment (C4.03); release tickets (C4.04 – C4.07).</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2026 SDLC process map (C4.01) and US SDLC / secure development requirements.</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Applies to all development and testing.</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Partial</w:t>
            </w:r>
          </w:p>
        </w:tc>
        <w:tc>
          <w:tcPr>
            <w:tcW w:type="dxa" w:w="6192"/>
          </w:tcPr>
          <w:p>
            <w:pPr>
              <w:spacing w:after="0"/>
            </w:pPr>
            <w:r>
              <w:rPr>
                <w:rFonts w:ascii="Aptos" w:hAnsi="Aptos" w:cs="Aptos" w:eastAsia="Aptos"/>
                <w:b w:val="0"/>
                <w:i w:val="0"/>
                <w:sz w:val="17"/>
              </w:rPr>
              <w:t>InfoSec approval of exceptions stated, but no exception process / register evidenced; who monitors not defined.</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System data captured by manual, undated screenshots.</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Screenshots produced by the T24 team on request.</w:t>
            </w:r>
          </w:p>
        </w:tc>
      </w:tr>
    </w:tbl>
    <w:p/>
    <w:p>
      <w:pPr>
        <w:spacing w:after="120"/>
      </w:pPr>
      <w:r>
        <w:rPr>
          <w:rFonts w:ascii="Aptos" w:hAnsi="Aptos" w:cs="Aptos" w:eastAsia="Aptos"/>
          <w:b w:val="0"/>
          <w:i/>
          <w:sz w:val="18"/>
        </w:rPr>
        <w:t>Design observation OBS-09: the statement lacks who performs / monitors the control, the evidence retained and the exception escalation path; the Test Plan Control Articulation Tracker rates it a "process statement … currently untestable". Adopt the 2026 proposed statement (exceptions approved by the CISO or delegate; evidence: production and non-production domains, code repositories and hosts) and align the frequency. CDA rating Satisfactory to be confirmed with the reviewer given the Partial escalation answer.</w:t>
      </w:r>
    </w:p>
    <w:p>
      <w:pPr>
        <w:pStyle w:val="Heading1"/>
      </w:pPr>
      <w:r>
        <w:t>2. WT Summary</w:t>
      </w:r>
    </w:p>
    <w:p>
      <w:pPr>
        <w:spacing w:after="120"/>
      </w:pPr>
      <w:r>
        <w:rPr>
          <w:rFonts w:ascii="Aptos" w:hAnsi="Aptos" w:cs="Aptos" w:eastAsia="Aptos"/>
          <w:b w:val="0"/>
          <w:i w:val="0"/>
          <w:sz w:val="20"/>
        </w:rPr>
        <w:t>Model walkthrough language (RCSA CDA Job Aid §4.1): On 10/30/2026, IT RCSA performed a Test of One for BSI.IT.23.C4 through inspection of the T24 environments used by the 2026 SDLC releases (annual occurrence, sample 1). The control is enforced by the infrastructure and performed by the T24 Development / QA teams, who build and test in MIAAFT28 before promotion through ServiceNow. The tester reviewed nslookup results (miasx1 → 180.201.151.152; miasx4 → 180.201.1.156), the T24 Server Login / Environments screens (ENVmiaprd vs ENVmiaaft28) and the ND.DEAL lists in each environment (test NDF deals dated 11/2025 in MIAAFT28; live deals 03 – 07/2026 in production), plus the release tickets recording testing before deployment. The evidence is retained by the T24 team / ServiceNow. Exceptions require Information Security approval – no exception register was provided. Variations: Appian (Security Lending Workflow) environments were not evidenced. Based on the Test of One, segregation exists for T24; operating effectiveness cannot be concluded until OI-04 / OI-05 are answered.</w:t>
      </w:r>
    </w:p>
    <w:p>
      <w:pPr>
        <w:spacing w:after="120"/>
      </w:pPr>
      <w:r>
        <w:rPr>
          <w:rFonts w:ascii="Aptos" w:hAnsi="Aptos" w:cs="Aptos" w:eastAsia="Aptos"/>
          <w:b w:val="0"/>
          <w:i w:val="0"/>
          <w:sz w:val="20"/>
        </w:rPr>
        <w:t>Competency (Job Aid §4.4): to be assessed in the 2026 walkthrough with the control owner and the T24 team (environment administration and exception approvals).</w:t>
      </w:r>
    </w:p>
    <w:p>
      <w:pPr>
        <w:pStyle w:val="Heading1"/>
      </w:pPr>
      <w:r>
        <w:t>3. Sample of One – T24 environments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752"/>
        <w:gridCol w:w="1584"/>
        <w:gridCol w:w="1296"/>
      </w:tblGrid>
      <w:tr>
        <w:tc>
          <w:tcPr>
            <w:tcW w:type="dxa" w:w="2448"/>
            <w:shd w:val="clear" w:color="auto" w:fill="17365D"/>
          </w:tcPr>
          <w:p>
            <w:r>
              <w:rPr>
                <w:rFonts w:ascii="Aptos" w:hAnsi="Aptos" w:cs="Aptos" w:eastAsia="Aptos"/>
                <w:b/>
                <w:i w:val="0"/>
                <w:color w:val="FFFFFF"/>
                <w:sz w:val="17"/>
              </w:rPr>
              <w:t>Attribute</w:t>
            </w:r>
          </w:p>
        </w:tc>
        <w:tc>
          <w:tcPr>
            <w:tcW w:type="dxa" w:w="4752"/>
            <w:shd w:val="clear" w:color="auto" w:fill="17365D"/>
          </w:tcPr>
          <w:p>
            <w:r>
              <w:rPr>
                <w:rFonts w:ascii="Aptos" w:hAnsi="Aptos" w:cs="Aptos" w:eastAsia="Aptos"/>
                <w:b/>
                <w:i w:val="0"/>
                <w:color w:val="FFFFFF"/>
                <w:sz w:val="17"/>
              </w:rPr>
              <w:t>Value / conclusion</w:t>
            </w:r>
          </w:p>
        </w:tc>
        <w:tc>
          <w:tcPr>
            <w:tcW w:type="dxa" w:w="1584"/>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Separate production environment</w:t>
            </w:r>
          </w:p>
        </w:tc>
        <w:tc>
          <w:tcPr>
            <w:tcW w:type="dxa" w:w="4752"/>
          </w:tcPr>
          <w:p>
            <w:pPr>
              <w:spacing w:after="0"/>
            </w:pPr>
            <w:r>
              <w:rPr>
                <w:rFonts w:ascii="Aptos" w:hAnsi="Aptos" w:cs="Aptos" w:eastAsia="Aptos"/>
                <w:b w:val="0"/>
                <w:i w:val="0"/>
                <w:sz w:val="17"/>
              </w:rPr>
              <w:t>Server miasx1, IP 180.201.151.152, environment ENVmiaprd – "T24 Desktop – BANCO SANTANDER INTL."</w:t>
            </w:r>
          </w:p>
        </w:tc>
        <w:tc>
          <w:tcPr>
            <w:tcW w:type="dxa" w:w="1584"/>
          </w:tcPr>
          <w:p>
            <w:pPr>
              <w:spacing w:after="0"/>
            </w:pPr>
            <w:r>
              <w:rPr>
                <w:rFonts w:ascii="Aptos" w:hAnsi="Aptos" w:cs="Aptos" w:eastAsia="Aptos"/>
                <w:b w:val="0"/>
                <w:i w:val="0"/>
                <w:sz w:val="17"/>
              </w:rPr>
              <w:t>C4.03</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Separate non-production environment</w:t>
            </w:r>
          </w:p>
        </w:tc>
        <w:tc>
          <w:tcPr>
            <w:tcW w:type="dxa" w:w="4752"/>
          </w:tcPr>
          <w:p>
            <w:pPr>
              <w:spacing w:after="0"/>
            </w:pPr>
            <w:r>
              <w:rPr>
                <w:rFonts w:ascii="Aptos" w:hAnsi="Aptos" w:cs="Aptos" w:eastAsia="Aptos"/>
                <w:b w:val="0"/>
                <w:i w:val="0"/>
                <w:sz w:val="17"/>
              </w:rPr>
              <w:t>Server miasx4, IP 180.201.1.156, environment ENVmiaaft28 – "MIAAFT28 ON MIASX4 – SANTANDER OCT 2025 EOM"</w:t>
            </w:r>
          </w:p>
        </w:tc>
        <w:tc>
          <w:tcPr>
            <w:tcW w:type="dxa" w:w="1584"/>
          </w:tcPr>
          <w:p>
            <w:pPr>
              <w:spacing w:after="0"/>
            </w:pPr>
            <w:r>
              <w:rPr>
                <w:rFonts w:ascii="Aptos" w:hAnsi="Aptos" w:cs="Aptos" w:eastAsia="Aptos"/>
                <w:b w:val="0"/>
                <w:i w:val="0"/>
                <w:sz w:val="17"/>
              </w:rPr>
              <w:t>C4.03</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Development / testing in non-production</w:t>
            </w:r>
          </w:p>
        </w:tc>
        <w:tc>
          <w:tcPr>
            <w:tcW w:type="dxa" w:w="4752"/>
          </w:tcPr>
          <w:p>
            <w:pPr>
              <w:spacing w:after="0"/>
            </w:pPr>
            <w:r>
              <w:rPr>
                <w:rFonts w:ascii="Aptos" w:hAnsi="Aptos" w:cs="Aptos" w:eastAsia="Aptos"/>
                <w:b w:val="0"/>
                <w:i w:val="0"/>
                <w:sz w:val="17"/>
              </w:rPr>
              <w:t>NDF test deals (ND.DEAL, 11/2025) in MIAAFT28 before R01 production 01/28/2026; testing recorded in all 4 release tickets</w:t>
            </w:r>
          </w:p>
        </w:tc>
        <w:tc>
          <w:tcPr>
            <w:tcW w:type="dxa" w:w="1584"/>
          </w:tcPr>
          <w:p>
            <w:pPr>
              <w:spacing w:after="0"/>
            </w:pPr>
            <w:r>
              <w:rPr>
                <w:rFonts w:ascii="Aptos" w:hAnsi="Aptos" w:cs="Aptos" w:eastAsia="Aptos"/>
                <w:b w:val="0"/>
                <w:i w:val="0"/>
                <w:sz w:val="17"/>
              </w:rPr>
              <w:t>C4.03 – C4.07</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Developer access to production restricted</w:t>
            </w:r>
          </w:p>
        </w:tc>
        <w:tc>
          <w:tcPr>
            <w:tcW w:type="dxa" w:w="4752"/>
          </w:tcPr>
          <w:p>
            <w:pPr>
              <w:spacing w:after="0"/>
            </w:pPr>
            <w:r>
              <w:rPr>
                <w:rFonts w:ascii="Aptos" w:hAnsi="Aptos" w:cs="Aptos" w:eastAsia="Aptos"/>
                <w:b w:val="0"/>
                <w:i w:val="0"/>
                <w:sz w:val="17"/>
              </w:rPr>
              <w:t>Same login ID "MIASANG" used on both servers – owner / privileges not evidenced</w:t>
            </w:r>
          </w:p>
        </w:tc>
        <w:tc>
          <w:tcPr>
            <w:tcW w:type="dxa" w:w="1584"/>
          </w:tcPr>
          <w:p>
            <w:pPr>
              <w:spacing w:after="0"/>
            </w:pPr>
            <w:r>
              <w:rPr>
                <w:rFonts w:ascii="Aptos" w:hAnsi="Aptos" w:cs="Aptos" w:eastAsia="Aptos"/>
                <w:b w:val="0"/>
                <w:i w:val="0"/>
                <w:sz w:val="17"/>
              </w:rPr>
              <w:t>C4.03</w:t>
            </w:r>
          </w:p>
        </w:tc>
        <w:tc>
          <w:tcPr>
            <w:tcW w:type="dxa" w:w="1296"/>
            <w:shd w:val="clear" w:color="auto" w:fill="FFF4E5"/>
          </w:tcPr>
          <w:p>
            <w:pPr>
              <w:spacing w:after="0"/>
            </w:pPr>
            <w:r>
              <w:rPr>
                <w:rFonts w:ascii="Aptos" w:hAnsi="Aptos" w:cs="Aptos" w:eastAsia="Aptos"/>
                <w:b w:val="0"/>
                <w:i w:val="0"/>
                <w:sz w:val="17"/>
              </w:rPr>
              <w:t>Pending – OI-05</w:t>
            </w:r>
          </w:p>
        </w:tc>
      </w:tr>
      <w:tr>
        <w:tc>
          <w:tcPr>
            <w:tcW w:type="dxa" w:w="2448"/>
          </w:tcPr>
          <w:p>
            <w:pPr>
              <w:spacing w:after="0"/>
            </w:pPr>
            <w:r>
              <w:rPr>
                <w:rFonts w:ascii="Aptos" w:hAnsi="Aptos" w:cs="Aptos" w:eastAsia="Aptos"/>
                <w:b w:val="0"/>
                <w:i w:val="0"/>
                <w:sz w:val="17"/>
              </w:rPr>
              <w:t>Production data in non-production</w:t>
            </w:r>
          </w:p>
        </w:tc>
        <w:tc>
          <w:tcPr>
            <w:tcW w:type="dxa" w:w="4752"/>
          </w:tcPr>
          <w:p>
            <w:pPr>
              <w:spacing w:after="0"/>
            </w:pPr>
            <w:r>
              <w:rPr>
                <w:rFonts w:ascii="Aptos" w:hAnsi="Aptos" w:cs="Aptos" w:eastAsia="Aptos"/>
                <w:b w:val="0"/>
                <w:i w:val="0"/>
                <w:sz w:val="17"/>
              </w:rPr>
              <w:t>Non-production labelled "OCT 2025 EOM" with client counterparties – masking / InfoSec approval not evidenced</w:t>
            </w:r>
          </w:p>
        </w:tc>
        <w:tc>
          <w:tcPr>
            <w:tcW w:type="dxa" w:w="1584"/>
          </w:tcPr>
          <w:p>
            <w:pPr>
              <w:spacing w:after="0"/>
            </w:pPr>
            <w:r>
              <w:rPr>
                <w:rFonts w:ascii="Aptos" w:hAnsi="Aptos" w:cs="Aptos" w:eastAsia="Aptos"/>
                <w:b w:val="0"/>
                <w:i w:val="0"/>
                <w:sz w:val="17"/>
              </w:rPr>
              <w:t>C4.03</w:t>
            </w:r>
          </w:p>
        </w:tc>
        <w:tc>
          <w:tcPr>
            <w:tcW w:type="dxa" w:w="1296"/>
            <w:shd w:val="clear" w:color="auto" w:fill="FFF4E5"/>
          </w:tcPr>
          <w:p>
            <w:pPr>
              <w:spacing w:after="0"/>
            </w:pPr>
            <w:r>
              <w:rPr>
                <w:rFonts w:ascii="Aptos" w:hAnsi="Aptos" w:cs="Aptos" w:eastAsia="Aptos"/>
                <w:b w:val="0"/>
                <w:i w:val="0"/>
                <w:sz w:val="17"/>
              </w:rPr>
              <w:t>Pending – OI-05</w:t>
            </w:r>
          </w:p>
        </w:tc>
      </w:tr>
      <w:tr>
        <w:tc>
          <w:tcPr>
            <w:tcW w:type="dxa" w:w="2448"/>
          </w:tcPr>
          <w:p>
            <w:pPr>
              <w:spacing w:after="0"/>
            </w:pPr>
            <w:r>
              <w:rPr>
                <w:rFonts w:ascii="Aptos" w:hAnsi="Aptos" w:cs="Aptos" w:eastAsia="Aptos"/>
                <w:b w:val="0"/>
                <w:i w:val="0"/>
                <w:sz w:val="17"/>
              </w:rPr>
              <w:t>Exceptions approved by InfoSec</w:t>
            </w:r>
          </w:p>
        </w:tc>
        <w:tc>
          <w:tcPr>
            <w:tcW w:type="dxa" w:w="4752"/>
          </w:tcPr>
          <w:p>
            <w:pPr>
              <w:spacing w:after="0"/>
            </w:pPr>
            <w:r>
              <w:rPr>
                <w:rFonts w:ascii="Aptos" w:hAnsi="Aptos" w:cs="Aptos" w:eastAsia="Aptos"/>
                <w:b w:val="0"/>
                <w:i w:val="0"/>
                <w:sz w:val="17"/>
              </w:rPr>
              <w:t>No register or management confirmation provided</w:t>
            </w:r>
          </w:p>
        </w:tc>
        <w:tc>
          <w:tcPr>
            <w:tcW w:type="dxa" w:w="1584"/>
          </w:tcPr>
          <w:p>
            <w:pPr>
              <w:spacing w:after="0"/>
            </w:pPr>
            <w:r>
              <w:rPr>
                <w:rFonts w:ascii="Aptos" w:hAnsi="Aptos" w:cs="Aptos" w:eastAsia="Aptos"/>
                <w:b w:val="0"/>
                <w:i w:val="0"/>
                <w:sz w:val="17"/>
              </w:rPr>
              <w:t>—</w:t>
            </w:r>
          </w:p>
        </w:tc>
        <w:tc>
          <w:tcPr>
            <w:tcW w:type="dxa" w:w="1296"/>
            <w:shd w:val="clear" w:color="auto" w:fill="FFF4E5"/>
          </w:tcPr>
          <w:p>
            <w:pPr>
              <w:spacing w:after="0"/>
            </w:pPr>
            <w:r>
              <w:rPr>
                <w:rFonts w:ascii="Aptos" w:hAnsi="Aptos" w:cs="Aptos" w:eastAsia="Aptos"/>
                <w:b w:val="0"/>
                <w:i w:val="0"/>
                <w:sz w:val="17"/>
              </w:rPr>
              <w:t>Pending – OI-04</w:t>
            </w:r>
          </w:p>
        </w:tc>
      </w:tr>
      <w:tr>
        <w:tc>
          <w:tcPr>
            <w:tcW w:type="dxa" w:w="2448"/>
          </w:tcPr>
          <w:p>
            <w:pPr>
              <w:spacing w:after="0"/>
            </w:pPr>
            <w:r>
              <w:rPr>
                <w:rFonts w:ascii="Aptos" w:hAnsi="Aptos" w:cs="Aptos" w:eastAsia="Aptos"/>
                <w:b w:val="0"/>
                <w:i w:val="0"/>
                <w:sz w:val="17"/>
              </w:rPr>
              <w:t>Appian environments (SL R01)</w:t>
            </w:r>
          </w:p>
        </w:tc>
        <w:tc>
          <w:tcPr>
            <w:tcW w:type="dxa" w:w="4752"/>
          </w:tcPr>
          <w:p>
            <w:pPr>
              <w:spacing w:after="0"/>
            </w:pPr>
            <w:r>
              <w:rPr>
                <w:rFonts w:ascii="Aptos" w:hAnsi="Aptos" w:cs="Aptos" w:eastAsia="Aptos"/>
                <w:b w:val="0"/>
                <w:i w:val="0"/>
                <w:sz w:val="17"/>
              </w:rPr>
              <w:t>Not evidenced</w:t>
            </w:r>
          </w:p>
        </w:tc>
        <w:tc>
          <w:tcPr>
            <w:tcW w:type="dxa" w:w="1584"/>
          </w:tcPr>
          <w:p>
            <w:pPr>
              <w:spacing w:after="0"/>
            </w:pPr>
            <w:r>
              <w:rPr>
                <w:rFonts w:ascii="Aptos" w:hAnsi="Aptos" w:cs="Aptos" w:eastAsia="Aptos"/>
                <w:b w:val="0"/>
                <w:i w:val="0"/>
                <w:sz w:val="17"/>
              </w:rPr>
              <w:t>—</w:t>
            </w:r>
          </w:p>
        </w:tc>
        <w:tc>
          <w:tcPr>
            <w:tcW w:type="dxa" w:w="1296"/>
            <w:shd w:val="clear" w:color="auto" w:fill="FFF4E5"/>
          </w:tcPr>
          <w:p>
            <w:pPr>
              <w:spacing w:after="0"/>
            </w:pPr>
            <w:r>
              <w:rPr>
                <w:rFonts w:ascii="Aptos" w:hAnsi="Aptos" w:cs="Aptos" w:eastAsia="Aptos"/>
                <w:b w:val="0"/>
                <w:i w:val="0"/>
                <w:sz w:val="17"/>
              </w:rPr>
              <w:t>Pending – OI-04</w:t>
            </w:r>
          </w:p>
        </w:tc>
      </w:tr>
    </w:tbl>
    <w:p/>
    <w:p>
      <w:pPr>
        <w:spacing w:after="120"/>
      </w:pPr>
      <w:r>
        <w:rPr>
          <w:rFonts w:ascii="Aptos" w:hAnsi="Aptos" w:cs="Aptos" w:eastAsia="Aptos"/>
          <w:b w:val="0"/>
          <w:i w:val="0"/>
          <w:sz w:val="20"/>
        </w:rPr>
        <w:t>Conclusion: T24 development / test and production environments are segregated and the 2026 releases were tested in non-production before deployment. The sample is Pending until management (i) confirms the exception register / InfoSec approvals and provides Appian environment evidence (OI-04) and (ii) explains the shared MIASANG login and the production-data copy in MIAAFT28 (OI-05). No exception is concluded until management responds.</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Environment screenshots, release tickets</w:t>
            </w:r>
          </w:p>
        </w:tc>
        <w:tc>
          <w:tcPr>
            <w:tcW w:type="dxa" w:w="1728"/>
            <w:shd w:val="clear" w:color="auto" w:fill="FFF4E5"/>
          </w:tcPr>
          <w:p>
            <w:pPr>
              <w:spacing w:after="0"/>
            </w:pPr>
            <w:r>
              <w:rPr>
                <w:rFonts w:ascii="Aptos" w:hAnsi="Aptos" w:cs="Aptos" w:eastAsia="Aptos"/>
                <w:b w:val="0"/>
                <w:i w:val="0"/>
                <w:sz w:val="17"/>
              </w:rPr>
              <w:t>Pending – OI-04</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Scope from SDLC Project List</w:t>
            </w:r>
          </w:p>
        </w:tc>
        <w:tc>
          <w:tcPr>
            <w:tcW w:type="dxa" w:w="1728"/>
            <w:shd w:val="clear" w:color="auto" w:fill="FFF4E5"/>
          </w:tcPr>
          <w:p>
            <w:pPr>
              <w:spacing w:after="0"/>
            </w:pPr>
            <w:r>
              <w:rPr>
                <w:rFonts w:ascii="Aptos" w:hAnsi="Aptos" w:cs="Aptos" w:eastAsia="Aptos"/>
                <w:b w:val="0"/>
                <w:i w:val="0"/>
                <w:sz w:val="17"/>
              </w:rPr>
              <w:t>Pending – OI-03</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Annual – 1 occurrence (T24)</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Segregated servers / IPs / environments</w:t>
            </w:r>
          </w:p>
        </w:tc>
        <w:tc>
          <w:tcPr>
            <w:tcW w:type="dxa" w:w="1728"/>
            <w:shd w:val="clear" w:color="auto" w:fill="E7F5EC"/>
          </w:tcPr>
          <w:p>
            <w:pPr>
              <w:spacing w:after="0"/>
            </w:pPr>
            <w:r>
              <w:rPr>
                <w:rFonts w:ascii="Aptos" w:hAnsi="Aptos" w:cs="Aptos" w:eastAsia="Aptos"/>
                <w:b w:val="0"/>
                <w:i w:val="0"/>
                <w:sz w:val="17"/>
              </w:rPr>
              <w:t>Pass (T24)</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Production access restriction not evidenced</w:t>
            </w:r>
          </w:p>
        </w:tc>
        <w:tc>
          <w:tcPr>
            <w:tcW w:type="dxa" w:w="1728"/>
            <w:shd w:val="clear" w:color="auto" w:fill="FFF4E5"/>
          </w:tcPr>
          <w:p>
            <w:pPr>
              <w:spacing w:after="0"/>
            </w:pPr>
            <w:r>
              <w:rPr>
                <w:rFonts w:ascii="Aptos" w:hAnsi="Aptos" w:cs="Aptos" w:eastAsia="Aptos"/>
                <w:b w:val="0"/>
                <w:i w:val="0"/>
                <w:sz w:val="17"/>
              </w:rPr>
              <w:t>Pending – OI-05</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 register; possible production data in non-production</w:t>
            </w:r>
          </w:p>
        </w:tc>
        <w:tc>
          <w:tcPr>
            <w:tcW w:type="dxa" w:w="1728"/>
            <w:shd w:val="clear" w:color="auto" w:fill="FFF4E5"/>
          </w:tcPr>
          <w:p>
            <w:pPr>
              <w:spacing w:after="0"/>
            </w:pPr>
            <w:r>
              <w:rPr>
                <w:rFonts w:ascii="Aptos" w:hAnsi="Aptos" w:cs="Aptos" w:eastAsia="Aptos"/>
                <w:b w:val="0"/>
                <w:i w:val="0"/>
                <w:sz w:val="17"/>
              </w:rPr>
              <w:t>Pending</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After OI-04 / OI-05</w:t>
            </w:r>
          </w:p>
        </w:tc>
        <w:tc>
          <w:tcPr>
            <w:tcW w:type="dxa" w:w="1728"/>
            <w:shd w:val="clear" w:color="auto" w:fill="FFF4E5"/>
          </w:tcPr>
          <w:p>
            <w:pPr>
              <w:spacing w:after="0"/>
            </w:pPr>
            <w:r>
              <w:rPr>
                <w:rFonts w:ascii="Aptos" w:hAnsi="Aptos" w:cs="Aptos" w:eastAsia="Aptos"/>
                <w:b w:val="0"/>
                <w:i w:val="0"/>
                <w:sz w:val="17"/>
              </w:rPr>
              <w:t>Pending</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Data-disclosure aspect not concluded</w:t>
            </w:r>
          </w:p>
        </w:tc>
        <w:tc>
          <w:tcPr>
            <w:tcW w:type="dxa" w:w="1728"/>
            <w:shd w:val="clear" w:color="auto" w:fill="FFF4E5"/>
          </w:tcPr>
          <w:p>
            <w:pPr>
              <w:spacing w:after="0"/>
            </w:pPr>
            <w:r>
              <w:rPr>
                <w:rFonts w:ascii="Aptos" w:hAnsi="Aptos" w:cs="Aptos" w:eastAsia="Aptos"/>
                <w:b w:val="0"/>
                <w:i w:val="0"/>
                <w:sz w:val="17"/>
              </w:rPr>
              <w:t>Pending</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w:t>
            </w:r>
          </w:p>
        </w:tc>
        <w:tc>
          <w:tcPr>
            <w:tcW w:type="dxa" w:w="1728"/>
          </w:tcPr>
          <w:p>
            <w:pPr>
              <w:spacing w:after="0"/>
            </w:pPr>
            <w:r>
              <w:rPr>
                <w:rFonts w:ascii="Aptos" w:hAnsi="Aptos" w:cs="Aptos" w:eastAsia="Aptos"/>
                <w:b w:val="0"/>
                <w:i w:val="0"/>
                <w:sz w:val="17"/>
              </w:rPr>
              <w:t>Completed</w:t>
            </w:r>
          </w:p>
        </w:tc>
      </w:tr>
    </w:tbl>
    <w:p/>
    <w:p>
      <w:r>
        <w:br w:type="page"/>
      </w:r>
    </w:p>
    <w:p>
      <w:pPr>
        <w:pStyle w:val="Heading1"/>
      </w:pPr>
      <w:r>
        <w:t>Appendix A – Environment Evidence (BSI.IT.23.C4.03)</w:t>
      </w:r>
    </w:p>
    <w:p>
      <w:pPr>
        <w:spacing w:before="160"/>
      </w:pPr>
      <w:r>
        <w:rPr>
          <w:rFonts w:ascii="Aptos" w:hAnsi="Aptos" w:cs="Aptos" w:eastAsia="Aptos"/>
          <w:b/>
          <w:i w:val="0"/>
          <w:color w:val="0078D4"/>
          <w:sz w:val="20"/>
        </w:rPr>
        <w:t>Exhibit A1: Production (left) vs non-production (right) – nslookup, T24 Server Login, Environment selection</w:t>
      </w:r>
    </w:p>
    <w:p>
      <w:pPr>
        <w:jc w:val="center"/>
      </w:pPr>
      <w:r>
        <w:drawing>
          <wp:inline xmlns:a="http://schemas.openxmlformats.org/drawingml/2006/main" xmlns:pic="http://schemas.openxmlformats.org/drawingml/2006/picture">
            <wp:extent cx="5852160" cy="3846874"/>
            <wp:docPr id="1" name="Picture 1"/>
            <wp:cNvGraphicFramePr>
              <a:graphicFrameLocks noChangeAspect="1"/>
            </wp:cNvGraphicFramePr>
            <a:graphic>
              <a:graphicData uri="http://schemas.openxmlformats.org/drawingml/2006/picture">
                <pic:pic>
                  <pic:nvPicPr>
                    <pic:cNvPr id="0" name="combo.png"/>
                    <pic:cNvPicPr/>
                  </pic:nvPicPr>
                  <pic:blipFill>
                    <a:blip r:embed="rId9"/>
                    <a:stretch>
                      <a:fillRect/>
                    </a:stretch>
                  </pic:blipFill>
                  <pic:spPr>
                    <a:xfrm>
                      <a:off x="0" y="0"/>
                      <a:ext cx="5852160" cy="3846874"/>
                    </a:xfrm>
                    <a:prstGeom prst="rect"/>
                  </pic:spPr>
                </pic:pic>
              </a:graphicData>
            </a:graphic>
          </wp:inline>
        </w:drawing>
      </w:r>
    </w:p>
    <w:p>
      <w:r>
        <w:rPr>
          <w:rFonts w:ascii="Aptos" w:hAnsi="Aptos" w:cs="Aptos" w:eastAsia="Aptos"/>
          <w:b w:val="0"/>
          <w:i/>
          <w:color w:val="475569"/>
          <w:sz w:val="17"/>
        </w:rPr>
        <w:t>Source: BSI.IT.23.C4.03 (images 1-3 production; 5-7 non-production). Same login ID MIASANG in both (OI-05).</w:t>
      </w:r>
    </w:p>
    <w:p>
      <w:pPr>
        <w:spacing w:before="160"/>
      </w:pPr>
      <w:r>
        <w:rPr>
          <w:rFonts w:ascii="Aptos" w:hAnsi="Aptos" w:cs="Aptos" w:eastAsia="Aptos"/>
          <w:b/>
          <w:i w:val="0"/>
          <w:color w:val="0078D4"/>
          <w:sz w:val="20"/>
        </w:rPr>
        <w:t>Exhibit A2: T24 production – ND.DEAL default list</w:t>
      </w:r>
    </w:p>
    <w:p>
      <w:pPr>
        <w:jc w:val="center"/>
      </w:pPr>
      <w:r>
        <w:drawing>
          <wp:inline xmlns:a="http://schemas.openxmlformats.org/drawingml/2006/main" xmlns:pic="http://schemas.openxmlformats.org/drawingml/2006/picture">
            <wp:extent cx="5852160" cy="3738442"/>
            <wp:docPr id="2" name="Picture 2"/>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5852160" cy="3738442"/>
                    </a:xfrm>
                    <a:prstGeom prst="rect"/>
                  </pic:spPr>
                </pic:pic>
              </a:graphicData>
            </a:graphic>
          </wp:inline>
        </w:drawing>
      </w:r>
    </w:p>
    <w:p>
      <w:r>
        <w:rPr>
          <w:rFonts w:ascii="Aptos" w:hAnsi="Aptos" w:cs="Aptos" w:eastAsia="Aptos"/>
          <w:b w:val="0"/>
          <w:i/>
          <w:color w:val="475569"/>
          <w:sz w:val="17"/>
        </w:rPr>
        <w:t>Source: BSI.IT.23.C4.03 (image 4). "T24 Desktop – BANCO SANTANDER INTL." – live NDF deals 03/2026 – 07/2026.</w:t>
      </w:r>
    </w:p>
    <w:p>
      <w:pPr>
        <w:spacing w:before="160"/>
      </w:pPr>
      <w:r>
        <w:rPr>
          <w:rFonts w:ascii="Aptos" w:hAnsi="Aptos" w:cs="Aptos" w:eastAsia="Aptos"/>
          <w:b/>
          <w:i w:val="0"/>
          <w:color w:val="0078D4"/>
          <w:sz w:val="20"/>
        </w:rPr>
        <w:t>Exhibit A3: T24 non-production MIAAFT28 – ND.DEAL default list</w:t>
      </w:r>
    </w:p>
    <w:p>
      <w:pPr>
        <w:jc w:val="center"/>
      </w:pPr>
      <w:r>
        <w:drawing>
          <wp:inline xmlns:a="http://schemas.openxmlformats.org/drawingml/2006/main" xmlns:pic="http://schemas.openxmlformats.org/drawingml/2006/picture">
            <wp:extent cx="5852160" cy="3766863"/>
            <wp:docPr id="3" name="Picture 3"/>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5852160" cy="3766863"/>
                    </a:xfrm>
                    <a:prstGeom prst="rect"/>
                  </pic:spPr>
                </pic:pic>
              </a:graphicData>
            </a:graphic>
          </wp:inline>
        </w:drawing>
      </w:r>
    </w:p>
    <w:p>
      <w:r>
        <w:rPr>
          <w:rFonts w:ascii="Aptos" w:hAnsi="Aptos" w:cs="Aptos" w:eastAsia="Aptos"/>
          <w:b w:val="0"/>
          <w:i/>
          <w:color w:val="475569"/>
          <w:sz w:val="17"/>
        </w:rPr>
        <w:t>Source: BSI.IT.23.C4.03 (image 8). "MIAAFT28 ON MIASX4 – SANTANDER OCT 2025 EOM" – test deals dated 11/2025.</w:t>
      </w:r>
    </w:p>
    <w:p>
      <w:pPr>
        <w:spacing w:after="120"/>
      </w:pPr>
      <w:r>
        <w:rPr>
          <w:rFonts w:ascii="Aptos" w:hAnsi="Aptos" w:cs="Aptos" w:eastAsia="Aptos"/>
          <w:b w:val="0"/>
          <w:i/>
          <w:sz w:val="18"/>
        </w:rPr>
        <w:t>Referenced workbook: WP 2026 BSI.IT.23.C4 Segregated Environments.xlsm – tab "Control Performance Assessment", row 53; tab "New Test Script".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