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BSI.IT.23.C13 – Design of System (Heracles ID 50541400) – Testing Procedures</w:t>
      </w:r>
    </w:p>
    <w:p>
      <w:r>
        <w:rPr>
          <w:sz w:val="18"/>
        </w:rPr>
        <w:t>Control type: Key, Manual, Preventative, In every operation  |  Review period: 09/01/2025 – 08/31/2026  |  Control Owner / Executor: Jose Luis Martinez Avial  |  Prepared by: Edward (IT RCSA – Cycle 2)  |  Reviewed by: Mingo Cordova, Mirna Roxana  |  Test date: 10/30/2026</w:t>
      </w:r>
    </w:p>
    <w:p>
      <w:r>
        <w:rPr>
          <w:b/>
          <w:sz w:val="18"/>
        </w:rPr>
        <w:t xml:space="preserve">Control statement: </w:t>
      </w:r>
      <w:r>
        <w:rPr>
          <w:sz w:val="18"/>
        </w:rPr>
        <w:t>As part of developing a new internal system, customizing vendor products, upgrading existing systems, or onboarding a new technology, the Project Team submits the Architecture Design artifacts for review and approval by Enterprise Architecture and submits the Data (logical, physical) model, Data artifacts mandated by Chief Data Officer (CDO) if the project had data impact for review and approval by the Data Governance team (CDO).</w:t>
      </w:r>
    </w:p>
    <w:p>
      <w:r>
        <w:rPr>
          <w:b/>
          <w:sz w:val="18"/>
        </w:rPr>
        <w:t xml:space="preserve">Risk: </w:t>
      </w:r>
      <w:r>
        <w:rPr>
          <w:sz w:val="18"/>
        </w:rPr>
        <w:t>[BSI.IT.23.R4 Lack of Design Phase] Insufficient identification and documentation of business and functional requirements for new or updated system designs, due to poorly established design phase process requirements, may result in business production issues and regulatory non-compliance. (Inherent risk: Moderate)</w:t>
      </w:r>
    </w:p>
    <w:p>
      <w:r>
        <w:rPr>
          <w:b/>
        </w:rPr>
        <w:t>Test of Design</w:t>
      </w:r>
    </w:p>
    <w:p>
      <w:r>
        <w:rPr>
          <w:b/>
        </w:rPr>
        <w:t>Process understanding</w:t>
      </w:r>
    </w:p>
    <w:p>
      <w:r>
        <w:t>The design understanding is based on the walkthrough performed by IT RCSA on 08/05/2025 with Jose Luis Martinez Avial (Systems Development Director) and on inspection of the 2026 SDLC process map "2026 PM_Systems Development Life Cycle (BSI)_v1" (version 2.0, Draft, 05/20/2026; Process Owner: Jose Luis Martinez Avial; BCO: Elizabeth Noda). The control sits in the Define phase, step 1.3 "Architecture Design is developed". For every SDLC project the Project Manager completes the Data Risk Assessment (DRA) in Delivery Hub with the Data Steward; the DRA rating drives CDO participation (LOW – CDO opts out; HIGH – CDO opts in) and the CDO decision is recorded at the Gate 3 – Prepare to Plan (PTP) disposition. The Project Team also submits the Architecture Design artifacts (Single Design / Single Technical Design, Data Flow Guide) to Enterprise Architecture, which approves them and confirms whether the Architecture Review Board (ARB) is required; the approval is uploaded to Delivery Hub as a Gate 5 artifact before implementation.</w:t>
      </w:r>
    </w:p>
    <w:p>
      <w:r>
        <w:t>Note: per the RCSA Testing Procedure (§4.3) walkthroughs are performed annually. The last walkthrough was held on 08/05/2025 and the 2026 process map is still in Draft. A 2026 walkthrough / confirmation of no change with the control owner is required (OBS-01).</w:t>
      </w:r>
    </w:p>
    <w:p>
      <w:r>
        <w:rPr>
          <w:b/>
        </w:rPr>
        <w:t>1. Is the control designed with an appropriate frequency or trigger?</w:t>
      </w:r>
    </w:p>
    <w:p>
      <w:r>
        <w:rPr>
          <w:b/>
        </w:rPr>
        <w:t xml:space="preserve">Yes. </w:t>
      </w:r>
      <w:r>
        <w:t>The control is designed with an "In every operation" trigger, which is appropriate to mitigate BSI.IT.23.R4 because every SDLC project must complete a DRA reviewed by the CDO before the Gate 3 decision and must have its Architecture Design approved by Enterprise Architecture before the implementation gate. Both checkpoints occur before production, so the control is preventative. The control statement does not define when the EA approval must occur; in practice it is a Gate 5 artifact obtained after the Gate 4 (PTB) start of Build (OBS-04).</w:t>
      </w:r>
    </w:p>
    <w:p>
      <w:r>
        <w:rPr>
          <w:b/>
        </w:rPr>
        <w:t>References:</w:t>
      </w:r>
    </w:p>
    <w:p>
      <w:r>
        <w:t>C13.01 - 2026 SDLC process map</w:t>
      </w:r>
    </w:p>
    <w:p>
      <w:r>
        <w:t>C13.02 - SDLC Project List</w:t>
      </w:r>
    </w:p>
    <w:p/>
    <w:p>
      <w:r>
        <w:rPr>
          <w:b/>
        </w:rPr>
        <w:t>2. Is there a defined audit trail/evidence which supports the execution of the control being performed?</w:t>
      </w:r>
    </w:p>
    <w:p>
      <w:r>
        <w:rPr>
          <w:b/>
        </w:rPr>
        <w:t xml:space="preserve">Yes. </w:t>
      </w:r>
      <w:r>
        <w:t>The defined audit trail is the Delivery Hub DRA form (rating, "Data Risk Assessment has been Approved", "CDO: Approved"), the Delivery Hub gate disposition record (meeting date, approval date, CDO In / Out) and the Enterprise Architecture approval e-mails uploaded to Delivery Hub or embedded in the Single Design. The evidence demonstrates the review and approval of the design and data artifacts and is sufficient to validate execution.</w:t>
      </w:r>
    </w:p>
    <w:p>
      <w:r>
        <w:rPr>
          <w:b/>
        </w:rPr>
        <w:t>References:</w:t>
      </w:r>
    </w:p>
    <w:p>
      <w:r>
        <w:t>C13.03 - SL DRA (Low)</w:t>
      </w:r>
    </w:p>
    <w:p>
      <w:r>
        <w:t>C13.04 - NDF DRA (High)</w:t>
      </w:r>
    </w:p>
    <w:p>
      <w:r>
        <w:t>BSI.IT.23.C13.05 / C13.06 - DRA Approval and Gate 3 (PTP) dispositions</w:t>
      </w:r>
    </w:p>
    <w:p>
      <w:r>
        <w:t>BSI.IT.23.C13.07 – C13.11 - Enterprise Architecture approvals</w:t>
      </w:r>
    </w:p>
    <w:p/>
    <w:p>
      <w:r>
        <w:rPr>
          <w:b/>
        </w:rPr>
        <w:t>3. Is the control aligned with internal policies and/or applicable regulations?</w:t>
      </w:r>
    </w:p>
    <w:p>
      <w:r>
        <w:rPr>
          <w:b/>
        </w:rPr>
        <w:t xml:space="preserve">Yes. </w:t>
      </w:r>
      <w:r>
        <w:t>The control is aligned with the Santander US System Development Life Cycle (SDLC) Standard and the BSI SDLC process map (C13.01, step 1.3), and with the CDO Data Management requirements that drive the DRA. The 2026 process map is still in Draft (OBS-01).</w:t>
      </w:r>
    </w:p>
    <w:p>
      <w:r>
        <w:rPr>
          <w:b/>
        </w:rPr>
        <w:t>References:</w:t>
      </w:r>
    </w:p>
    <w:p>
      <w:r>
        <w:t>C13.01 - 2026 SDLC process map</w:t>
      </w:r>
    </w:p>
    <w:p/>
    <w:p>
      <w:r>
        <w:rPr>
          <w:b/>
        </w:rPr>
        <w:t>4. Are the thresholds for execution/resolution appropriate?</w:t>
      </w:r>
    </w:p>
    <w:p>
      <w:r>
        <w:rPr>
          <w:b/>
        </w:rPr>
        <w:t xml:space="preserve">Not applicable. </w:t>
      </w:r>
      <w:r>
        <w:t>No threshold is associated with this control; it applies to every SDLC project. The DRA rating (Low / High) determines CDO participation. (Question required only for SMC controls.)</w:t>
      </w:r>
    </w:p>
    <w:p/>
    <w:p>
      <w:r>
        <w:rPr>
          <w:b/>
        </w:rPr>
        <w:t>5. To what level is the issue escalation process defined and implemented?</w:t>
      </w:r>
    </w:p>
    <w:p>
      <w:r>
        <w:rPr>
          <w:b/>
        </w:rPr>
        <w:t xml:space="preserve">Full. </w:t>
      </w:r>
      <w:r>
        <w:t>Each phase has a gate checkpoint where the Project Manager confirms the phase artifacts before the next phase; a gate is not approved without the required DRA / EA approvals. The PMO escalates missing EA confirmations before gate meetings (e.g. C13.08, C13.09) and project status is reported monthly to the Technology Working Group (TWG – Green / Amber / Red).</w:t>
      </w:r>
    </w:p>
    <w:p>
      <w:r>
        <w:rPr>
          <w:b/>
        </w:rPr>
        <w:t>References:</w:t>
      </w:r>
    </w:p>
    <w:p>
      <w:r>
        <w:t>C13.08 - SL EA Appian no impact 02-09-2026</w:t>
      </w:r>
    </w:p>
    <w:p>
      <w:r>
        <w:t>C13.09 - SL EA no ARB 05-12-2026</w:t>
      </w:r>
    </w:p>
    <w:p/>
    <w:p>
      <w:r>
        <w:rPr>
          <w:b/>
        </w:rPr>
        <w:t>6. How reliable is the information which the control is dependent upon?</w:t>
      </w:r>
    </w:p>
    <w:p>
      <w:r>
        <w:rPr>
          <w:b/>
        </w:rPr>
        <w:t xml:space="preserve">Moderately Reliable. </w:t>
      </w:r>
      <w:r>
        <w:t>DRA forms and gate dispositions are Delivery Hub records, but the DRA approval date is only visible on the gate record, EA approvals are given by e-mail and attached manually, and the CDO-mandated deliverables for a HIGH DRA are not stored with the DRA (OBS-05). The reliability depends on the manual handling of these artifacts.</w:t>
      </w:r>
    </w:p>
    <w:p>
      <w:r>
        <w:rPr>
          <w:b/>
        </w:rPr>
        <w:t>References:</w:t>
      </w:r>
    </w:p>
    <w:p>
      <w:r>
        <w:t>BSI.IT.23.C13.05 / C13.06 - DRA Approval and Gate 3 (PTP) dispositions</w:t>
      </w:r>
    </w:p>
    <w:p/>
    <w:p>
      <w:r>
        <w:rPr>
          <w:b/>
        </w:rPr>
        <w:t>7. Is the process to obtain evidence of the control execution simple?</w:t>
      </w:r>
    </w:p>
    <w:p>
      <w:r>
        <w:rPr>
          <w:b/>
        </w:rPr>
        <w:t xml:space="preserve">Yes. </w:t>
      </w:r>
      <w:r>
        <w:t>DRA screens, gate dispositions and EA approvals are downloaded from Delivery Hub by the PMO (Joshua De Leon) on request.</w:t>
      </w:r>
    </w:p>
    <w:p>
      <w:r>
        <w:rPr>
          <w:b/>
        </w:rPr>
        <w:t>References:</w:t>
      </w:r>
    </w:p>
    <w:p>
      <w:r>
        <w:t>BSI.IT.23.C13.03 – C13.11</w:t>
      </w:r>
    </w:p>
    <w:p/>
    <w:p>
      <w:r>
        <w:rPr>
          <w:b/>
        </w:rPr>
        <w:t>8. Walkthrough / Test of One Summary (EASE – CDA Job Aid §4.1)</w:t>
      </w:r>
    </w:p>
    <w:p>
      <w:r>
        <w:t>On 10/30/2026, Edward (IT RCSA) performed the CDA Walkthrough / Test of One for BSI.IT.23.C13 Design of System through inspection of Sample 1 ALCO – Security Lending (DH 3263) and Sample 2 Derivatives Non-Deliverable Forwards – NDF (DH 3264), the two projects provided in the evidence folder and selected from the Delivery Hub SDLC Project List for 09/01/2025 – 08/31/2026. No 2026 walkthrough meeting was held; the process understanding is based on the walkthrough of 08/05/2025 with Jose Luis Martinez Avial (Systems Development Director) and the 2026 SDLC process map (v2.0 Draft).</w:t>
      </w:r>
    </w:p>
    <w:p>
      <w:r>
        <w:t>The control is triggered by every SDLC project / release and performed in every operation by the Project Manager (submission), the Data Steward / CDO (Data Risk Assessment) and Enterprise Architecture (design approval). The DRA is completed in Delivery Hub and the CDO decision is recorded at the Gate 3 – Prepare to Plan disposition; the Architecture Design (Single Design / Single Technical Design, Data Flow Guide) is approved by the Enterprise Architect before implementation.</w:t>
      </w:r>
    </w:p>
    <w:p>
      <w:r>
        <w:t>Sample 1 – Security Lending: the tester reviewed the DRA (LOW, "CDO: Approved") and the Gate 3 disposition (meeting 08/01/2025, approval 10/01/2025, CDO "Out"), and the Enterprise Architecture approvals of 12/04/2025, 02/09/2026 (Appian release – no architecture impact) and 05/12/2026 (T24 release – no ARB required), all before production on 03/13/2026 and 06/26/2026 (C13.03, C13.05, C13.07 – C13.09).</w:t>
      </w:r>
    </w:p>
    <w:p>
      <w:r>
        <w:t>Sample 2 – NDF: the tester reviewed the DRA (HIGH, "CDO: Approved") and the Gate 3 disposition (meeting 07/11/2025, approval 07/28/2025, CDO "In"), and the Enterprise Architecture approvals of 12/10/2025 (RL1) and 03/24/2026 (RL2), before production on 01/28/2026 and 05/08/2026 (C13.04, C13.06, C13.10, C13.11).</w:t>
      </w:r>
    </w:p>
    <w:p>
      <w:r>
        <w:t>The evidence demonstrates that design and data governance reviews were completed and approved before implementation and is retained in Delivery Hub. When an approval is missing, the gate is not approved and the PM / PMO escalate before the gate meeting (C13.08, C13.09). Variation: LOW versus HIGH DRA (CDO out / in) and Appian versus T24 platforms – both reviewed.</w:t>
      </w:r>
    </w:p>
    <w:p>
      <w:r>
        <w:t>Based on the walkthrough and evidence reviewed, design observations OBS-04 (EA approval obtained after the start of Build) and OBS-05 (NDF CDO deliverables not stored separately) were identified. The control is appropriately designed to mitigate BSI.IT.23.R4 because design and data risks are reviewed by the accountable functions before implementation.</w:t>
      </w:r>
    </w:p>
    <w:p/>
    <w:p>
      <w:r>
        <w:rPr>
          <w:b/>
        </w:rPr>
        <w:t>9. Competency of Control Owner / Performer (EASE – CDA Job Aid §4.4)</w:t>
      </w:r>
    </w:p>
    <w:p>
      <w:r>
        <w:t>Based on inquiry (2025 walkthrough) and the 2026 evidence, the Control Owner / Executor (Jose Luis Martinez Avial, BSI Development Director – IT Lead on both DRAs) and the Project Managers (Marcus Medeiros, Domingo Megia Planet) demonstrated an appropriate understanding of the control purpose (preventing undocumented or unreviewed designs), the key activities (DRA, CDO gate decision, EA submission), the evidence required (Delivery Hub DRA, gate disposition, EA approval e-mail) and the escalation responsibilities (PMO escalation before gates). The Enterprise Architect (Jofman Perez, VP) and the CDO hold the authority to approve. Competency to be re-confirmed in the 2026 walkthrough.</w:t>
      </w:r>
    </w:p>
    <w:p/>
    <w:p>
      <w:r>
        <w:rPr>
          <w:b/>
        </w:rPr>
        <w:t>10. Overall CDA Comment – Overall Control Design Assessment Rating (EASE Q10 – CDA Job Aid §4.6)</w:t>
      </w:r>
    </w:p>
    <w:p>
      <w:r>
        <w:t>The control is appropriately designed to mitigate BSI.IT.23.R4 Lack of Design Phase. The trigger (every SDLC project / release) is appropriate because the DRA is reviewed before Gate 3 and the Architecture Design before implementation. Execution is evidenced by the DRA, the Gate 3 disposition and the Enterprise Architecture approval e-mails retained in Delivery Hub, and the evidence process is clear, practical and sustainable. The control is aligned with the SDLC Standard and the BSI SDLC process map (step 1.3). No threshold is directly associated with this control. Escalation is fully defined and implemented. The information used is moderately reliable because it relies on Delivery Hub records and manual e-mail approvals. The control nature of Manual is appropriate because the Enterprise Architect and the CDO review and approve the artifacts. Based on the walkthrough and evidence for both samples, the design rating is Satisfactory (manual control – cannot exceed Satisfactory).</w:t>
      </w:r>
    </w:p>
    <w:p>
      <w:r>
        <w:rPr>
          <w:b/>
        </w:rPr>
        <w:t xml:space="preserve">Overall Rating: </w:t>
      </w:r>
      <w:r>
        <w:t>Satisfactory. Manual control – per the RCSA Testing Procedure (§4.3.5) the rating cannot exceed Satisfactory.</w:t>
      </w:r>
    </w:p>
    <w:p>
      <w:r>
        <w:rPr>
          <w:b/>
        </w:rPr>
        <w:t>References:</w:t>
      </w:r>
    </w:p>
    <w:p>
      <w:r>
        <w:t>C13.01 - 2026 SDLC process map</w:t>
      </w:r>
    </w:p>
    <w:p>
      <w:r>
        <w:t>C13.02 - SDLC Project List</w:t>
      </w:r>
    </w:p>
    <w:p>
      <w:r>
        <w:t>BSI.IT.23.C13.06 / C13.10 / C13.11</w:t>
      </w:r>
    </w:p>
    <w:p/>
    <w:p>
      <w:r>
        <w:rPr>
          <w:b/>
        </w:rPr>
        <w:t>Sampling Rationale</w:t>
      </w:r>
    </w:p>
    <w:p>
      <w:r>
        <w:t>Samples: the two projects provided in the evidence folder (New Evidences SDLC Controls-10-30-2026\SDLC Controls-10-30-2026\Evidence) – Sample 1 ALCO – Security Lending (DH 3263) and Sample 2 Derivatives Non-Deliverable Forwards – NDF (DH 3264). Each sample covers both releases of the project.</w:t>
      </w:r>
    </w:p>
    <w:p>
      <w:r>
        <w:t>The population consisted of two in-scope SDLC projects, DH 3263 ALCO – Security Lending and DH 3264 Derivatives NDF, with a total of four production releases implemented during the review period. The control is manual and operates "In every operation" (once per SDLC project / release). Per the RCSA Testing Procedure (§4.4.2 and §4.4.4), where the population is smaller than the required sample size the entire population is tested. A judgmental sample of both projects (all four releases) was therefore selected, providing full population coverage.</w:t>
      </w:r>
    </w:p>
    <w:p>
      <w:r>
        <w:t>The sample includes a LOW-rated DRA (CDO opted out) and a HIGH-rated DRA (CDO opted in), two platforms (Appian and T24) and initial and enhancement releases, so it is sufficient to assess both Enterprise Architecture and CDO review requirements.</w:t>
      </w:r>
    </w:p>
    <w:p/>
    <w:p>
      <w:r>
        <w:rPr>
          <w:b/>
        </w:rPr>
        <w:t>The RCSA team performed the following testing procedures:</w:t>
      </w:r>
    </w:p>
    <w:p>
      <w:r>
        <w:t>(Source: IT RCSA 2026 Test Plan, tab "New test scripts", Heracles ID 50541400)</w:t>
      </w:r>
    </w:p>
    <w:p>
      <w:r>
        <w:rPr>
          <w:b/>
        </w:rPr>
        <w:t>1. Obtain Evidence</w:t>
      </w:r>
    </w:p>
    <w:p>
      <w:r>
        <w:rPr>
          <w:b/>
        </w:rPr>
        <w:t>Obtain the population of projects delivered during the testing period that involved development activities (new internal systems, vendor product customization, system upgrades, or onboarding of new technology), along with supporting documentation identifying project scope and applicable governance reviews. Obtain Architecture Design artifacts, Enterprise Architecture approval evidence, and where data impact exists, Data Governance/CDO-required artifacts and approval evidence.</w:t>
      </w:r>
    </w:p>
    <w:p>
      <w:r>
        <w:rPr>
          <w:b/>
        </w:rPr>
        <w:t>2. Validate Report Completeness and Accuracy</w:t>
      </w:r>
    </w:p>
    <w:p>
      <w:r>
        <w:rPr>
          <w:b/>
        </w:rPr>
        <w:t>Validate the completeness and accuracy of the project population by reconciling it to an independent source used to track project delivery activities. Confirm the population includes all projects meeting the control criteria and that key project attributes are accurately reflected.</w:t>
      </w:r>
    </w:p>
    <w:p>
      <w:r>
        <w:rPr>
          <w:b/>
        </w:rPr>
        <w:t>3. Validate Population and Scope</w:t>
      </w:r>
    </w:p>
    <w:p>
      <w:r>
        <w:rPr>
          <w:b/>
        </w:rPr>
        <w:t>Select a sample of projects from the validated population in accordance with the approved RCSA sampling methodology. Determine whether each sampled project involved activities subject to the control, including development of a new internal system, vendor product customization, system upgrade, or onboarding of new technology, and whether data-impact considerations were applicable.</w:t>
      </w:r>
    </w:p>
    <w:p>
      <w:r>
        <w:rPr>
          <w:b/>
        </w:rPr>
        <w:t>4. Verify Control Execution</w:t>
      </w:r>
    </w:p>
    <w:p>
      <w:r>
        <w:rPr>
          <w:b/>
        </w:rPr>
        <w:t>For each sampled project, inspect evidence to verify that Architecture Design artifacts were submitted for review and approval by Enterprise Architecture prior to implementation. For projects with data impact, verify that applicable logical data models, physical data models, and other CDO-mandated data artifacts were submitted for review and approval by the Data Governance team.</w:t>
      </w:r>
    </w:p>
    <w:p>
      <w:r>
        <w:rPr>
          <w:b/>
        </w:rPr>
        <w:t>5. Validate Control Results</w:t>
      </w:r>
    </w:p>
    <w:p>
      <w:r>
        <w:rPr>
          <w:b/>
        </w:rPr>
        <w:t>Verify that required approvals were formally documented, provided by the appropriate approval authority, and evidenced completion of the review process. Where a project has data impact, confirm both Enterprise Architecture and Data Governance/CDO review requirements were satisfied, as applicable.</w:t>
      </w:r>
    </w:p>
    <w:p>
      <w:r>
        <w:rPr>
          <w:b/>
        </w:rPr>
        <w:t>6. Verify Exception Handling</w:t>
      </w:r>
    </w:p>
    <w:p>
      <w:r>
        <w:rPr>
          <w:b/>
        </w:rPr>
        <w:t>Determine whether any sampled projects lacked required submissions, reviews, or approvals. Where exceptions exist, inspect supporting documentation to understand the nature, rationale, approval status, and disposition of the exception.</w:t>
      </w:r>
    </w:p>
    <w:p>
      <w:r>
        <w:rPr>
          <w:b/>
        </w:rPr>
        <w:t>7. Verify Escalation and Remediation</w:t>
      </w:r>
    </w:p>
    <w:p>
      <w:r>
        <w:rPr>
          <w:b/>
        </w:rPr>
        <w:t>For identified exceptions, verify whether the issue was escalated through the appropriate governance or management channel and whether remediation actions, compensating actions, or documented risk acceptance were recorded, where applicable.</w:t>
      </w:r>
    </w:p>
    <w:p>
      <w:r>
        <w:rPr>
          <w:b/>
        </w:rPr>
        <w:t>8. Assess Risk Mitigation</w:t>
      </w:r>
    </w:p>
    <w:p>
      <w:r>
        <w:rPr>
          <w:b/>
        </w:rPr>
        <w:t>Assess whether the control activities performed provide evidence that design and data governance requirements were reviewed and approved prior to implementation, thereby mitigating the risk of incomplete system design, production issues, and regulatory non-compliance.</w:t>
      </w:r>
    </w:p>
    <w:p>
      <w:r>
        <w:rPr>
          <w:b/>
        </w:rPr>
        <w:t>9. Summarize Testing Coverage</w:t>
      </w:r>
    </w:p>
    <w:p>
      <w:r>
        <w:rPr>
          <w:b/>
        </w:rPr>
        <w:t>Document: Population source(s) reviewed.; Sample selected in accordance with approved RCSA methodology.; Projects tested.; Control attributes evaluated.; Exceptions identified, if any.; Escalation and remediation activities reviewed, if applicable.</w:t>
      </w:r>
    </w:p>
    <w:p/>
    <w:p>
      <w:r>
        <w:rPr>
          <w:b/>
        </w:rPr>
        <w:t xml:space="preserve">Testing method: </w:t>
      </w:r>
      <w:r>
        <w:t>Inspection (primary) supported by inquiry. Per the RCSA Testing Procedure (§4.4.1), inquiry is not relied upon as the sole basis for any conclusion. Key attributes tested per project: (A1) Architecture Design artifacts approved by Enterprise Architecture prior to implementation; (A2) DRA / CDO-mandated data artifacts reviewed and approved by the Data Governance team (CDO) prior to implementation.</w:t>
      </w:r>
    </w:p>
    <w:p/>
    <w:p>
      <w:r>
        <w:rPr>
          <w:b/>
        </w:rPr>
        <w:t>Execution of the testing procedures</w:t>
      </w:r>
    </w:p>
    <w:p>
      <w:r>
        <w:rPr>
          <w:b/>
        </w:rPr>
        <w:t>1. IT RCSA obtained the following evidence from the PMO for the period September 1, 2025 through August 31, 2026:</w:t>
      </w:r>
    </w:p>
    <w:p>
      <w:pPr>
        <w:pStyle w:val="ListParagraph"/>
        <w:numPr>
          <w:ilvl w:val="0"/>
          <w:numId w:val="2"/>
        </w:numPr>
        <w:spacing w:after="60"/>
      </w:pPr>
      <w:r>
        <w:rPr>
          <w:b/>
        </w:rPr>
        <w:t xml:space="preserve">Project population: </w:t>
      </w:r>
      <w:r>
        <w:t>the Delivery Hub "SDLC Project List" export, containing 100 BSI change initiatives; two projects are flagged as SDLC (DH 3263, DH 3264), each delivered in two releases.</w:t>
      </w:r>
    </w:p>
    <w:p>
      <w:pPr>
        <w:pStyle w:val="ListParagraph"/>
        <w:numPr>
          <w:ilvl w:val="0"/>
          <w:numId w:val="2"/>
        </w:numPr>
        <w:spacing w:after="60"/>
      </w:pPr>
      <w:r>
        <w:rPr>
          <w:b/>
        </w:rPr>
        <w:t xml:space="preserve">Data Risk Assessments: </w:t>
      </w:r>
      <w:r>
        <w:t>DRA screens for both projects (C13.03, C13.04) and, new on 10/30/2026, the DRA approval memos with the Delivery Hub Gate 3 (PTP) disposition screens (C13.05, C13.06).</w:t>
      </w:r>
    </w:p>
    <w:p>
      <w:pPr>
        <w:pStyle w:val="ListParagraph"/>
        <w:numPr>
          <w:ilvl w:val="0"/>
          <w:numId w:val="2"/>
        </w:numPr>
        <w:spacing w:after="60"/>
      </w:pPr>
      <w:r>
        <w:rPr>
          <w:b/>
        </w:rPr>
        <w:t xml:space="preserve">Enterprise Architecture approvals: </w:t>
      </w:r>
      <w:r>
        <w:t>approval e-mails for the Single Design / Single Technical Design and Data Flow Guide of both projects and all releases (C13.07 – C13.11; received in the C17 folder and filed here as cross-reference).</w:t>
      </w:r>
    </w:p>
    <w:p>
      <w:pPr>
        <w:pStyle w:val="ListParagraph"/>
        <w:numPr>
          <w:ilvl w:val="0"/>
          <w:numId w:val="2"/>
        </w:numPr>
        <w:spacing w:after="60"/>
      </w:pPr>
      <w:r>
        <w:rPr>
          <w:b/>
        </w:rPr>
        <w:t xml:space="preserve">SDLC process map: </w:t>
      </w:r>
      <w:r>
        <w:t>the 2026 BSI SDLC process map, step 1.3.</w:t>
      </w:r>
    </w:p>
    <w:p>
      <w:r>
        <w:rPr>
          <w:b/>
        </w:rPr>
        <w:t xml:space="preserve">Test Result: </w:t>
      </w:r>
      <w:r>
        <w:t>Completed. All requested evidence was obtained, except the CDO-mandated data model / lineage deliverables for NDF (OBS-05).</w:t>
      </w:r>
    </w:p>
    <w:p>
      <w:r>
        <w:rPr>
          <w:b/>
        </w:rPr>
        <w:t xml:space="preserve">Reference: </w:t>
      </w:r>
      <w:r>
        <w:t>BSI.IT.23.C13.01 – BSI.IT.23.C13.11</w:t>
      </w:r>
    </w:p>
    <w:p/>
    <w:p>
      <w:r>
        <w:rPr>
          <w:b/>
        </w:rPr>
        <w:t>2. IT RCSA validated the completeness and accuracy of the project population:</w:t>
      </w:r>
    </w:p>
    <w:p>
      <w:pPr>
        <w:pStyle w:val="ListParagraph"/>
        <w:numPr>
          <w:ilvl w:val="0"/>
          <w:numId w:val="2"/>
        </w:numPr>
        <w:spacing w:after="60"/>
      </w:pPr>
      <w:r>
        <w:rPr>
          <w:b/>
        </w:rPr>
        <w:t xml:space="preserve">Record count. </w:t>
      </w:r>
      <w:r>
        <w:t>The export contains 100 records: 74 IT projects, 24 non-IT projects and 2 without a type. Of these, 2 are flagged SDLC "Yes", 6 "No" and 92 are blank.</w:t>
      </w:r>
    </w:p>
    <w:p>
      <w:pPr>
        <w:pStyle w:val="ListParagraph"/>
        <w:numPr>
          <w:ilvl w:val="0"/>
          <w:numId w:val="2"/>
        </w:numPr>
        <w:spacing w:after="60"/>
      </w:pPr>
      <w:r>
        <w:rPr>
          <w:b/>
        </w:rPr>
        <w:t xml:space="preserve">Accuracy. </w:t>
      </w:r>
      <w:r>
        <w:t>IT RCSA traced the two SDLC projects to their ServiceNow release tickets – DH 3263 to RLSE1271544 (description "[ID:3263]") and RLSE1370716 ("Securities Lending – Release 2"); DH 3264 to RLSE1270306 ("DH:3264") and RLSE1329424 ("3264 – Derivatives OTC Customer phase 1 (NDF)"). Project ID, name, system (T24 / Appian), Change Sponsor (Ted Fernandez), phase (Closed) and close date (09/02/2026) agreed. No differences were noted.</w:t>
      </w:r>
    </w:p>
    <w:p>
      <w:pPr>
        <w:pStyle w:val="ListParagraph"/>
        <w:numPr>
          <w:ilvl w:val="0"/>
          <w:numId w:val="2"/>
        </w:numPr>
        <w:spacing w:after="60"/>
      </w:pPr>
      <w:r>
        <w:rPr>
          <w:b/>
        </w:rPr>
        <w:t xml:space="preserve">Completeness. </w:t>
      </w:r>
      <w:r>
        <w:t>Six projects flagged "No" (3602, 3270, 3737, 3668, 3517, 31422) were accepted as non-development projects per the PMO classification. Two closed IT projects – 3512 Discretionary Portfolio Mandate (closed 03/30/2026) and 3625 Alternative Investments 2025 – have a blank SDLC flag with no documented rationale. No independent list of production releases (ServiceNow RLSE export, category Deployment), query or extraction screenshot was provided to confirm the population is complete.</w:t>
      </w:r>
    </w:p>
    <w:p>
      <w:r>
        <w:rPr>
          <w:b/>
        </w:rPr>
        <w:t xml:space="preserve">Test Result: </w:t>
      </w:r>
      <w:r>
        <w:t>Pass (accuracy). The population is accurate. Completeness could not be re-performed because no independent release list was provided; this is observation OBS-11 (was OI-03, common to all BSI SDLC controls) and does not affect the sample results.</w:t>
      </w:r>
    </w:p>
    <w:p>
      <w:r>
        <w:rPr>
          <w:b/>
        </w:rPr>
        <w:t xml:space="preserve">Reference: </w:t>
      </w:r>
      <w:r>
        <w:t>BSI.IT.23.C13.02; BSI.IT.23.C25.03, C25.06, C25.08, C25.11</w:t>
      </w:r>
    </w:p>
    <w:p/>
    <w:p>
      <w:r>
        <w:rPr>
          <w:b/>
        </w:rPr>
        <w:t>3. IT RCSA confirmed the testing scope and selected the sample:</w:t>
      </w:r>
    </w:p>
    <w:p>
      <w:pPr>
        <w:pStyle w:val="ListParagraph"/>
        <w:numPr>
          <w:ilvl w:val="0"/>
          <w:numId w:val="2"/>
        </w:numPr>
        <w:spacing w:after="60"/>
      </w:pPr>
      <w:r>
        <w:t>Both projects involve development or vendor product customization and both DRAs answer "Yes" to "system development project that will impact data", so Enterprise Architecture and CDO review both apply.</w:t>
      </w:r>
    </w:p>
    <w:p>
      <w:pPr>
        <w:pStyle w:val="ListParagraph"/>
        <w:numPr>
          <w:ilvl w:val="0"/>
          <w:numId w:val="2"/>
        </w:numPr>
        <w:spacing w:after="60"/>
      </w:pPr>
      <w:r>
        <w:t>As the control is manual, performed "in every operation", and the population is only 2 projects / 4 releases, IT RCSA tested 100% of the population:</w:t>
      </w:r>
    </w:p>
    <w:p>
      <w:pPr>
        <w:pStyle w:val="ListParagraph"/>
        <w:numPr>
          <w:ilvl w:val="0"/>
          <w:numId w:val="2"/>
        </w:numPr>
        <w:spacing w:after="60"/>
      </w:pPr>
      <w:r>
        <w:rPr>
          <w:b/>
        </w:rPr>
        <w:t xml:space="preserve">Sample 1 – R01: </w:t>
      </w:r>
      <w:r>
        <w:t>DH 3263 Security Lending – RLSE1271544 / CHG002674318 – Appian, new Security Lending Workflow (SLW) – production 03/13/2026 18:21</w:t>
      </w:r>
    </w:p>
    <w:p>
      <w:pPr>
        <w:pStyle w:val="ListParagraph"/>
        <w:numPr>
          <w:ilvl w:val="0"/>
          <w:numId w:val="2"/>
        </w:numPr>
        <w:spacing w:after="60"/>
      </w:pPr>
      <w:r>
        <w:rPr>
          <w:b/>
        </w:rPr>
        <w:t xml:space="preserve">Sample 1 – R02: </w:t>
      </w:r>
      <w:r>
        <w:t>DH 3263 Security Lending – RLSE1370716 / CHG003017994 – T24, Securities Lending Release 2 – production 06/26/2026 22:30</w:t>
      </w:r>
    </w:p>
    <w:p>
      <w:pPr>
        <w:pStyle w:val="ListParagraph"/>
        <w:numPr>
          <w:ilvl w:val="0"/>
          <w:numId w:val="2"/>
        </w:numPr>
        <w:spacing w:after="60"/>
      </w:pPr>
      <w:r>
        <w:rPr>
          <w:b/>
        </w:rPr>
        <w:t xml:space="preserve">Sample 2 – R01: </w:t>
      </w:r>
      <w:r>
        <w:t>DH 3264 Derivatives NDF – RLSE1270306 / CHG002670462 – T24, NDF Project Release 1 (new NDF module) – production 01/28/2026 02:40</w:t>
      </w:r>
    </w:p>
    <w:p>
      <w:pPr>
        <w:pStyle w:val="ListParagraph"/>
        <w:numPr>
          <w:ilvl w:val="0"/>
          <w:numId w:val="2"/>
        </w:numPr>
        <w:spacing w:after="60"/>
      </w:pPr>
      <w:r>
        <w:rPr>
          <w:b/>
        </w:rPr>
        <w:t xml:space="preserve">Sample 2 – R02: </w:t>
      </w:r>
      <w:r>
        <w:t>DH 3264 Derivatives NDF – RLSE1329424 / CHG002864467 – T24, NDF Release 2 – production 05/08/2026 01:00</w:t>
      </w:r>
    </w:p>
    <w:p>
      <w:r>
        <w:rPr>
          <w:b/>
        </w:rPr>
        <w:t xml:space="preserve">Test Result: </w:t>
      </w:r>
      <w:r>
        <w:t>Pass. The sample covers all in-scope projects and releases in the review period.</w:t>
      </w:r>
    </w:p>
    <w:p>
      <w:r>
        <w:rPr>
          <w:b/>
        </w:rPr>
        <w:t xml:space="preserve">Reference: </w:t>
      </w:r>
      <w:r>
        <w:t>BSI.IT.23.C13.02 – C13.04</w:t>
      </w:r>
    </w:p>
    <w:p/>
    <w:p>
      <w:r>
        <w:rPr>
          <w:b/>
        </w:rPr>
        <w:t>4. IT RCSA inspected the evidence for each project to verify that Architecture Design artifacts and data artifacts were submitted for review and approval before implementation:</w:t>
      </w:r>
    </w:p>
    <w:p>
      <w:r>
        <w:rPr>
          <w:b/>
        </w:rPr>
        <w:t>Sample 1 – DH 3263 Security Lending</w:t>
      </w:r>
    </w:p>
    <w:p>
      <w:pPr>
        <w:pStyle w:val="ListParagraph"/>
        <w:numPr>
          <w:ilvl w:val="0"/>
          <w:numId w:val="2"/>
        </w:numPr>
        <w:spacing w:after="60"/>
      </w:pPr>
      <w:r>
        <w:rPr>
          <w:b/>
        </w:rPr>
        <w:t xml:space="preserve">Architecture Design (A1): </w:t>
      </w:r>
      <w:r>
        <w:t>Enterprise Architecture (Jofman Perez, Enterprise Architect) approved the "3263 – Security Lending – Single Design" by e-mail on 12/04/2025 ("Approved!") following the PM request of 12/02/2025 (C13.07). For the Appian release EA confirmed on 02/09/2026 "there is no impact on the Architecture" (C13.08); for the T24 release EA confirmed on 05/12/2026 "the Release won't require ARB approval" (C13.09). Production 03/13/2026 and 06/26/2026.</w:t>
      </w:r>
    </w:p>
    <w:p>
      <w:pPr>
        <w:pStyle w:val="ListParagraph"/>
        <w:numPr>
          <w:ilvl w:val="0"/>
          <w:numId w:val="2"/>
        </w:numPr>
        <w:spacing w:after="60"/>
      </w:pPr>
      <w:r>
        <w:rPr>
          <w:b/>
        </w:rPr>
        <w:t xml:space="preserve">Data Governance (A2): </w:t>
      </w:r>
      <w:r>
        <w:t>DRA rated LOW – "CDO: Approved"; not an existing KDE; platforms T24, Tableau, CREAM, Appian; Data Steward Miguel Menendez (C13.03). Gate 3 (PTP) meeting 08/01/2025, release ALL, approval date 10/01/2025, CDO "Out" (LOW DRA → CDO opts out) (C13.05). Before Gate 4 (PTB 10/31/2025) and production.</w:t>
      </w:r>
    </w:p>
    <w:p>
      <w:r>
        <w:rPr>
          <w:b/>
        </w:rPr>
        <w:t>Sample 2 – DH 3264 Derivatives NDF</w:t>
      </w:r>
    </w:p>
    <w:p>
      <w:pPr>
        <w:pStyle w:val="ListParagraph"/>
        <w:numPr>
          <w:ilvl w:val="0"/>
          <w:numId w:val="2"/>
        </w:numPr>
        <w:spacing w:after="60"/>
      </w:pPr>
      <w:r>
        <w:rPr>
          <w:b/>
        </w:rPr>
        <w:t xml:space="preserve">Architecture Design (A1): </w:t>
      </w:r>
      <w:r>
        <w:t>EA approved the RL1 Single Technical Design and Data Flow Guide on 12/10/2025 (C13.10) and the RL2 documents on 03/24/2026 (C13.11); ARB criteria all "No". Production 01/28/2026 and 05/08/2026.</w:t>
      </w:r>
    </w:p>
    <w:p>
      <w:pPr>
        <w:pStyle w:val="ListParagraph"/>
        <w:numPr>
          <w:ilvl w:val="0"/>
          <w:numId w:val="2"/>
        </w:numPr>
        <w:spacing w:after="60"/>
      </w:pPr>
      <w:r>
        <w:rPr>
          <w:b/>
        </w:rPr>
        <w:t xml:space="preserve">Data Governance (A2): </w:t>
      </w:r>
      <w:r>
        <w:t>DRA rated HIGH – "CDO: Approved"; existing KDE and non-KDE used in regulatory / senior management reporting; existing lineage impacted (C13.04). Gate 3 (PTP) meeting 07/11/2025, release ALL, approval date 07/28/2025, CDO "In" (C13.06). Before Gate 4 PTB R01 (10/31/2025) and production. The CDO-mandated data model / lineage deliverables were not provided separately (OBS-05).</w:t>
      </w:r>
    </w:p>
    <w:p>
      <w:r>
        <w:rPr>
          <w:b/>
        </w:rPr>
        <w:t xml:space="preserve">Test Result: </w:t>
      </w:r>
      <w:r>
        <w:t>Pass. Both projects had their Architecture Design approved by Enterprise Architecture and their DRA approved by the CDO before implementation.</w:t>
      </w:r>
    </w:p>
    <w:p>
      <w:r>
        <w:rPr>
          <w:b/>
        </w:rPr>
        <w:t xml:space="preserve">Reference: </w:t>
      </w:r>
      <w:r>
        <w:t>BSI.IT.23.C13.03 – BSI.IT.23.C13.11</w:t>
      </w:r>
    </w:p>
    <w:p/>
    <w:p>
      <w:r>
        <w:rPr>
          <w:b/>
        </w:rPr>
        <w:t>5. IT RCSA validated the approval evidence:</w:t>
      </w:r>
    </w:p>
    <w:p>
      <w:pPr>
        <w:pStyle w:val="ListParagraph"/>
        <w:numPr>
          <w:ilvl w:val="0"/>
          <w:numId w:val="2"/>
        </w:numPr>
        <w:spacing w:after="60"/>
      </w:pPr>
      <w:r>
        <w:t>EA approvals were given by the Enterprise Architect (appropriate authority) by e-mail and stored in Delivery Hub / embedded in the Single Design.</w:t>
      </w:r>
    </w:p>
    <w:p>
      <w:pPr>
        <w:pStyle w:val="ListParagraph"/>
        <w:numPr>
          <w:ilvl w:val="0"/>
          <w:numId w:val="2"/>
        </w:numPr>
        <w:spacing w:after="60"/>
      </w:pPr>
      <w:r>
        <w:t>DRA approvals are shown on the DRA ("Data Risk Assessment has been Approved", "CDO: Approved") and dated by the Gate 3 disposition record; per the PMO memo a CDO decision cannot be recorded unless the DRA was reviewed and approved.</w:t>
      </w:r>
    </w:p>
    <w:p>
      <w:pPr>
        <w:pStyle w:val="ListParagraph"/>
        <w:numPr>
          <w:ilvl w:val="0"/>
          <w:numId w:val="2"/>
        </w:numPr>
        <w:spacing w:after="60"/>
      </w:pPr>
      <w:r>
        <w:t>Both EA and CDO requirements applied (data impact = Yes) and both were satisfied before implementation.</w:t>
      </w:r>
    </w:p>
    <w:p>
      <w:r>
        <w:rPr>
          <w:b/>
        </w:rPr>
        <w:t xml:space="preserve">Test Result: </w:t>
      </w:r>
      <w:r>
        <w:t>Pass. Approvals were documented, given by the appropriate authorities and recorded before production.</w:t>
      </w:r>
    </w:p>
    <w:p>
      <w:r>
        <w:rPr>
          <w:b/>
        </w:rPr>
        <w:t xml:space="preserve">Reference: </w:t>
      </w:r>
      <w:r>
        <w:t>BSI.IT.23.C13.05 – C13.11</w:t>
      </w:r>
    </w:p>
    <w:p/>
    <w:p>
      <w:r>
        <w:rPr>
          <w:b/>
        </w:rPr>
        <w:t>6. IT RCSA reviewed the results to identify any exceptions:</w:t>
      </w:r>
    </w:p>
    <w:p>
      <w:pPr>
        <w:pStyle w:val="ListParagraph"/>
        <w:numPr>
          <w:ilvl w:val="0"/>
          <w:numId w:val="2"/>
        </w:numPr>
        <w:spacing w:after="60"/>
      </w:pPr>
      <w:r>
        <w:t>No sampled project lacked a required submission, review or approval. ARB was not required for either project (ARB criteria all "No"; C13.09, C13.11).</w:t>
      </w:r>
    </w:p>
    <w:p>
      <w:pPr>
        <w:pStyle w:val="ListParagraph"/>
        <w:numPr>
          <w:ilvl w:val="0"/>
          <w:numId w:val="2"/>
        </w:numPr>
        <w:spacing w:after="60"/>
      </w:pPr>
      <w:r>
        <w:t>Observations (no exception): EA approval obtained at Gate 5, after the start of Build (OBS-04); NDF CDO deliverables not separately evidenced (OBS-05).</w:t>
      </w:r>
    </w:p>
    <w:p>
      <w:r>
        <w:rPr>
          <w:b/>
        </w:rPr>
        <w:t xml:space="preserve">Test Result: </w:t>
      </w:r>
      <w:r>
        <w:t>Pass – no exceptions. OI-02 from the 10/21/2026 draft is closed with the new evidence.</w:t>
      </w:r>
    </w:p>
    <w:p>
      <w:r>
        <w:rPr>
          <w:b/>
        </w:rPr>
        <w:t xml:space="preserve">Reference: </w:t>
      </w:r>
      <w:r>
        <w:t>BSI.IT.23.C13.05, C13.06, C13.09, C13.11</w:t>
      </w:r>
    </w:p>
    <w:p/>
    <w:p>
      <w:r>
        <w:rPr>
          <w:b/>
        </w:rPr>
        <w:t>7. IT RCSA reviewed escalation and remediation:</w:t>
      </w:r>
    </w:p>
    <w:p>
      <w:pPr>
        <w:pStyle w:val="ListParagraph"/>
        <w:numPr>
          <w:ilvl w:val="0"/>
          <w:numId w:val="2"/>
        </w:numPr>
        <w:spacing w:after="60"/>
      </w:pPr>
      <w:r>
        <w:t>Not applicable – no exceptions were identified.</w:t>
      </w:r>
    </w:p>
    <w:p>
      <w:pPr>
        <w:pStyle w:val="ListParagraph"/>
        <w:numPr>
          <w:ilvl w:val="0"/>
          <w:numId w:val="2"/>
        </w:numPr>
        <w:spacing w:after="60"/>
      </w:pPr>
      <w:r>
        <w:t>The e-mail chains show the PMO escalating pending EA confirmations before the gate meetings (C13.08, C13.09).</w:t>
      </w:r>
    </w:p>
    <w:p>
      <w:r>
        <w:rPr>
          <w:b/>
        </w:rPr>
        <w:t xml:space="preserve">Test Result: </w:t>
      </w:r>
      <w:r>
        <w:t>N/A.</w:t>
      </w:r>
    </w:p>
    <w:p>
      <w:r>
        <w:rPr>
          <w:b/>
        </w:rPr>
        <w:t xml:space="preserve">Reference: </w:t>
      </w:r>
      <w:r>
        <w:t>BSI.IT.23.C13.08, C13.09</w:t>
      </w:r>
    </w:p>
    <w:p/>
    <w:p>
      <w:r>
        <w:rPr>
          <w:b/>
        </w:rPr>
        <w:t>8. IT RCSA assessed whether the control reduces the risk of insufficient design (BSI.IT.23.R4):</w:t>
      </w:r>
    </w:p>
    <w:p>
      <w:pPr>
        <w:pStyle w:val="ListParagraph"/>
        <w:numPr>
          <w:ilvl w:val="0"/>
          <w:numId w:val="2"/>
        </w:numPr>
        <w:spacing w:after="60"/>
      </w:pPr>
      <w:r>
        <w:t>Design (EA) and data governance (CDO) reviews were performed and approved before implementation for both projects / all releases.</w:t>
      </w:r>
    </w:p>
    <w:p>
      <w:r>
        <w:rPr>
          <w:b/>
        </w:rPr>
        <w:t xml:space="preserve">Test Result: </w:t>
      </w:r>
      <w:r>
        <w:t>Pass. The control mitigates BSI.IT.23.R4.</w:t>
      </w:r>
    </w:p>
    <w:p>
      <w:r>
        <w:rPr>
          <w:b/>
        </w:rPr>
        <w:t xml:space="preserve">Reference: </w:t>
      </w:r>
      <w:r>
        <w:t>BSI.IT.23.C13.03 – BSI.IT.23.C13.11</w:t>
      </w:r>
    </w:p>
    <w:p/>
    <w:p>
      <w:r>
        <w:rPr>
          <w:b/>
        </w:rPr>
        <w:t>9. Summarize Testing Coverage</w:t>
      </w:r>
    </w:p>
    <w:p>
      <w:r>
        <w:t>IT RCSA tested the Design of System control for the period September 1, 2025 through August 31, 2026:</w:t>
      </w:r>
    </w:p>
    <w:p>
      <w:pPr>
        <w:pStyle w:val="ListParagraph"/>
        <w:numPr>
          <w:ilvl w:val="0"/>
          <w:numId w:val="2"/>
        </w:numPr>
        <w:spacing w:after="60"/>
      </w:pPr>
      <w:r>
        <w:t>Population: 100 change initiatives in Delivery Hub, of which 2 SDLC projects (4 production releases). Accuracy validated against ServiceNow; completeness not re-performed (OBS-11).</w:t>
      </w:r>
    </w:p>
    <w:p>
      <w:pPr>
        <w:pStyle w:val="ListParagraph"/>
        <w:numPr>
          <w:ilvl w:val="0"/>
          <w:numId w:val="2"/>
        </w:numPr>
        <w:spacing w:after="60"/>
      </w:pPr>
      <w:r>
        <w:t>Sample: 2 of 2 projects (100%) and all 4 releases, judgmental, per RCSA sampling methodology.</w:t>
      </w:r>
    </w:p>
    <w:p>
      <w:pPr>
        <w:pStyle w:val="ListParagraph"/>
        <w:numPr>
          <w:ilvl w:val="0"/>
          <w:numId w:val="2"/>
        </w:numPr>
        <w:spacing w:after="60"/>
      </w:pPr>
      <w:r>
        <w:t>Attribute A1 – Architecture Design approved by Enterprise Architecture before implementation: 2 of 2 Pass.</w:t>
      </w:r>
    </w:p>
    <w:p>
      <w:pPr>
        <w:pStyle w:val="ListParagraph"/>
        <w:numPr>
          <w:ilvl w:val="0"/>
          <w:numId w:val="2"/>
        </w:numPr>
        <w:spacing w:after="60"/>
      </w:pPr>
      <w:r>
        <w:t>Attribute A2 – DRA / data artifacts approved by the CDO before implementation: 2 of 2 Pass (OBS-05).</w:t>
      </w:r>
    </w:p>
    <w:p>
      <w:pPr>
        <w:pStyle w:val="ListParagraph"/>
        <w:numPr>
          <w:ilvl w:val="0"/>
          <w:numId w:val="2"/>
        </w:numPr>
        <w:spacing w:after="60"/>
      </w:pPr>
      <w:r>
        <w:t>Exceptions: none. Escalation / remediation: N/A.</w:t>
      </w:r>
    </w:p>
    <w:p>
      <w:pPr>
        <w:pStyle w:val="ListParagraph"/>
        <w:numPr>
          <w:ilvl w:val="0"/>
          <w:numId w:val="2"/>
        </w:numPr>
        <w:spacing w:after="60"/>
      </w:pPr>
      <w:r>
        <w:t>Ratings: Design – Satisfactory. Performance – Satisfactory (population completeness noted as OBS-11). Manual control – per the RCSA Testing Procedure (§4.4.6) the rating cannot exceed Satisfactory.</w:t>
      </w:r>
    </w:p>
    <w:p>
      <w:r>
        <w:rPr>
          <w:b/>
        </w:rPr>
        <w:t xml:space="preserve">Test Result: </w:t>
      </w:r>
      <w:r>
        <w:t>Completed. Testing coverage was sufficient.</w:t>
      </w:r>
    </w:p>
    <w:p>
      <w:r>
        <w:rPr>
          <w:b/>
        </w:rPr>
        <w:t xml:space="preserve">Reference: </w:t>
      </w:r>
      <w:r>
        <w:t>BSI.IT.23.C13.02 – BSI.IT.23.C13.11; Workpaper tab Control Performance Assessment</w:t>
      </w:r>
    </w:p>
    <w:p/>
    <w:p>
      <w:r>
        <w:rPr>
          <w:b/>
        </w:rPr>
        <w:t>Open items and observations</w:t>
      </w:r>
    </w:p>
    <w:p>
      <w:pPr>
        <w:pStyle w:val="ListParagraph"/>
        <w:numPr>
          <w:ilvl w:val="0"/>
          <w:numId w:val="2"/>
        </w:numPr>
        <w:spacing w:after="60"/>
      </w:pPr>
      <w:r>
        <w:rPr>
          <w:b/>
        </w:rPr>
        <w:t xml:space="preserve">OBS-11 (was OI-03): </w:t>
      </w:r>
      <w:r>
        <w:t>No independent production release list provided, so population completeness could not be re-performed; projects 3512 and 3625 have a blank SDLC flag. Does not affect the sample results. Action: Obtain ServiceNow release list and PMO explanation (common to all SDLC controls).</w:t>
      </w:r>
    </w:p>
    <w:p>
      <w:pPr>
        <w:pStyle w:val="ListParagraph"/>
        <w:numPr>
          <w:ilvl w:val="0"/>
          <w:numId w:val="2"/>
        </w:numPr>
        <w:spacing w:after="60"/>
      </w:pPr>
      <w:r>
        <w:rPr>
          <w:b/>
        </w:rPr>
        <w:t xml:space="preserve">OBS-01: </w:t>
      </w:r>
      <w:r>
        <w:t>The 2026 SDLC process map is still in Draft, and no 2026 walkthrough was held (last walkthrough 08/05/2025). Action: Hold 2026 walkthrough / confirm no change; management to finalize the process map.</w:t>
      </w:r>
    </w:p>
    <w:p>
      <w:pPr>
        <w:pStyle w:val="ListParagraph"/>
        <w:numPr>
          <w:ilvl w:val="0"/>
          <w:numId w:val="2"/>
        </w:numPr>
        <w:spacing w:after="60"/>
      </w:pPr>
      <w:r>
        <w:rPr>
          <w:b/>
        </w:rPr>
        <w:t xml:space="preserve">OBS-04: </w:t>
      </w:r>
      <w:r>
        <w:t>EA approval of the Architecture Design is obtained as a Gate 5 artifact, after the Gate 4 (PTB) start of Build. Action: Make the EA review a PTB prerequisite if the 2026 proposed statement is adopted.</w:t>
      </w:r>
    </w:p>
    <w:p>
      <w:pPr>
        <w:pStyle w:val="ListParagraph"/>
        <w:numPr>
          <w:ilvl w:val="0"/>
          <w:numId w:val="2"/>
        </w:numPr>
        <w:spacing w:after="60"/>
      </w:pPr>
      <w:r>
        <w:rPr>
          <w:b/>
        </w:rPr>
        <w:t xml:space="preserve">OBS-05: </w:t>
      </w:r>
      <w:r>
        <w:t>NDF DRA HIGH – CDO-mandated data model / lineage deliverables not provided separately. Action: Store CDO deliverables with the DRA in Delivery Hub.</w:t>
      </w:r>
    </w:p>
    <w:p/>
    <w:p>
      <w:r>
        <w:rPr>
          <w:b/>
        </w:rPr>
        <w:t>Evidence references</w:t>
      </w:r>
    </w:p>
    <w:p>
      <w:pPr>
        <w:pStyle w:val="ListParagraph"/>
        <w:numPr>
          <w:ilvl w:val="0"/>
          <w:numId w:val="2"/>
        </w:numPr>
        <w:spacing w:after="60"/>
      </w:pPr>
      <w:r>
        <w:rPr>
          <w:b/>
        </w:rPr>
        <w:t xml:space="preserve">C13.01: </w:t>
      </w:r>
      <w:r>
        <w:t>2026 SDLC process map.pdf</w:t>
      </w:r>
    </w:p>
    <w:p>
      <w:pPr>
        <w:pStyle w:val="ListParagraph"/>
        <w:numPr>
          <w:ilvl w:val="0"/>
          <w:numId w:val="2"/>
        </w:numPr>
        <w:spacing w:after="60"/>
      </w:pPr>
      <w:r>
        <w:rPr>
          <w:b/>
        </w:rPr>
        <w:t xml:space="preserve">C13.02: </w:t>
      </w:r>
      <w:r>
        <w:t>SDLC Project List.xlsx</w:t>
      </w:r>
    </w:p>
    <w:p>
      <w:pPr>
        <w:pStyle w:val="ListParagraph"/>
        <w:numPr>
          <w:ilvl w:val="0"/>
          <w:numId w:val="2"/>
        </w:numPr>
        <w:spacing w:after="60"/>
      </w:pPr>
      <w:r>
        <w:rPr>
          <w:b/>
        </w:rPr>
        <w:t xml:space="preserve">C13.03: </w:t>
      </w:r>
      <w:r>
        <w:t>SL DRA (Low).pdf</w:t>
      </w:r>
    </w:p>
    <w:p>
      <w:pPr>
        <w:pStyle w:val="ListParagraph"/>
        <w:numPr>
          <w:ilvl w:val="0"/>
          <w:numId w:val="2"/>
        </w:numPr>
        <w:spacing w:after="60"/>
      </w:pPr>
      <w:r>
        <w:rPr>
          <w:b/>
        </w:rPr>
        <w:t xml:space="preserve">C13.04: </w:t>
      </w:r>
      <w:r>
        <w:t>NDF DRA (High).pdf</w:t>
      </w:r>
    </w:p>
    <w:p>
      <w:pPr>
        <w:pStyle w:val="ListParagraph"/>
        <w:numPr>
          <w:ilvl w:val="0"/>
          <w:numId w:val="2"/>
        </w:numPr>
        <w:spacing w:after="60"/>
      </w:pPr>
      <w:r>
        <w:rPr>
          <w:b/>
        </w:rPr>
        <w:t xml:space="preserve">C13.05: </w:t>
      </w:r>
      <w:r>
        <w:t>SL DRA approval and gates.docx</w:t>
      </w:r>
    </w:p>
    <w:p>
      <w:pPr>
        <w:pStyle w:val="ListParagraph"/>
        <w:numPr>
          <w:ilvl w:val="0"/>
          <w:numId w:val="2"/>
        </w:numPr>
        <w:spacing w:after="60"/>
      </w:pPr>
      <w:r>
        <w:rPr>
          <w:b/>
        </w:rPr>
        <w:t xml:space="preserve">C13.06: </w:t>
      </w:r>
      <w:r>
        <w:t>NDF DRA approval and gates.docx</w:t>
      </w:r>
    </w:p>
    <w:p>
      <w:pPr>
        <w:pStyle w:val="ListParagraph"/>
        <w:numPr>
          <w:ilvl w:val="0"/>
          <w:numId w:val="2"/>
        </w:numPr>
        <w:spacing w:after="60"/>
      </w:pPr>
      <w:r>
        <w:rPr>
          <w:b/>
        </w:rPr>
        <w:t xml:space="preserve">C13.07: </w:t>
      </w:r>
      <w:r>
        <w:t>SL EA approval 12-04-2025.msg</w:t>
      </w:r>
    </w:p>
    <w:p>
      <w:pPr>
        <w:pStyle w:val="ListParagraph"/>
        <w:numPr>
          <w:ilvl w:val="0"/>
          <w:numId w:val="2"/>
        </w:numPr>
        <w:spacing w:after="60"/>
      </w:pPr>
      <w:r>
        <w:rPr>
          <w:b/>
        </w:rPr>
        <w:t xml:space="preserve">C13.08: </w:t>
      </w:r>
      <w:r>
        <w:t>SL EA Appian no impact 02-09-2026.msg</w:t>
      </w:r>
    </w:p>
    <w:p>
      <w:pPr>
        <w:pStyle w:val="ListParagraph"/>
        <w:numPr>
          <w:ilvl w:val="0"/>
          <w:numId w:val="2"/>
        </w:numPr>
        <w:spacing w:after="60"/>
      </w:pPr>
      <w:r>
        <w:rPr>
          <w:b/>
        </w:rPr>
        <w:t xml:space="preserve">C13.09: </w:t>
      </w:r>
      <w:r>
        <w:t>SL EA no ARB 05-12-2026.msg</w:t>
      </w:r>
    </w:p>
    <w:p>
      <w:pPr>
        <w:pStyle w:val="ListParagraph"/>
        <w:numPr>
          <w:ilvl w:val="0"/>
          <w:numId w:val="2"/>
        </w:numPr>
        <w:spacing w:after="60"/>
      </w:pPr>
      <w:r>
        <w:rPr>
          <w:b/>
        </w:rPr>
        <w:t xml:space="preserve">C13.10: </w:t>
      </w:r>
      <w:r>
        <w:t>NDF R01 EA sign-off 12-10-2025.msg</w:t>
      </w:r>
    </w:p>
    <w:p>
      <w:pPr>
        <w:pStyle w:val="ListParagraph"/>
        <w:numPr>
          <w:ilvl w:val="0"/>
          <w:numId w:val="2"/>
        </w:numPr>
        <w:spacing w:after="60"/>
      </w:pPr>
      <w:r>
        <w:rPr>
          <w:b/>
        </w:rPr>
        <w:t xml:space="preserve">C13.11: </w:t>
      </w:r>
      <w:r>
        <w:t>NDF R02 EA sign-off 03-24-2026.msg</w:t>
      </w:r>
    </w:p>
    <w:p>
      <w:pPr>
        <w:pStyle w:val="ListParagraph"/>
        <w:numPr>
          <w:ilvl w:val="0"/>
          <w:numId w:val="2"/>
        </w:numPr>
        <w:spacing w:after="60"/>
      </w:pPr>
      <w:r>
        <w:rPr>
          <w:b/>
        </w:rPr>
        <w:t xml:space="preserve">Workpaper: </w:t>
      </w:r>
      <w:r>
        <w:t>C13 WP 2026.xlsm (tabs Control Design Assessment, Control Performance Assessment, New Test Script)</w:t>
      </w:r>
    </w:p>
    <w:p>
      <w:pPr>
        <w:pStyle w:val="ListParagraph"/>
        <w:numPr>
          <w:ilvl w:val="0"/>
          <w:numId w:val="2"/>
        </w:numPr>
        <w:spacing w:after="60"/>
      </w:pPr>
      <w:r>
        <w:rPr>
          <w:b/>
        </w:rPr>
        <w:t xml:space="preserve">Walkthrough: </w:t>
      </w:r>
      <w:r>
        <w:t>C13 Design WT Sample of 1.docx</w:t>
      </w:r>
    </w:p>
    <w:p>
      <w:pPr>
        <w:pStyle w:val="ListParagraph"/>
        <w:numPr>
          <w:ilvl w:val="0"/>
          <w:numId w:val="2"/>
        </w:numPr>
        <w:spacing w:after="60"/>
      </w:pPr>
      <w:r>
        <w:rPr>
          <w:b/>
        </w:rPr>
        <w:t xml:space="preserve">Guidance: </w:t>
      </w:r>
      <w:r>
        <w:t>RCSA Testing Procedure (CUSO) 07.17.2026 v1.0; RCSA CDA Testing Job Aid vF; IT RCSA 2026 Test Plan</w:t>
      </w:r>
    </w:p>
    <w:sectPr w:rsidR="00CE1ECD">
      <w:headerReference w:type="even" r:id="rId42"/>
      <w:headerReference w:type="default" r:id="rId43"/>
      <w:footerReference w:type="default" r:id="rId44"/>
      <w:headerReference w:type="firs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97B8" w14:textId="77777777" w:rsidR="00231791" w:rsidRDefault="00231791">
      <w:r>
        <w:separator/>
      </w:r>
    </w:p>
  </w:endnote>
  <w:endnote w:type="continuationSeparator" w:id="0">
    <w:p w14:paraId="47BA07F7" w14:textId="77777777" w:rsidR="00231791" w:rsidRDefault="0023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BBAB" w14:textId="77777777" w:rsidR="006B7A50" w:rsidRDefault="00000000">
    <w:pPr>
      <w:jc w:val="right"/>
    </w:pPr>
    <w:r>
      <w:rPr>
        <w:sz w:val="16"/>
        <w:szCs w:val="16"/>
      </w:rPr>
      <w:t xml:space="preserve">BSI.IT.23.C13 Design of System – Testing Procedures   |   Page </w:t>
    </w: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E3039" w14:textId="77777777" w:rsidR="00231791" w:rsidRDefault="00231791">
      <w:r>
        <w:separator/>
      </w:r>
    </w:p>
  </w:footnote>
  <w:footnote w:type="continuationSeparator" w:id="0">
    <w:p w14:paraId="6FCA4178" w14:textId="77777777" w:rsidR="00231791" w:rsidRDefault="0023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A44C" w14:textId="4A41D7B4" w:rsidR="00900C79" w:rsidRDefault="00900C79">
    <w:pPr>
      <w:pStyle w:val="Header"/>
    </w:pPr>
    <w:r>
      <w:rPr>
        <w:noProof/>
      </w:rPr>
      <mc:AlternateContent>
        <mc:Choice Requires="wps">
          <w:drawing>
            <wp:anchor distT="0" distB="0" distL="0" distR="0" simplePos="0" relativeHeight="251659264" behindDoc="0" locked="0" layoutInCell="1" allowOverlap="1" wp14:anchorId="5AFCED41" wp14:editId="66EF7CF4">
              <wp:simplePos x="635" y="635"/>
              <wp:positionH relativeFrom="page">
                <wp:align>left</wp:align>
              </wp:positionH>
              <wp:positionV relativeFrom="page">
                <wp:align>top</wp:align>
              </wp:positionV>
              <wp:extent cx="932180" cy="349885"/>
              <wp:effectExtent l="0" t="0" r="1270" b="12065"/>
              <wp:wrapNone/>
              <wp:docPr id="154823971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FCED41" id="_x0000_t202" coordsize="21600,21600" o:spt="202" path="m,l,21600r21600,l21600,xe">
              <v:stroke joinstyle="miter"/>
              <v:path gradientshapeok="t" o:connecttype="rect"/>
            </v:shapetype>
            <v:shape id="Text Box 2" o:spid="_x0000_s1026" type="#_x0000_t202" alt="Confidential" style="position:absolute;margin-left:0;margin-top:0;width:73.4pt;height:27.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" filled="f" stroked="f">
              <v:fill o:detectmouseclick="t"/>
              <v:textbox style="mso-fit-shape-to-text:t" inset="20pt,15pt,0,0">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E631" w14:textId="7A798648" w:rsidR="006B7A50" w:rsidRDefault="00900C79">
    <w:r>
      <w:rPr>
        <w:noProof/>
        <w:sz w:val="18"/>
        <w:szCs w:val="18"/>
      </w:rPr>
      <mc:AlternateContent>
        <mc:Choice Requires="wps">
          <w:drawing>
            <wp:anchor distT="0" distB="0" distL="0" distR="0" simplePos="0" relativeHeight="251660288" behindDoc="0" locked="0" layoutInCell="1" allowOverlap="1" wp14:anchorId="23216AF3" wp14:editId="21679447">
              <wp:simplePos x="635" y="635"/>
              <wp:positionH relativeFrom="page">
                <wp:align>left</wp:align>
              </wp:positionH>
              <wp:positionV relativeFrom="page">
                <wp:align>top</wp:align>
              </wp:positionV>
              <wp:extent cx="932180" cy="349885"/>
              <wp:effectExtent l="0" t="0" r="1270" b="12065"/>
              <wp:wrapNone/>
              <wp:docPr id="1296081868"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216AF3" id="_x0000_t202" coordsize="21600,21600" o:spt="202" path="m,l,21600r21600,l21600,xe">
              <v:stroke joinstyle="miter"/>
              <v:path gradientshapeok="t" o:connecttype="rect"/>
            </v:shapetype>
            <v:shape id="Text Box 3" o:spid="_x0000_s1027" type="#_x0000_t202" alt="Confidential" style="position:absolute;margin-left:0;margin-top:0;width:73.4pt;height:27.5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" filled="f" stroked="f">
              <v:fill o:detectmouseclick="t"/>
              <v:textbox style="mso-fit-shape-to-text:t" inset="20pt,15pt,0,0">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r>
      <w:rPr>
        <w:sz w:val="18"/>
        <w:szCs w:val="18"/>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E4AF" w14:textId="119C6F57" w:rsidR="00900C79" w:rsidRDefault="00900C79">
    <w:pPr>
      <w:pStyle w:val="Header"/>
    </w:pPr>
    <w:r>
      <w:rPr>
        <w:noProof/>
      </w:rPr>
      <mc:AlternateContent>
        <mc:Choice Requires="wps">
          <w:drawing>
            <wp:anchor distT="0" distB="0" distL="0" distR="0" simplePos="0" relativeHeight="251658240" behindDoc="0" locked="0" layoutInCell="1" allowOverlap="1" wp14:anchorId="396807FD" wp14:editId="356445CA">
              <wp:simplePos x="635" y="635"/>
              <wp:positionH relativeFrom="page">
                <wp:align>left</wp:align>
              </wp:positionH>
              <wp:positionV relativeFrom="page">
                <wp:align>top</wp:align>
              </wp:positionV>
              <wp:extent cx="932180" cy="349885"/>
              <wp:effectExtent l="0" t="0" r="1270" b="12065"/>
              <wp:wrapNone/>
              <wp:docPr id="180084399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6807FD" id="_x0000_t202" coordsize="21600,21600" o:spt="202" path="m,l,21600r21600,l21600,xe">
              <v:stroke joinstyle="miter"/>
              <v:path gradientshapeok="t" o:connecttype="rect"/>
            </v:shapetype>
            <v:shape id="Text Box 1" o:spid="_x0000_s1028" type="#_x0000_t202" alt="Confidential" style="position:absolute;margin-left:0;margin-top:0;width:73.4pt;height:27.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" filled="f" stroked="f">
              <v:fill o:detectmouseclick="t"/>
              <v:textbox style="mso-fit-shape-to-text:t" inset="20pt,15pt,0,0">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E3AE6"/>
    <w:multiLevelType w:val="hybridMultilevel"/>
    <w:tmpl w:val="3246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120E9"/>
    <w:multiLevelType w:val="hybridMultilevel"/>
    <w:tmpl w:val="17628842"/>
    <w:lvl w:ilvl="0" w:tplc="CF6A96F0">
      <w:start w:val="1"/>
      <w:numFmt w:val="bullet"/>
      <w:lvlText w:val="●"/>
      <w:lvlJc w:val="left"/>
      <w:pPr>
        <w:ind w:left="720" w:hanging="360"/>
      </w:pPr>
    </w:lvl>
    <w:lvl w:ilvl="1" w:tplc="17E4D888">
      <w:start w:val="1"/>
      <w:numFmt w:val="bullet"/>
      <w:lvlText w:val="○"/>
      <w:lvlJc w:val="left"/>
      <w:pPr>
        <w:ind w:left="1440" w:hanging="360"/>
      </w:pPr>
    </w:lvl>
    <w:lvl w:ilvl="2" w:tplc="985437B8">
      <w:start w:val="1"/>
      <w:numFmt w:val="bullet"/>
      <w:lvlText w:val="■"/>
      <w:lvlJc w:val="left"/>
      <w:pPr>
        <w:ind w:left="2160" w:hanging="360"/>
      </w:pPr>
    </w:lvl>
    <w:lvl w:ilvl="3" w:tplc="FC2A62BA">
      <w:start w:val="1"/>
      <w:numFmt w:val="bullet"/>
      <w:lvlText w:val="●"/>
      <w:lvlJc w:val="left"/>
      <w:pPr>
        <w:ind w:left="2880" w:hanging="360"/>
      </w:pPr>
    </w:lvl>
    <w:lvl w:ilvl="4" w:tplc="DA429548">
      <w:start w:val="1"/>
      <w:numFmt w:val="bullet"/>
      <w:lvlText w:val="○"/>
      <w:lvlJc w:val="left"/>
      <w:pPr>
        <w:ind w:left="3600" w:hanging="360"/>
      </w:pPr>
    </w:lvl>
    <w:lvl w:ilvl="5" w:tplc="862E2060">
      <w:start w:val="1"/>
      <w:numFmt w:val="bullet"/>
      <w:lvlText w:val="■"/>
      <w:lvlJc w:val="left"/>
      <w:pPr>
        <w:ind w:left="4320" w:hanging="360"/>
      </w:pPr>
    </w:lvl>
    <w:lvl w:ilvl="6" w:tplc="7168003C">
      <w:start w:val="1"/>
      <w:numFmt w:val="bullet"/>
      <w:lvlText w:val="●"/>
      <w:lvlJc w:val="left"/>
      <w:pPr>
        <w:ind w:left="5040" w:hanging="360"/>
      </w:pPr>
    </w:lvl>
    <w:lvl w:ilvl="7" w:tplc="3C9A38D8">
      <w:start w:val="1"/>
      <w:numFmt w:val="bullet"/>
      <w:lvlText w:val="●"/>
      <w:lvlJc w:val="left"/>
      <w:pPr>
        <w:ind w:left="5760" w:hanging="360"/>
      </w:pPr>
    </w:lvl>
    <w:lvl w:ilvl="8" w:tplc="3EC0C3FE">
      <w:start w:val="1"/>
      <w:numFmt w:val="bullet"/>
      <w:lvlText w:val="●"/>
      <w:lvlJc w:val="left"/>
      <w:pPr>
        <w:ind w:left="6480" w:hanging="360"/>
      </w:pPr>
    </w:lvl>
  </w:abstractNum>
  <w:abstractNum w:abstractNumId="2" w15:restartNumberingAfterBreak="0">
    <w:nsid w:val="33EC1E7F"/>
    <w:multiLevelType w:val="hybridMultilevel"/>
    <w:tmpl w:val="5FD04BE4"/>
    <w:lvl w:ilvl="0" w:tplc="F4527B36">
      <w:start w:val="1"/>
      <w:numFmt w:val="decimal"/>
      <w:lvlText w:val="%1."/>
      <w:lvlJc w:val="left"/>
      <w:pPr>
        <w:ind w:left="720" w:hanging="360"/>
      </w:pPr>
    </w:lvl>
    <w:lvl w:ilvl="1" w:tplc="4EF6BB0A">
      <w:numFmt w:val="decimal"/>
      <w:lvlText w:val=""/>
      <w:lvlJc w:val="left"/>
    </w:lvl>
    <w:lvl w:ilvl="2" w:tplc="15E68DF2">
      <w:numFmt w:val="decimal"/>
      <w:lvlText w:val=""/>
      <w:lvlJc w:val="left"/>
    </w:lvl>
    <w:lvl w:ilvl="3" w:tplc="0B007F8E">
      <w:numFmt w:val="decimal"/>
      <w:lvlText w:val=""/>
      <w:lvlJc w:val="left"/>
    </w:lvl>
    <w:lvl w:ilvl="4" w:tplc="C93EEC6E">
      <w:numFmt w:val="decimal"/>
      <w:lvlText w:val=""/>
      <w:lvlJc w:val="left"/>
    </w:lvl>
    <w:lvl w:ilvl="5" w:tplc="C6EE3762">
      <w:numFmt w:val="decimal"/>
      <w:lvlText w:val=""/>
      <w:lvlJc w:val="left"/>
    </w:lvl>
    <w:lvl w:ilvl="6" w:tplc="F85C6FDC">
      <w:numFmt w:val="decimal"/>
      <w:lvlText w:val=""/>
      <w:lvlJc w:val="left"/>
    </w:lvl>
    <w:lvl w:ilvl="7" w:tplc="B5B69184">
      <w:numFmt w:val="decimal"/>
      <w:lvlText w:val=""/>
      <w:lvlJc w:val="left"/>
    </w:lvl>
    <w:lvl w:ilvl="8" w:tplc="D9648A4E">
      <w:numFmt w:val="decimal"/>
      <w:lvlText w:val=""/>
      <w:lvlJc w:val="left"/>
    </w:lvl>
  </w:abstractNum>
  <w:abstractNum w:abstractNumId="3" w15:restartNumberingAfterBreak="0">
    <w:nsid w:val="4C68795C"/>
    <w:multiLevelType w:val="hybridMultilevel"/>
    <w:tmpl w:val="1F1A7FDA"/>
    <w:lvl w:ilvl="0" w:tplc="5F2EF60E">
      <w:start w:val="1"/>
      <w:numFmt w:val="bullet"/>
      <w:lvlText w:val="•"/>
      <w:lvlJc w:val="left"/>
      <w:pPr>
        <w:ind w:left="720" w:hanging="360"/>
      </w:pPr>
    </w:lvl>
    <w:lvl w:ilvl="1" w:tplc="0D060288">
      <w:start w:val="1"/>
      <w:numFmt w:val="bullet"/>
      <w:lvlText w:val="o"/>
      <w:lvlJc w:val="left"/>
      <w:pPr>
        <w:ind w:left="1440" w:hanging="360"/>
      </w:pPr>
    </w:lvl>
    <w:lvl w:ilvl="2" w:tplc="861453C8">
      <w:numFmt w:val="decimal"/>
      <w:lvlText w:val=""/>
      <w:lvlJc w:val="left"/>
    </w:lvl>
    <w:lvl w:ilvl="3" w:tplc="7B144212">
      <w:numFmt w:val="decimal"/>
      <w:lvlText w:val=""/>
      <w:lvlJc w:val="left"/>
    </w:lvl>
    <w:lvl w:ilvl="4" w:tplc="167281DE">
      <w:numFmt w:val="decimal"/>
      <w:lvlText w:val=""/>
      <w:lvlJc w:val="left"/>
    </w:lvl>
    <w:lvl w:ilvl="5" w:tplc="B9300B24">
      <w:numFmt w:val="decimal"/>
      <w:lvlText w:val=""/>
      <w:lvlJc w:val="left"/>
    </w:lvl>
    <w:lvl w:ilvl="6" w:tplc="AE36001C">
      <w:numFmt w:val="decimal"/>
      <w:lvlText w:val=""/>
      <w:lvlJc w:val="left"/>
    </w:lvl>
    <w:lvl w:ilvl="7" w:tplc="AA725688">
      <w:numFmt w:val="decimal"/>
      <w:lvlText w:val=""/>
      <w:lvlJc w:val="left"/>
    </w:lvl>
    <w:lvl w:ilvl="8" w:tplc="254AEB90">
      <w:numFmt w:val="decimal"/>
      <w:lvlText w:val=""/>
      <w:lvlJc w:val="left"/>
    </w:lvl>
  </w:abstractNum>
  <w:num w:numId="1" w16cid:durableId="738596301">
    <w:abstractNumId w:val="1"/>
    <w:lvlOverride w:ilvl="0">
      <w:startOverride w:val="1"/>
    </w:lvlOverride>
  </w:num>
  <w:num w:numId="2" w16cid:durableId="293873228">
    <w:abstractNumId w:val="3"/>
    <w:lvlOverride w:ilvl="0">
      <w:startOverride w:val="1"/>
    </w:lvlOverride>
  </w:num>
  <w:num w:numId="3" w16cid:durableId="209924241">
    <w:abstractNumId w:val="2"/>
    <w:lvlOverride w:ilvl="0">
      <w:startOverride w:val="1"/>
    </w:lvlOverride>
  </w:num>
  <w:num w:numId="4" w16cid:durableId="31850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50"/>
    <w:rsid w:val="00231791"/>
    <w:rsid w:val="00314794"/>
    <w:rsid w:val="006B7A50"/>
    <w:rsid w:val="00900C79"/>
    <w:rsid w:val="00A27FDA"/>
    <w:rsid w:val="00CE1ECD"/>
    <w:rsid w:val="00E070AD"/>
    <w:rsid w:val="00E91688"/>
    <w:rsid w:val="00F3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D276"/>
  <w15:docId w15:val="{FAB471D3-8A20-4401-8868-EE4827CB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91688"/>
    <w:rPr>
      <w:b/>
      <w:bCs/>
    </w:rPr>
  </w:style>
  <w:style w:type="character" w:styleId="UnresolvedMention">
    <w:name w:val="Unresolved Mention"/>
    <w:basedOn w:val="DefaultParagraphFont"/>
    <w:uiPriority w:val="99"/>
    <w:semiHidden/>
    <w:unhideWhenUsed/>
    <w:rsid w:val="00E91688"/>
    <w:rPr>
      <w:color w:val="605E5C"/>
      <w:shd w:val="clear" w:color="auto" w:fill="E1DFDD"/>
    </w:rPr>
  </w:style>
  <w:style w:type="paragraph" w:styleId="Header">
    <w:name w:val="header"/>
    <w:basedOn w:val="Normal"/>
    <w:link w:val="HeaderChar"/>
    <w:uiPriority w:val="99"/>
    <w:unhideWhenUsed/>
    <w:rsid w:val="00900C79"/>
    <w:pPr>
      <w:tabs>
        <w:tab w:val="center" w:pos="4680"/>
        <w:tab w:val="right" w:pos="9360"/>
      </w:tabs>
    </w:pPr>
  </w:style>
  <w:style w:type="character" w:customStyle="1" w:styleId="HeaderChar">
    <w:name w:val="Header Char"/>
    <w:basedOn w:val="DefaultParagraphFont"/>
    <w:link w:val="Header"/>
    <w:uiPriority w:val="99"/>
    <w:rsid w:val="00900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9" Type="http://schemas.openxmlformats.org/officeDocument/2006/relationships/hyperlink" Target="file:///C:\Users\x972485\Downloads\Evidence\BSI.IT.23.C1.11%20-%20NDF%20R02%20-%20BRD%20Sponsor%20Sign-off%20email%2012-02-2025%20(extracted%20from%20C1.10).msg" TargetMode="External"/><Relationship Id="rId2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4" Type="http://schemas.openxmlformats.org/officeDocument/2006/relationships/hyperlink" Target="file:///C:\Users\x972485\Downloads\Evidence\BSI.IT.23.C1.06%20-%20Security%20Lending%20R02%20-%20Sponsor%20Approval%20email%2004-29-2026%20(extracted%20from%20C1.05).msg"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 Type="http://schemas.openxmlformats.org/officeDocument/2006/relationships/styles" Target="styles.xml"/><Relationship Id="rId1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9" Type="http://schemas.openxmlformats.org/officeDocument/2006/relationships/hyperlink" Target="file:///C:\Users\x972485\Downloads\Evidence\BSI.IT.23.C1.01%20-%202026%20PM_Systems%20Development%20Life%20Cycle%20(BSI)_v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2" Type="http://schemas.openxmlformats.org/officeDocument/2006/relationships/hyperlink" Target="file:///C:\Users\x972485\Downloads\Evidence\BSI.IT.23.C1.04%20-%20Security%20Lending%20R01%20-%20Sponsor%20Approval%20email%2002-06-2026%20(extracted%20from%20C1.03).msg" TargetMode="External"/><Relationship Id="rId37" Type="http://schemas.openxmlformats.org/officeDocument/2006/relationships/hyperlink" Target="file:///C:\Users\x972485\Downloads\Evidence\BSI.IT.23.C1.09%20-%20NDF%20R01%20-%20Delivery%20Hub%20Gate%204%20(PTB)%20approval%2011-04-2025.pdf" TargetMode="External"/><Relationship Id="rId40" Type="http://schemas.openxmlformats.org/officeDocument/2006/relationships/hyperlink" Target="file:///C:\Users\x972485\Downloads\Evidence\BSI.IT.23.C1.12%20-%20NDF%20R02%20-%20Delivery%20Hub%20Gate%204%20(PTB)%20approval%2003-10-2026.pdf"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2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6" Type="http://schemas.openxmlformats.org/officeDocument/2006/relationships/hyperlink" Target="file:///C:\Users\x972485\Downloads\Evidence\BSI.IT.23.C1.08%20-%20NDF%20R01%20-%20BRD%20Sponsor%20Sign-off%20email%2010-23-2025%20(extracted%20from%20C1.07).msg" TargetMode="External"/><Relationship Id="rId1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1" Type="http://schemas.openxmlformats.org/officeDocument/2006/relationships/hyperlink" Target="file:///C:\Users\x972485\Downloads\Evidence\BSI.IT.23.C1.03%20-%20Security%20Lending%20R01%20-%203263%20SECLENDING%20Business%20Requirements%20Document%20FINAL.docx"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1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0" Type="http://schemas.openxmlformats.org/officeDocument/2006/relationships/hyperlink" Target="file:///C:\Users\x972485\Downloads\Evidence\BSI.IT.23.C1.02%20-%20SDLC%20Project%20List%20(population).xlsx" TargetMode="External"/><Relationship Id="rId35" Type="http://schemas.openxmlformats.org/officeDocument/2006/relationships/hyperlink" Target="file:///C:\Users\x972485\Downloads\Evidence\BSI.IT.23.C1.07%20-%20NDF%20R01%20-%20DH%203264%20Business%20Requirements%20Document_final.docx" TargetMode="External"/><Relationship Id="rId43" Type="http://schemas.openxmlformats.org/officeDocument/2006/relationships/header" Target="header2.xml"/><Relationship Id="rId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 Type="http://schemas.openxmlformats.org/officeDocument/2006/relationships/settings" Target="settings.xml"/><Relationship Id="rId1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1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3" Type="http://schemas.openxmlformats.org/officeDocument/2006/relationships/hyperlink" Target="file:///C:\Users\x972485\Downloads\Evidence\BSI.IT.23.C1.05%20-%20Security%20Lending%20R02%20-%203263%20Business%20Requirements%20FINAL.docx" TargetMode="External"/><Relationship Id="rId38" Type="http://schemas.openxmlformats.org/officeDocument/2006/relationships/hyperlink" Target="file:///C:\Users\x972485\Downloads\Evidence\BSI.IT.23.C1.10%20-%20NDF%20R02%20-%20DH%203264%20RL2%20Business%20Requirements%20Document_final.docx" TargetMode="External"/><Relationship Id="rId46" Type="http://schemas.openxmlformats.org/officeDocument/2006/relationships/fontTable" Target="fontTable.xml"/><Relationship Id="rId2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41" Type="http://schemas.openxmlformats.org/officeDocument/2006/relationships/hyperlink" Target="file:///C:\Users\x972485\Downloads\WP%202026%20BSI.IT.23.C1%20Business%20Requirement.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4972</Words>
  <Characters>28342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BSI.IT.23.C1 Business Requirement – Testing Procedures</vt:lpstr>
    </vt:vector>
  </TitlesOfParts>
  <Company>Santander Bank, NA</Company>
  <LinksUpToDate>false</LinksUpToDate>
  <CharactersWithSpaces>33248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BSI.IT.23.C25 Implement &amp; Deployment – Testing Procedures</dc:title>
  <dc:creator>IT RCSA</dc:creator>
  <cp:lastModifiedBy>Edward Morfa</cp:lastModifiedBy>
  <cp:revision>2</cp:revision>
  <dcterms:created xsi:type="dcterms:W3CDTF">2026-10-26T19:20:00Z</dcterms:created>
  <dcterms:modified xsi:type="dcterms:W3CDTF">2026-10-26T19:20:00Z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6b56b2dc,5c484366,4d40a3cc</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e0f90fca-59d9-4aac-bcc2-47e1f4ce48b8_Enabled">
    <vt:lpwstr>true</vt:lpwstr>
  </property>
  <property fmtid="{D5CDD505-2E9C-101B-9397-08002B2CF9AE}" pid="6" name="MSIP_Label_e0f90fca-59d9-4aac-bcc2-47e1f4ce48b8_SetDate">
    <vt:lpwstr>2026-10-26T19:04:38Z</vt:lpwstr>
  </property>
  <property fmtid="{D5CDD505-2E9C-101B-9397-08002B2CF9AE}" pid="7" name="MSIP_Label_e0f90fca-59d9-4aac-bcc2-47e1f4ce48b8_Method">
    <vt:lpwstr>Standard</vt:lpwstr>
  </property>
  <property fmtid="{D5CDD505-2E9C-101B-9397-08002B2CF9AE}" pid="8" name="MSIP_Label_e0f90fca-59d9-4aac-bcc2-47e1f4ce48b8_Name">
    <vt:lpwstr>US Confidential</vt:lpwstr>
  </property>
  <property fmtid="{D5CDD505-2E9C-101B-9397-08002B2CF9AE}" pid="9" name="MSIP_Label_e0f90fca-59d9-4aac-bcc2-47e1f4ce48b8_SiteId">
    <vt:lpwstr>35595a02-4d6d-44ac-99e1-f9ab4cd872db</vt:lpwstr>
  </property>
  <property fmtid="{D5CDD505-2E9C-101B-9397-08002B2CF9AE}" pid="10" name="MSIP_Label_e0f90fca-59d9-4aac-bcc2-47e1f4ce48b8_ActionId">
    <vt:lpwstr>97dcf130-ea6a-4fbf-89e6-c073656b0c9f</vt:lpwstr>
  </property>
  <property fmtid="{D5CDD505-2E9C-101B-9397-08002B2CF9AE}" pid="11" name="MSIP_Label_e0f90fca-59d9-4aac-bcc2-47e1f4ce48b8_ContentBits">
    <vt:lpwstr>1</vt:lpwstr>
  </property>
  <property fmtid="{D5CDD505-2E9C-101B-9397-08002B2CF9AE}" pid="12" name="MSIP_Label_e0f90fca-59d9-4aac-bcc2-47e1f4ce48b8_Tag">
    <vt:lpwstr>10, 3, 0, 1</vt:lpwstr>
  </property>
</Properties>
</file>