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BSI.IT.23.C17 – COTS Solution Intent Doc (Heracles ID 50541403) – Testing Procedures</w:t>
      </w:r>
    </w:p>
    <w:p>
      <w:r>
        <w:rPr>
          <w:sz w:val="18"/>
        </w:rPr>
        <w:t>Control type: Key, Manual, Preventative, In every operation  |  Review period: 09/01/2025 – 08/31/2026  |  Control Owner / Executor: Jose Luis Martinez Avial  |  Prepared by: Edward (IT RCSA – Cycle 2)  |  Reviewed by: Mingo Cordova, Mirna Roxana  |  Test date: 10/30/2026</w:t>
      </w:r>
    </w:p>
    <w:p>
      <w:r>
        <w:rPr>
          <w:b/>
          <w:sz w:val="18"/>
        </w:rPr>
        <w:t xml:space="preserve">Control statement: </w:t>
      </w:r>
      <w:r>
        <w:rPr>
          <w:sz w:val="18"/>
        </w:rPr>
        <w:t>As part of developing a new internal system, customizing vendor products or upgrading existing systems, if Book of Work criteria is met, the Solution Intent document must be reviewed and approved by the Architecture Review Board (ARB) prior to entering the development phase of the SDLC process.</w:t>
      </w:r>
    </w:p>
    <w:p>
      <w:r>
        <w:rPr>
          <w:b/>
          <w:sz w:val="18"/>
        </w:rPr>
        <w:t xml:space="preserve">Risk: </w:t>
      </w:r>
      <w:r>
        <w:rPr>
          <w:sz w:val="18"/>
        </w:rPr>
        <w:t>[BSI.IT.23.R2 Design Architecture] Instability in the production architecture caused by lack of review and flawed design implementation may result in production issues and business disruption. (Inherent risk: Moderate)</w:t>
      </w:r>
    </w:p>
    <w:p>
      <w:r>
        <w:rPr>
          <w:b/>
        </w:rPr>
        <w:t>Test of Design</w:t>
      </w:r>
    </w:p>
    <w:p>
      <w:r>
        <w:rPr>
          <w:b/>
        </w:rPr>
        <w:t>Process understanding</w:t>
      </w:r>
    </w:p>
    <w:p>
      <w:r>
        <w:t>No 2026 walkthrough meeting was held; the 2025 test was performed with Jose Luis Martinez Avial (BSI Development Director). The design understanding is based on the 2025 SDLC process map "2025 PM_Systems Development Life Cycle (BSI)_v1" (v1.0 Draft, 11/08/2025 – C17 at step 1.3 "Architecture Design is developed", linked to R2), the 2026 process map (v2.0 Draft, 05/20/2026) and the Solution Intent evidence received on 10/30/2026. For every SDLC project / release the Project Manager completes the Solution Intent – the Santander "Single Design" template v1.3 – which records the Book of Work / ARB criteria (&gt; 2 MM, Cross Functional, New Technology, Strategy New Application, Miscellaneous Request, Cloud Deployment, AI or Quantum Computing). Enterprise Architecture reviews the document, approves it and confirms whether the ARB is required; if any criterion is met the Solution Intent is presented to the ARB for approval before development. The approval is uploaded to Delivery Hub as a gate artifact.</w:t>
      </w:r>
    </w:p>
    <w:p>
      <w:r>
        <w:t>Note: per the RCSA Testing Procedure (§4.3) walkthroughs are performed annually. A 2026 walkthrough with the control owner is required (OBS-01). C17 is not listed in the 2026 process map although it remains an active Key Control (OBS-07).</w:t>
      </w:r>
    </w:p>
    <w:p>
      <w:r>
        <w:rPr>
          <w:b/>
        </w:rPr>
        <w:t>1. Is the control designed with an appropriate frequency or trigger?</w:t>
      </w:r>
    </w:p>
    <w:p>
      <w:r>
        <w:rPr>
          <w:b/>
        </w:rPr>
        <w:t xml:space="preserve">Yes. </w:t>
      </w:r>
      <w:r>
        <w:t>The control is designed with an "In every operation" trigger, which is appropriate to mitigate BSI.IT.23.R2 because the ARB criteria are assessed in the Solution Intent for every SDLC project / release and Enterprise Architecture approves the design before implementation. In practice the EA approval / ARB determination is a Gate 5 artifact obtained after the Gate 4 (PTB) start of Build; had a project met the criteria, ARB approval would not have preceded development as the control requires (OBS-04).</w:t>
      </w:r>
    </w:p>
    <w:p>
      <w:r>
        <w:rPr>
          <w:b/>
        </w:rPr>
        <w:t>References:</w:t>
      </w:r>
    </w:p>
    <w:p>
      <w:r>
        <w:t>C17.01 - 2025 SDLC process map</w:t>
      </w:r>
    </w:p>
    <w:p>
      <w:r>
        <w:t>C17.03 - SDLC Project List</w:t>
      </w:r>
    </w:p>
    <w:p/>
    <w:p>
      <w:r>
        <w:rPr>
          <w:b/>
        </w:rPr>
        <w:t>2. Is there a defined audit trail/evidence which supports the execution of the control being performed?</w:t>
      </w:r>
    </w:p>
    <w:p>
      <w:r>
        <w:rPr>
          <w:b/>
        </w:rPr>
        <w:t xml:space="preserve">Yes. </w:t>
      </w:r>
      <w:r>
        <w:t>The defined audit trail is the Solution Intent (Single Design) with its ARB criteria table and version history, and the Enterprise Architecture approval / ARB determination e-mails embedded in the Single Design or uploaded to Delivery Hub.</w:t>
      </w:r>
    </w:p>
    <w:p>
      <w:r>
        <w:rPr>
          <w:b/>
        </w:rPr>
        <w:t>References:</w:t>
      </w:r>
    </w:p>
    <w:p>
      <w:r>
        <w:t>BSI.IT.23.C17.04 / C17.07 - Security Lending Single Designs</w:t>
      </w:r>
    </w:p>
    <w:p>
      <w:r>
        <w:t>BSI.IT.23.C17.05, C17.06, C17.08 - Security Lending EA e-mails</w:t>
      </w:r>
    </w:p>
    <w:p>
      <w:r>
        <w:t>BSI.IT.23.C17.09 / C17.11 - NDF Single Technical Designs</w:t>
      </w:r>
    </w:p>
    <w:p>
      <w:r>
        <w:t>BSI.IT.23.C17.10 / C17.12 - NDF EA sign-off e-mails</w:t>
      </w:r>
    </w:p>
    <w:p/>
    <w:p>
      <w:r>
        <w:rPr>
          <w:b/>
        </w:rPr>
        <w:t>3. Is the control aligned with internal policies and/or applicable regulations?</w:t>
      </w:r>
    </w:p>
    <w:p>
      <w:r>
        <w:rPr>
          <w:b/>
        </w:rPr>
        <w:t xml:space="preserve">Yes. </w:t>
      </w:r>
      <w:r>
        <w:t>The control is aligned with the 2025 SDLC process map (C17.01, step 1.3) and the US SDLC Standard / EPMO gate requirements. Documentation gap: the 2026 process map (C17.02) no longer lists C17. Per the CDA Job Aid this is discussed with the reviewer; the activity is still performed, so the gap does not affect execution, but the map must be updated (OBS-07).</w:t>
      </w:r>
    </w:p>
    <w:p>
      <w:r>
        <w:rPr>
          <w:b/>
        </w:rPr>
        <w:t>References:</w:t>
      </w:r>
    </w:p>
    <w:p>
      <w:r>
        <w:t>C17.01 - 2025 SDLC process map</w:t>
      </w:r>
    </w:p>
    <w:p>
      <w:r>
        <w:t>C17.02 - 2026 SDLC process map</w:t>
      </w:r>
    </w:p>
    <w:p/>
    <w:p>
      <w:r>
        <w:rPr>
          <w:b/>
        </w:rPr>
        <w:t>4. Are the thresholds for execution/resolution appropriate?</w:t>
      </w:r>
    </w:p>
    <w:p>
      <w:r>
        <w:rPr>
          <w:b/>
        </w:rPr>
        <w:t xml:space="preserve">Not applicable. </w:t>
      </w:r>
      <w:r>
        <w:t>No quantitative threshold is required for this Key control; the ARB criteria (&gt; 2 MM, new technology, cloud, AI …) act as the qualitative trigger for ARB review. (Question required only for SMC controls.)</w:t>
      </w:r>
    </w:p>
    <w:p/>
    <w:p>
      <w:r>
        <w:rPr>
          <w:b/>
        </w:rPr>
        <w:t>5. To what level is the issue escalation process defined and implemented?</w:t>
      </w:r>
    </w:p>
    <w:p>
      <w:r>
        <w:rPr>
          <w:b/>
        </w:rPr>
        <w:t xml:space="preserve">Full. </w:t>
      </w:r>
      <w:r>
        <w:t>A missing EA approval blocks the gate disposition; the PM / PMO escalate to Enterprise Architecture before the gate (e.g. "we need a confirmation today … gate 4 has to be presented this Friday" – C17.08). Project status is reported monthly to the TWG.</w:t>
      </w:r>
    </w:p>
    <w:p>
      <w:r>
        <w:rPr>
          <w:b/>
        </w:rPr>
        <w:t>References:</w:t>
      </w:r>
    </w:p>
    <w:p>
      <w:r>
        <w:t>C17.06 - SL EA Appian no impact 02-09-2026</w:t>
      </w:r>
    </w:p>
    <w:p>
      <w:r>
        <w:t>C17.08 - SL EA no ARB 05-12-2026</w:t>
      </w:r>
    </w:p>
    <w:p/>
    <w:p>
      <w:r>
        <w:rPr>
          <w:b/>
        </w:rPr>
        <w:t>6. How reliable is the information which the control is dependent upon?</w:t>
      </w:r>
    </w:p>
    <w:p>
      <w:r>
        <w:rPr>
          <w:b/>
        </w:rPr>
        <w:t xml:space="preserve">Moderately Reliable. </w:t>
      </w:r>
      <w:r>
        <w:t>The ARB criteria are self-assessed by the PM and confirmed by EA by e-mail; documents are maintained manually (the SL Single Design shows Delivery Hub ID 1886 – the JP Morgan MEGA ID – instead of 3263 and version rows without dates; the approved attachments are not retained in the .msg files and the decks were re-saved 10/28/2026 – OBS-08).</w:t>
      </w:r>
    </w:p>
    <w:p>
      <w:r>
        <w:rPr>
          <w:b/>
        </w:rPr>
        <w:t>References:</w:t>
      </w:r>
    </w:p>
    <w:p>
      <w:r>
        <w:t>BSI.IT.23.C17.04, C17.07</w:t>
      </w:r>
    </w:p>
    <w:p/>
    <w:p>
      <w:r>
        <w:rPr>
          <w:b/>
        </w:rPr>
        <w:t>7. Is the process to obtain evidence of the control execution simple?</w:t>
      </w:r>
    </w:p>
    <w:p>
      <w:r>
        <w:rPr>
          <w:b/>
        </w:rPr>
        <w:t xml:space="preserve">Yes. </w:t>
      </w:r>
      <w:r>
        <w:t>Single Designs and EA e-mails are stored in Delivery Hub and provided by the PMO (Joshua De Leon) on request.</w:t>
      </w:r>
    </w:p>
    <w:p>
      <w:r>
        <w:rPr>
          <w:b/>
        </w:rPr>
        <w:t>References:</w:t>
      </w:r>
    </w:p>
    <w:p>
      <w:r>
        <w:t>BSI.IT.23.C17.04 – C17.12</w:t>
      </w:r>
    </w:p>
    <w:p/>
    <w:p>
      <w:r>
        <w:rPr>
          <w:b/>
        </w:rPr>
        <w:t>8. Walkthrough / Test of One Summary (EASE – CDA Job Aid §4.1)</w:t>
      </w:r>
    </w:p>
    <w:p>
      <w:r>
        <w:t>On 10/30/2026, Edward (IT RCSA) performed the CDA Walkthrough / Test of One for BSI.IT.23.C17 COTS Solution Intent Doc through inspection of Sample 1 ALCO – Security Lending (DH 3263) and Sample 2 Derivatives Non-Deliverable Forwards – NDF (DH 3264), the two projects provided in the evidence folder and selected from the Delivery Hub SDLC Project List for 09/01/2025 – 08/31/2026. No 2026 walkthrough meeting was held; the 2025 test was performed with Jose Luis Martinez Avial.</w:t>
      </w:r>
    </w:p>
    <w:p>
      <w:r>
        <w:t>The control is triggered by every SDLC project / release and performed in every operation by the Project Manager, who completes the Solution Intent (Single Design) including the Book of Work / ARB criteria, and by Enterprise Architecture, which approves the design and determines whether the ARB is required; when a criterion is met the ARB approves before development.</w:t>
      </w:r>
    </w:p>
    <w:p>
      <w:r>
        <w:t>Sample 1 – Security Lending: the tester reviewed the Single Design (Feb and May 2026 versions) with all ARB criteria "No" and the Enterprise Architecture e-mails of 12/04/2025 (approved), 02/09/2026 (Appian release – no architecture impact) and 05/12/2026 (T24 release – no ARB required) (C17.04 – C17.08).</w:t>
      </w:r>
    </w:p>
    <w:p>
      <w:r>
        <w:t>Sample 2 – NDF: the tester reviewed the Single Technical Design RL1 (12/08/2025) and RL2 (03/20/2026) with all ARB criteria "No" and the Enterprise Architecture approvals of 12/10/2025 and 03/24/2026 (C17.09 – C17.12).</w:t>
      </w:r>
    </w:p>
    <w:p>
      <w:r>
        <w:t>The evidence demonstrates the ARB criteria were assessed and the Solution Intent was approved / ARB determined not required before production; it is retained in Delivery Hub. When EA approval is pending the PM escalates before the gate (C17.08). Variation: new Appian application and T24 customization – both assessed.</w:t>
      </w:r>
    </w:p>
    <w:p>
      <w:r>
        <w:t>Based on the walkthrough and evidence reviewed, design observations OBS-04 (determination after PTB), OBS-07 (C17 not in the 2026 process map) and OBS-08 (document quality / version retention) were identified. The control is appropriately designed to mitigate BSI.IT.23.R2 because every design is reviewed by Enterprise Architecture and the ARB applicability is documented.</w:t>
      </w:r>
    </w:p>
    <w:p/>
    <w:p>
      <w:r>
        <w:rPr>
          <w:b/>
        </w:rPr>
        <w:t>9. Competency of Control Owner / Performer (EASE – CDA Job Aid §4.4)</w:t>
      </w:r>
    </w:p>
    <w:p>
      <w:r>
        <w:t>Based on inquiry (2025 test) and the 2026 evidence, the Project Managers (Marcus Medeiros, Domingo Megia Planet) demonstrated an appropriate understanding of the ARB criteria and of the EA approval required in Delivery Hub, and the Enterprise Architect (Jofman Perez, VP) applied the criteria and documented his determination for every release. The Enterprise Architect / ARB hold the authority to approve designs. Competency to be re-confirmed with the Control Owner (Jose Luis Martinez Avial) in the 2026 walkthrough.</w:t>
      </w:r>
    </w:p>
    <w:p/>
    <w:p>
      <w:r>
        <w:rPr>
          <w:b/>
        </w:rPr>
        <w:t>10. Overall CDA Comment – Overall Control Design Assessment Rating (EASE Q10 – CDA Job Aid §4.6)</w:t>
      </w:r>
    </w:p>
    <w:p>
      <w:r>
        <w:t>The control is appropriately designed to mitigate BSI.IT.23.R2 Design Architecture. The trigger (every SDLC project / release) is appropriate because the ARB criteria are assessed in the Solution Intent and Enterprise Architecture approves the design before implementation; the timing should be moved before PTB (OBS-04). Execution is evidenced by the Single Design and the Enterprise Architecture e-mails retained in Delivery Hub, and the evidence process is clear, practical and sustainable. The control is aligned with the SDLC Standard and the 2025 process map (step 1.3); it must be added to the 2026 map (OBS-07). The ARB criteria act as the qualitative trigger; no quantitative threshold is required. Escalation is fully defined and implemented. The information used is moderately reliable because the criteria are self-assessed and documents are maintained manually. The control nature of Manual is appropriate because the PM assesses the criteria and Enterprise Architecture / ARB approve. Based on the walkthrough and evidence for both samples, the design rating is Satisfactory.</w:t>
      </w:r>
    </w:p>
    <w:p>
      <w:r>
        <w:rPr>
          <w:b/>
        </w:rPr>
        <w:t xml:space="preserve">Overall Rating: </w:t>
      </w:r>
      <w:r>
        <w:t>Satisfactory. Manual control – per the RCSA Testing Procedure (§4.3.5) the rating cannot exceed Satisfactory.</w:t>
      </w:r>
    </w:p>
    <w:p>
      <w:r>
        <w:rPr>
          <w:b/>
        </w:rPr>
        <w:t>References:</w:t>
      </w:r>
    </w:p>
    <w:p>
      <w:r>
        <w:t>BSI.IT.23.C17.01 / C17.02</w:t>
      </w:r>
    </w:p>
    <w:p>
      <w:r>
        <w:t>BSI.IT.23.C17.03</w:t>
      </w:r>
    </w:p>
    <w:p>
      <w:r>
        <w:t>BSI.IT.23.C17.09 – C17.12</w:t>
      </w:r>
    </w:p>
    <w:p/>
    <w:p>
      <w:r>
        <w:rPr>
          <w:b/>
        </w:rPr>
        <w:t>Sampling Rationale</w:t>
      </w:r>
    </w:p>
    <w:p>
      <w:r>
        <w:t>Samples: the two projects provided in the evidence folder (New Evidences SDLC Controls-10-30-2026\SDLC Controls-10-30-2026\Evidence) – Sample 1 ALCO – Security Lending (DH 3263) and Sample 2 Derivatives Non-Deliverable Forwards – NDF (DH 3264). Each sample covers both releases of the project.</w:t>
      </w:r>
    </w:p>
    <w:p>
      <w:r>
        <w:t>The population consisted of two in-scope SDLC projects, DH 3263 ALCO – Security Lending and DH 3264 Derivatives NDF, with four releases during the review period. The control is manual and operates "In every operation". Per the RCSA Testing Procedure (§4.4.2 and §4.4.4) the entire population was tested (2 projects / 4 releases).</w:t>
      </w:r>
    </w:p>
    <w:p>
      <w:r>
        <w:t>The sample includes a new application (Appian Security Lending Workflow) and a vendor product customization (T24 NDF module with Murex / Medea / DTCC integrations), so it covers the cases most likely to meet the ARB criteria.</w:t>
      </w:r>
    </w:p>
    <w:p/>
    <w:p>
      <w:r>
        <w:rPr>
          <w:b/>
        </w:rPr>
        <w:t>The RCSA team performed the following testing procedures:</w:t>
      </w:r>
    </w:p>
    <w:p>
      <w:r>
        <w:t>(Source: BSI.IT.23.C17 has no NewTest Script in the IT RCSA 2026 Test Plan "New test scripts" tab. Script proposed in the same 9-step format using the Test Plan Control Articulation Tracker (2026 proposed statement and 2025 test script) and the CUSO RCSA Testing Procedure – 00 Reference/C17 Test Script (proposed).xlsx)</w:t>
      </w:r>
    </w:p>
    <w:p>
      <w:r>
        <w:rPr>
          <w:b/>
        </w:rPr>
        <w:t>1. Obtain Evidence</w:t>
      </w:r>
    </w:p>
    <w:p>
      <w:r>
        <w:rPr>
          <w:b/>
        </w:rPr>
        <w:t>Obtain the population of projects delivered during the testing period that involved development activities (new internal system, vendor product customization or system upgrade), and for each project/release the Solution Intent document (Single Design), the Book of Work / ARB criteria assessment, the ARB decision (Jira ticket / minutes) or Enterprise Architecture "ARB not required" determination, and the Delivery Hub gate dates evidencing the start of development.</w:t>
      </w:r>
    </w:p>
    <w:p>
      <w:r>
        <w:rPr>
          <w:b/>
        </w:rPr>
        <w:t>2. Validate Report Completeness and Accuracy</w:t>
      </w:r>
    </w:p>
    <w:p>
      <w:r>
        <w:rPr>
          <w:b/>
        </w:rPr>
        <w:t>Validate the completeness and accuracy of the project population by reconciling it to an independent source (e.g. ServiceNow release list); obtain the query / filters and a screenshot of the extraction. Confirm key attributes are accurate.</w:t>
      </w:r>
    </w:p>
    <w:p>
      <w:r>
        <w:rPr>
          <w:b/>
        </w:rPr>
        <w:t>3. Validate Population and Scope</w:t>
      </w:r>
    </w:p>
    <w:p>
      <w:r>
        <w:rPr>
          <w:b/>
        </w:rPr>
        <w:t>Select a sample in accordance with the approved RCSA sampling methodology (§4.4.2). Determine for each sampled project whether it met the Book of Work / ARB criteria.</w:t>
      </w:r>
    </w:p>
    <w:p>
      <w:r>
        <w:rPr>
          <w:b/>
        </w:rPr>
        <w:t>4. Verify Control Execution</w:t>
      </w:r>
    </w:p>
    <w:p>
      <w:r>
        <w:rPr>
          <w:b/>
        </w:rPr>
        <w:t>For each sampled project, inspect the Solution Intent to verify the ARB criteria were assessed. Where criteria are met, verify the Solution Intent was reviewed and approved by the ARB prior to entering the development phase (compare the ARB decision date to the Gate 4 – PTB date). Where not met, verify that Enterprise Architecture documented the determination / approval.</w:t>
      </w:r>
    </w:p>
    <w:p>
      <w:r>
        <w:rPr>
          <w:b/>
        </w:rPr>
        <w:t>5. Validate Control Results</w:t>
      </w:r>
    </w:p>
    <w:p>
      <w:r>
        <w:rPr>
          <w:b/>
        </w:rPr>
        <w:t>Verify approvals were formally documented by the appropriate authority (ARB / Enterprise Architecture) and retained in the EPMO tool, and that the approved version corresponds to the version implemented.</w:t>
      </w:r>
    </w:p>
    <w:p>
      <w:r>
        <w:rPr>
          <w:b/>
        </w:rPr>
        <w:t>6. Verify Exception Handling</w:t>
      </w:r>
    </w:p>
    <w:p>
      <w:r>
        <w:rPr>
          <w:b/>
        </w:rPr>
        <w:t>Determine whether any sampled project lacked a Solution Intent, an ARB criteria assessment or the required ARB / EA approval before development; evaluate nature, root cause and extent (§4.4.8.1).</w:t>
      </w:r>
    </w:p>
    <w:p>
      <w:r>
        <w:rPr>
          <w:b/>
        </w:rPr>
        <w:t>7. Verify Escalation and Remediation</w:t>
      </w:r>
    </w:p>
    <w:p>
      <w:r>
        <w:rPr>
          <w:b/>
        </w:rPr>
        <w:t>For exceptions, verify escalation per the EPMO standard and remediation or documented risk acceptance; communicate exceptions to the Control Owner and BU BCO (§4.3.6).</w:t>
      </w:r>
    </w:p>
    <w:p>
      <w:r>
        <w:rPr>
          <w:b/>
        </w:rPr>
        <w:t>8. Assess Risk Mitigation</w:t>
      </w:r>
    </w:p>
    <w:p>
      <w:r>
        <w:rPr>
          <w:b/>
        </w:rPr>
        <w:t>Assess whether architecture reviews were performed before development / implementation, mitigating BSI.IT.23.R2 Design Architecture.</w:t>
      </w:r>
    </w:p>
    <w:p>
      <w:r>
        <w:rPr>
          <w:b/>
        </w:rPr>
        <w:t>9. Summarize Testing Coverage</w:t>
      </w:r>
    </w:p>
    <w:p>
      <w:r>
        <w:rPr>
          <w:b/>
        </w:rPr>
        <w:t>Document: Population source(s) reviewed.; Completeness and accuracy validation performed.; Sample selected in accordance with approved RCSA methodology.; Projects tested.; Control attributes evaluated.; Exceptions identified, if any.; Escalation and remediation activities reviewed, if applicable.</w:t>
      </w:r>
    </w:p>
    <w:p/>
    <w:p>
      <w:r>
        <w:rPr>
          <w:b/>
        </w:rPr>
        <w:t xml:space="preserve">Testing method: </w:t>
      </w:r>
      <w:r>
        <w:t>Inspection (primary) supported by inquiry (§4.4.1). Key attributes tested per project: (A1) Book of Work / ARB criteria assessed and documented in the Solution Intent; (A2) Solution Intent approved by the ARB prior to development when criteria are met, otherwise Enterprise Architecture approval / "ARB not required" determination documented prior to implementation.</w:t>
      </w:r>
    </w:p>
    <w:p/>
    <w:p>
      <w:r>
        <w:rPr>
          <w:b/>
        </w:rPr>
        <w:t>Execution of the testing procedures</w:t>
      </w:r>
    </w:p>
    <w:p>
      <w:r>
        <w:rPr>
          <w:b/>
        </w:rPr>
        <w:t>1. IT RCSA obtained the following evidence from the PMO for the period September 1, 2025 through August 31, 2026:</w:t>
      </w:r>
    </w:p>
    <w:p>
      <w:pPr>
        <w:pStyle w:val="ListParagraph"/>
        <w:numPr>
          <w:ilvl w:val="0"/>
          <w:numId w:val="2"/>
        </w:numPr>
        <w:spacing w:after="60"/>
      </w:pPr>
      <w:r>
        <w:rPr>
          <w:b/>
        </w:rPr>
        <w:t xml:space="preserve">Project population: </w:t>
      </w:r>
      <w:r>
        <w:t>Delivery Hub "SDLC Project List" export (C17.03) – 2 SDLC projects, 4 releases.</w:t>
      </w:r>
    </w:p>
    <w:p>
      <w:pPr>
        <w:pStyle w:val="ListParagraph"/>
        <w:numPr>
          <w:ilvl w:val="0"/>
          <w:numId w:val="2"/>
        </w:numPr>
        <w:spacing w:after="60"/>
      </w:pPr>
      <w:r>
        <w:rPr>
          <w:b/>
        </w:rPr>
        <w:t xml:space="preserve">Solution Intent documents: </w:t>
      </w:r>
      <w:r>
        <w:t>"3263 – Security Lending – Single Design" (Feb 2026 and May 2026 versions, C17.04, C17.07) and "DH 3264 – Derivatives OTC Customer Phase 1 – Single Technical Design" RL1 and RL2 (C17.09, C17.11).</w:t>
      </w:r>
    </w:p>
    <w:p>
      <w:pPr>
        <w:pStyle w:val="ListParagraph"/>
        <w:numPr>
          <w:ilvl w:val="0"/>
          <w:numId w:val="2"/>
        </w:numPr>
        <w:spacing w:after="60"/>
      </w:pPr>
      <w:r>
        <w:rPr>
          <w:b/>
        </w:rPr>
        <w:t xml:space="preserve">Enterprise Architecture approvals: </w:t>
      </w:r>
      <w:r>
        <w:t>Security Lending approval e-mails embedded in the Single Designs and extracted as separate files (C17.05, C17.06, C17.08); NDF sign-off e-mails (C17.10, C17.12).</w:t>
      </w:r>
    </w:p>
    <w:p>
      <w:pPr>
        <w:pStyle w:val="ListParagraph"/>
        <w:numPr>
          <w:ilvl w:val="0"/>
          <w:numId w:val="2"/>
        </w:numPr>
        <w:spacing w:after="60"/>
      </w:pPr>
      <w:r>
        <w:rPr>
          <w:b/>
        </w:rPr>
        <w:t xml:space="preserve">Gate records and process maps: </w:t>
      </w:r>
      <w:r>
        <w:t>Delivery Hub gate dispositions for both projects (C17.13, C17.14) and the 2025 / 2026 process maps (C17.01, C17.02).</w:t>
      </w:r>
    </w:p>
    <w:p>
      <w:r>
        <w:rPr>
          <w:b/>
        </w:rPr>
        <w:t xml:space="preserve">Test Result: </w:t>
      </w:r>
      <w:r>
        <w:t>Completed. No ARB minutes / Jira tickets were requested as no project met the ARB criteria.</w:t>
      </w:r>
    </w:p>
    <w:p>
      <w:r>
        <w:rPr>
          <w:b/>
        </w:rPr>
        <w:t xml:space="preserve">Reference: </w:t>
      </w:r>
      <w:r>
        <w:t>BSI.IT.23.C17.01 – BSI.IT.23.C17.14</w:t>
      </w:r>
    </w:p>
    <w:p/>
    <w:p>
      <w:r>
        <w:rPr>
          <w:b/>
        </w:rPr>
        <w:t>2. IT RCSA validated the completeness and accuracy of the project population:</w:t>
      </w:r>
    </w:p>
    <w:p>
      <w:pPr>
        <w:pStyle w:val="ListParagraph"/>
        <w:numPr>
          <w:ilvl w:val="0"/>
          <w:numId w:val="2"/>
        </w:numPr>
        <w:spacing w:after="60"/>
      </w:pPr>
      <w:r>
        <w:rPr>
          <w:b/>
        </w:rPr>
        <w:t xml:space="preserve">Record count. </w:t>
      </w:r>
      <w:r>
        <w:t>The export contains 100 records: 74 IT projects, 24 non-IT projects and 2 without a type. Of these, 2 are flagged SDLC "Yes", 6 "No" and 92 are blank.</w:t>
      </w:r>
    </w:p>
    <w:p>
      <w:pPr>
        <w:pStyle w:val="ListParagraph"/>
        <w:numPr>
          <w:ilvl w:val="0"/>
          <w:numId w:val="2"/>
        </w:numPr>
        <w:spacing w:after="60"/>
      </w:pPr>
      <w:r>
        <w:rPr>
          <w:b/>
        </w:rPr>
        <w:t xml:space="preserve">Accuracy. </w:t>
      </w:r>
      <w:r>
        <w:t>IT RCSA traced the two SDLC projects to their ServiceNow release tickets – DH 3263 to RLSE1271544 (description "[ID:3263]") and RLSE1370716 ("Securities Lending – Release 2"); DH 3264 to RLSE1270306 ("DH:3264") and RLSE1329424 ("3264 – Derivatives OTC Customer phase 1 (NDF)"). Project ID, name, system (T24 / Appian), Change Sponsor (Ted Fernandez), phase (Closed) and close date (09/02/2026) agreed. No differences were noted.</w:t>
      </w:r>
    </w:p>
    <w:p>
      <w:pPr>
        <w:pStyle w:val="ListParagraph"/>
        <w:numPr>
          <w:ilvl w:val="0"/>
          <w:numId w:val="2"/>
        </w:numPr>
        <w:spacing w:after="60"/>
      </w:pPr>
      <w:r>
        <w:rPr>
          <w:b/>
        </w:rPr>
        <w:t xml:space="preserve">Completeness. </w:t>
      </w:r>
      <w:r>
        <w:t>Six projects flagged "No" (3602, 3270, 3737, 3668, 3517, 31422) were accepted as non-development projects per the PMO classification. Two closed IT projects – 3512 Discretionary Portfolio Mandate (closed 03/30/2026) and 3625 Alternative Investments 2025 – have a blank SDLC flag with no documented rationale. No independent list of production releases (ServiceNow RLSE export, category Deployment), query or extraction screenshot was provided to confirm the population is complete.</w:t>
      </w:r>
    </w:p>
    <w:p>
      <w:r>
        <w:rPr>
          <w:b/>
        </w:rPr>
        <w:t xml:space="preserve">Test Result: </w:t>
      </w:r>
      <w:r>
        <w:t>Pass (accuracy). The population is accurate. Completeness could not be re-performed because no independent release list was provided; this is observation OBS-11 (was OI-03, common to all BSI SDLC controls) and does not affect the sample results.</w:t>
      </w:r>
    </w:p>
    <w:p>
      <w:r>
        <w:rPr>
          <w:b/>
        </w:rPr>
        <w:t xml:space="preserve">Reference: </w:t>
      </w:r>
      <w:r>
        <w:t>BSI.IT.23.C17.03; BSI.IT.23.C25.03, C25.06, C25.08, C25.11</w:t>
      </w:r>
    </w:p>
    <w:p/>
    <w:p>
      <w:r>
        <w:rPr>
          <w:b/>
        </w:rPr>
        <w:t>3. IT RCSA confirmed the testing scope and selected the sample (100% of the population):</w:t>
      </w:r>
    </w:p>
    <w:p>
      <w:pPr>
        <w:pStyle w:val="ListParagraph"/>
        <w:numPr>
          <w:ilvl w:val="0"/>
          <w:numId w:val="2"/>
        </w:numPr>
        <w:spacing w:after="60"/>
      </w:pPr>
      <w:r>
        <w:rPr>
          <w:b/>
        </w:rPr>
        <w:t xml:space="preserve">Sample 1 – R01: </w:t>
      </w:r>
      <w:r>
        <w:t>DH 3263 Security Lending – RLSE1271544 / CHG002674318 – Appian, new Security Lending Workflow (SLW) – production 03/13/2026 18:21</w:t>
      </w:r>
    </w:p>
    <w:p>
      <w:pPr>
        <w:pStyle w:val="ListParagraph"/>
        <w:numPr>
          <w:ilvl w:val="0"/>
          <w:numId w:val="2"/>
        </w:numPr>
        <w:spacing w:after="60"/>
      </w:pPr>
      <w:r>
        <w:rPr>
          <w:b/>
        </w:rPr>
        <w:t xml:space="preserve">Sample 1 – R02: </w:t>
      </w:r>
      <w:r>
        <w:t>DH 3263 Security Lending – RLSE1370716 / CHG003017994 – T24, Securities Lending Release 2 – production 06/26/2026 22:30</w:t>
      </w:r>
    </w:p>
    <w:p>
      <w:pPr>
        <w:pStyle w:val="ListParagraph"/>
        <w:numPr>
          <w:ilvl w:val="0"/>
          <w:numId w:val="2"/>
        </w:numPr>
        <w:spacing w:after="60"/>
      </w:pPr>
      <w:r>
        <w:rPr>
          <w:b/>
        </w:rPr>
        <w:t xml:space="preserve">Sample 2 – R01: </w:t>
      </w:r>
      <w:r>
        <w:t>DH 3264 Derivatives NDF – RLSE1270306 / CHG002670462 – T24, NDF Project Release 1 (new NDF module) – production 01/28/2026 02:40</w:t>
      </w:r>
    </w:p>
    <w:p>
      <w:pPr>
        <w:pStyle w:val="ListParagraph"/>
        <w:numPr>
          <w:ilvl w:val="0"/>
          <w:numId w:val="2"/>
        </w:numPr>
        <w:spacing w:after="60"/>
      </w:pPr>
      <w:r>
        <w:rPr>
          <w:b/>
        </w:rPr>
        <w:t xml:space="preserve">Sample 2 – R02: </w:t>
      </w:r>
      <w:r>
        <w:t>DH 3264 Derivatives NDF – RLSE1329424 / CHG002864467 – T24, NDF Release 2 – production 05/08/2026 01:00</w:t>
      </w:r>
    </w:p>
    <w:p>
      <w:r>
        <w:rPr>
          <w:b/>
        </w:rPr>
        <w:t xml:space="preserve">Test Result: </w:t>
      </w:r>
      <w:r>
        <w:t>Pass. Both projects are development / customization projects subject to the control.</w:t>
      </w:r>
    </w:p>
    <w:p>
      <w:r>
        <w:rPr>
          <w:b/>
        </w:rPr>
        <w:t xml:space="preserve">Reference: </w:t>
      </w:r>
      <w:r>
        <w:t>BSI.IT.23.C17.03</w:t>
      </w:r>
    </w:p>
    <w:p/>
    <w:p>
      <w:r>
        <w:rPr>
          <w:b/>
        </w:rPr>
        <w:t>4. IT RCSA inspected the Solution Intent and the approval for each project:</w:t>
      </w:r>
    </w:p>
    <w:p>
      <w:r>
        <w:rPr>
          <w:b/>
        </w:rPr>
        <w:t>Sample 1 – DH 3263 Security Lending</w:t>
      </w:r>
    </w:p>
    <w:p>
      <w:pPr>
        <w:pStyle w:val="ListParagraph"/>
        <w:numPr>
          <w:ilvl w:val="0"/>
          <w:numId w:val="2"/>
        </w:numPr>
        <w:spacing w:after="60"/>
      </w:pPr>
      <w:r>
        <w:rPr>
          <w:b/>
        </w:rPr>
        <w:t xml:space="preserve">A1 – Criteria assessed: </w:t>
      </w:r>
      <w:r>
        <w:t>ARB criteria: &gt; 2 MM No; Cross Functional No; New Technology No; Strategy New Application No; Miscellaneous No; Cloud No (SaaS); AI No; Alexandria classification Local → ARB not required. Applications: JP Morgan (existing), T24 (existing), Appian – Security Lending Workflow (new, MEGA 7632) (C17.04, C17.07).</w:t>
      </w:r>
    </w:p>
    <w:p>
      <w:pPr>
        <w:pStyle w:val="ListParagraph"/>
        <w:numPr>
          <w:ilvl w:val="0"/>
          <w:numId w:val="2"/>
        </w:numPr>
        <w:spacing w:after="60"/>
      </w:pPr>
      <w:r>
        <w:rPr>
          <w:b/>
        </w:rPr>
        <w:t xml:space="preserve">A2 – Approval / determination: </w:t>
      </w:r>
      <w:r>
        <w:t>Enterprise Architecture (Jofman Perez) approved the Single Design on 12/04/2025 ("Approved!", Gate 5 artifacts – C17.05); confirmed on 02/09/2026 the Appian release has "no impact on the Architecture" (C17.06); confirmed on 05/12/2026 the T24 release "won't require ARB approval", before the release Gate 4 on 05/15/2026 (C17.08). All before production (03/13/2026, 06/26/2026). Project PTB 10/31/2025 (C17.13) – EA approval after PTB (OBS-04).</w:t>
      </w:r>
    </w:p>
    <w:p>
      <w:r>
        <w:rPr>
          <w:b/>
        </w:rPr>
        <w:t>Sample 2 – DH 3264 Derivatives NDF</w:t>
      </w:r>
    </w:p>
    <w:p>
      <w:pPr>
        <w:pStyle w:val="ListParagraph"/>
        <w:numPr>
          <w:ilvl w:val="0"/>
          <w:numId w:val="2"/>
        </w:numPr>
        <w:spacing w:after="60"/>
      </w:pPr>
      <w:r>
        <w:rPr>
          <w:b/>
        </w:rPr>
        <w:t xml:space="preserve">A1 – Criteria assessed: </w:t>
      </w:r>
      <w:r>
        <w:t>RL1 (12/08/2025) and RL2 (03/20/2026) – all ARB criteria "No" (Cloud: No – SaaS affiliate); Alexandria Local; aligned with Global Tech Stack: Yes → ARB not required (C17.09, C17.11).</w:t>
      </w:r>
    </w:p>
    <w:p>
      <w:pPr>
        <w:pStyle w:val="ListParagraph"/>
        <w:numPr>
          <w:ilvl w:val="0"/>
          <w:numId w:val="2"/>
        </w:numPr>
        <w:spacing w:after="60"/>
      </w:pPr>
      <w:r>
        <w:rPr>
          <w:b/>
        </w:rPr>
        <w:t xml:space="preserve">A2 – Approval / determination: </w:t>
      </w:r>
      <w:r>
        <w:t>RL1 approved by Enterprise Architecture on 12/10/2025 ("Approved!", Gate 5 meeting 12/15/2025 – C17.10); RL2 approved on 03/24/2026 ("Approved"; architecture unchanged; RL2 no applicability to ARB; ISAR SAT-5256 / AST IS-25009 non-applicable – C17.12). RL2 version history: v1.0 01/06/2026 "Document approved by Enterprise Architecture". Both before production; after PTB (11/04/2025; 03/10/2026) – OBS-04.</w:t>
      </w:r>
    </w:p>
    <w:p>
      <w:r>
        <w:rPr>
          <w:b/>
        </w:rPr>
        <w:t xml:space="preserve">Test Result: </w:t>
      </w:r>
      <w:r>
        <w:t>Pass. ARB criteria were assessed for both projects and Enterprise Architecture approved the Solution Intent / determined that ARB was not required before production.</w:t>
      </w:r>
    </w:p>
    <w:p>
      <w:r>
        <w:rPr>
          <w:b/>
        </w:rPr>
        <w:t xml:space="preserve">Reference: </w:t>
      </w:r>
      <w:r>
        <w:t>BSI.IT.23.C17.04 – BSI.IT.23.C17.14</w:t>
      </w:r>
    </w:p>
    <w:p/>
    <w:p>
      <w:r>
        <w:rPr>
          <w:b/>
        </w:rPr>
        <w:t>5. IT RCSA validated the approval evidence:</w:t>
      </w:r>
    </w:p>
    <w:p>
      <w:pPr>
        <w:pStyle w:val="ListParagraph"/>
        <w:numPr>
          <w:ilvl w:val="0"/>
          <w:numId w:val="2"/>
        </w:numPr>
        <w:spacing w:after="60"/>
      </w:pPr>
      <w:r>
        <w:t>Approvals were given by the Enterprise Architect (appropriate authority) by e-mail and stored in Delivery Hub / embedded in the Single Design.</w:t>
      </w:r>
    </w:p>
    <w:p>
      <w:pPr>
        <w:pStyle w:val="ListParagraph"/>
        <w:numPr>
          <w:ilvl w:val="0"/>
          <w:numId w:val="2"/>
        </w:numPr>
        <w:spacing w:after="60"/>
      </w:pPr>
      <w:r>
        <w:t>The approved attachments were not retained inside the .msg files and the decks provided were re-saved on 10/28/2026, so the exact approved version cannot be matched byte-for-byte (OBS-08).</w:t>
      </w:r>
    </w:p>
    <w:p>
      <w:r>
        <w:rPr>
          <w:b/>
        </w:rPr>
        <w:t xml:space="preserve">Test Result: </w:t>
      </w:r>
      <w:r>
        <w:t>Pass.</w:t>
      </w:r>
    </w:p>
    <w:p>
      <w:r>
        <w:rPr>
          <w:b/>
        </w:rPr>
        <w:t xml:space="preserve">Reference: </w:t>
      </w:r>
      <w:r>
        <w:t>BSI.IT.23.C17.05 – C17.12</w:t>
      </w:r>
    </w:p>
    <w:p/>
    <w:p>
      <w:r>
        <w:rPr>
          <w:b/>
        </w:rPr>
        <w:t>6. IT RCSA reviewed the results to identify any exceptions:</w:t>
      </w:r>
    </w:p>
    <w:p>
      <w:pPr>
        <w:pStyle w:val="ListParagraph"/>
        <w:numPr>
          <w:ilvl w:val="0"/>
          <w:numId w:val="2"/>
        </w:numPr>
        <w:spacing w:after="60"/>
      </w:pPr>
      <w:r>
        <w:t>No project lacked a Solution Intent, an ARB criteria assessment or the EA determination. No project met the ARB criteria, so no ARB approval was required.</w:t>
      </w:r>
    </w:p>
    <w:p>
      <w:pPr>
        <w:pStyle w:val="ListParagraph"/>
        <w:numPr>
          <w:ilvl w:val="0"/>
          <w:numId w:val="2"/>
        </w:numPr>
        <w:spacing w:after="60"/>
      </w:pPr>
      <w:r>
        <w:t>Observations (no exception): OBS-04 (timing after PTB), OBS-07 (not in 2026 process map), OBS-08 (document quality / version retention).</w:t>
      </w:r>
    </w:p>
    <w:p>
      <w:r>
        <w:rPr>
          <w:b/>
        </w:rPr>
        <w:t xml:space="preserve">Test Result: </w:t>
      </w:r>
      <w:r>
        <w:t>Pass – no exceptions.</w:t>
      </w:r>
    </w:p>
    <w:p>
      <w:r>
        <w:rPr>
          <w:b/>
        </w:rPr>
        <w:t xml:space="preserve">Reference: </w:t>
      </w:r>
      <w:r>
        <w:t>BSI.IT.23.C17.04 – C17.14</w:t>
      </w:r>
    </w:p>
    <w:p/>
    <w:p>
      <w:r>
        <w:rPr>
          <w:b/>
        </w:rPr>
        <w:t>7. IT RCSA reviewed escalation and remediation:</w:t>
      </w:r>
    </w:p>
    <w:p>
      <w:pPr>
        <w:pStyle w:val="ListParagraph"/>
        <w:numPr>
          <w:ilvl w:val="0"/>
          <w:numId w:val="2"/>
        </w:numPr>
        <w:spacing w:after="60"/>
      </w:pPr>
      <w:r>
        <w:t>Not applicable – no exceptions were identified. The e-mail chains show the PM / PMO escalating to Enterprise Architecture before the gates (C17.06, C17.08).</w:t>
      </w:r>
    </w:p>
    <w:p>
      <w:r>
        <w:rPr>
          <w:b/>
        </w:rPr>
        <w:t xml:space="preserve">Test Result: </w:t>
      </w:r>
      <w:r>
        <w:t>N/A.</w:t>
      </w:r>
    </w:p>
    <w:p>
      <w:r>
        <w:rPr>
          <w:b/>
        </w:rPr>
        <w:t xml:space="preserve">Reference: </w:t>
      </w:r>
      <w:r>
        <w:t>BSI.IT.23.C17.06, C17.08</w:t>
      </w:r>
    </w:p>
    <w:p/>
    <w:p>
      <w:r>
        <w:rPr>
          <w:b/>
        </w:rPr>
        <w:t>8. IT RCSA assessed whether the control reduces the risk of flawed design architecture (BSI.IT.23.R2):</w:t>
      </w:r>
    </w:p>
    <w:p>
      <w:pPr>
        <w:pStyle w:val="ListParagraph"/>
        <w:numPr>
          <w:ilvl w:val="0"/>
          <w:numId w:val="2"/>
        </w:numPr>
        <w:spacing w:after="60"/>
      </w:pPr>
      <w:r>
        <w:t>Every release was reviewed by Enterprise Architecture before production and the ARB applicability was documented.</w:t>
      </w:r>
    </w:p>
    <w:p>
      <w:r>
        <w:rPr>
          <w:b/>
        </w:rPr>
        <w:t xml:space="preserve">Test Result: </w:t>
      </w:r>
      <w:r>
        <w:t>Pass. The control mitigates BSI.IT.23.R2 (timing observation OBS-04).</w:t>
      </w:r>
    </w:p>
    <w:p>
      <w:r>
        <w:rPr>
          <w:b/>
        </w:rPr>
        <w:t xml:space="preserve">Reference: </w:t>
      </w:r>
      <w:r>
        <w:t>BSI.IT.23.C17.04 – C17.12</w:t>
      </w:r>
    </w:p>
    <w:p/>
    <w:p>
      <w:r>
        <w:rPr>
          <w:b/>
        </w:rPr>
        <w:t>9. Summarize Testing Coverage</w:t>
      </w:r>
    </w:p>
    <w:p>
      <w:r>
        <w:t>IT RCSA tested the Solution Intent Doc control for the period September 1, 2025 through August 31, 2026:</w:t>
      </w:r>
    </w:p>
    <w:p>
      <w:pPr>
        <w:pStyle w:val="ListParagraph"/>
        <w:numPr>
          <w:ilvl w:val="0"/>
          <w:numId w:val="2"/>
        </w:numPr>
        <w:spacing w:after="60"/>
      </w:pPr>
      <w:r>
        <w:t>Population: 100 change initiatives in Delivery Hub, of which 2 SDLC projects (4 releases). Accuracy validated against ServiceNow; completeness not re-performed (OBS-11).</w:t>
      </w:r>
    </w:p>
    <w:p>
      <w:pPr>
        <w:pStyle w:val="ListParagraph"/>
        <w:numPr>
          <w:ilvl w:val="0"/>
          <w:numId w:val="2"/>
        </w:numPr>
        <w:spacing w:after="60"/>
      </w:pPr>
      <w:r>
        <w:t>Sample: 2 of 2 projects (100%) and all 4 releases, judgmental, per RCSA sampling methodology.</w:t>
      </w:r>
    </w:p>
    <w:p>
      <w:pPr>
        <w:pStyle w:val="ListParagraph"/>
        <w:numPr>
          <w:ilvl w:val="0"/>
          <w:numId w:val="2"/>
        </w:numPr>
        <w:spacing w:after="60"/>
      </w:pPr>
      <w:r>
        <w:t>Attribute A1 – ARB criteria assessed in the Solution Intent: 2 of 2 Pass.</w:t>
      </w:r>
    </w:p>
    <w:p>
      <w:pPr>
        <w:pStyle w:val="ListParagraph"/>
        <w:numPr>
          <w:ilvl w:val="0"/>
          <w:numId w:val="2"/>
        </w:numPr>
        <w:spacing w:after="60"/>
      </w:pPr>
      <w:r>
        <w:t>Attribute A2 – ARB approval (criteria met) or EA determination documented: 2 of 2 Pass (ARB not applicable).</w:t>
      </w:r>
    </w:p>
    <w:p>
      <w:pPr>
        <w:pStyle w:val="ListParagraph"/>
        <w:numPr>
          <w:ilvl w:val="0"/>
          <w:numId w:val="2"/>
        </w:numPr>
        <w:spacing w:after="60"/>
      </w:pPr>
      <w:r>
        <w:t>Exceptions: none. Escalation / remediation: N/A.</w:t>
      </w:r>
    </w:p>
    <w:p>
      <w:pPr>
        <w:pStyle w:val="ListParagraph"/>
        <w:numPr>
          <w:ilvl w:val="0"/>
          <w:numId w:val="2"/>
        </w:numPr>
        <w:spacing w:after="60"/>
      </w:pPr>
      <w:r>
        <w:t>Ratings: Design – Satisfactory. Performance – Satisfactory (population completeness noted as OBS-11). Manual control – the rating cannot exceed Satisfactory (§4.4.6).</w:t>
      </w:r>
    </w:p>
    <w:p>
      <w:r>
        <w:rPr>
          <w:b/>
        </w:rPr>
        <w:t xml:space="preserve">Test Result: </w:t>
      </w:r>
      <w:r>
        <w:t>Completed.</w:t>
      </w:r>
    </w:p>
    <w:p>
      <w:r>
        <w:rPr>
          <w:b/>
        </w:rPr>
        <w:t xml:space="preserve">Reference: </w:t>
      </w:r>
      <w:r>
        <w:t>BSI.IT.23.C17.01 – BSI.IT.23.C17.14; Workpaper tab Control Performance Assessment</w:t>
      </w:r>
    </w:p>
    <w:p/>
    <w:p>
      <w:r>
        <w:rPr>
          <w:b/>
        </w:rPr>
        <w:t>Prior-year reference (2025)</w:t>
      </w:r>
    </w:p>
    <w:p>
      <w:r>
        <w:t>Per the Test Plan Control Articulation Tracker, 2025 testing concluded Satisfactory: Nominee did not require ARB (criteria shared by EA via e-mail) and Digital Wealth was approved in the ARB meeting (minutes provided). The 2025 workpaper was not provided.</w:t>
      </w:r>
    </w:p>
    <w:p/>
    <w:p>
      <w:r>
        <w:rPr>
          <w:b/>
        </w:rPr>
        <w:t>Open items and observations</w:t>
      </w:r>
    </w:p>
    <w:p>
      <w:pPr>
        <w:pStyle w:val="ListParagraph"/>
        <w:numPr>
          <w:ilvl w:val="0"/>
          <w:numId w:val="2"/>
        </w:numPr>
        <w:spacing w:after="60"/>
      </w:pPr>
      <w:r>
        <w:rPr>
          <w:b/>
        </w:rPr>
        <w:t xml:space="preserve">OBS-11 (was OI-03): </w:t>
      </w:r>
      <w:r>
        <w:t>No independent production release list provided, so population completeness could not be re-performed; projects 3512 and 3625 have a blank SDLC flag. Does not affect the sample results. Action: Obtain ServiceNow release list and PMO explanation (common to all SDLC controls).</w:t>
      </w:r>
    </w:p>
    <w:p>
      <w:pPr>
        <w:pStyle w:val="ListParagraph"/>
        <w:numPr>
          <w:ilvl w:val="0"/>
          <w:numId w:val="2"/>
        </w:numPr>
        <w:spacing w:after="60"/>
      </w:pPr>
      <w:r>
        <w:rPr>
          <w:b/>
        </w:rPr>
        <w:t xml:space="preserve">OBS-01: </w:t>
      </w:r>
      <w:r>
        <w:t>The 2026 SDLC process map is still in Draft, and no 2026 walkthrough was held. Action: Hold 2026 walkthrough; finalize the process map.</w:t>
      </w:r>
    </w:p>
    <w:p>
      <w:pPr>
        <w:pStyle w:val="ListParagraph"/>
        <w:numPr>
          <w:ilvl w:val="0"/>
          <w:numId w:val="2"/>
        </w:numPr>
        <w:spacing w:after="60"/>
      </w:pPr>
      <w:r>
        <w:rPr>
          <w:b/>
        </w:rPr>
        <w:t xml:space="preserve">OBS-04: </w:t>
      </w:r>
      <w:r>
        <w:t>EA approval / ARB determination obtained as a Gate 5 artifact, after the Gate 4 (PTB) start of Build. Action: Make the ARB determination a PTB prerequisite.</w:t>
      </w:r>
    </w:p>
    <w:p>
      <w:pPr>
        <w:pStyle w:val="ListParagraph"/>
        <w:numPr>
          <w:ilvl w:val="0"/>
          <w:numId w:val="2"/>
        </w:numPr>
        <w:spacing w:after="60"/>
      </w:pPr>
      <w:r>
        <w:rPr>
          <w:b/>
        </w:rPr>
        <w:t xml:space="preserve">OBS-07: </w:t>
      </w:r>
      <w:r>
        <w:t>C17 present in the 2025 process map but not in the 2026 map, although an active Key Control. Action: Add C17 to the 2026 process map.</w:t>
      </w:r>
    </w:p>
    <w:p>
      <w:pPr>
        <w:pStyle w:val="ListParagraph"/>
        <w:numPr>
          <w:ilvl w:val="0"/>
          <w:numId w:val="2"/>
        </w:numPr>
        <w:spacing w:after="60"/>
      </w:pPr>
      <w:r>
        <w:rPr>
          <w:b/>
        </w:rPr>
        <w:t xml:space="preserve">OBS-08: </w:t>
      </w:r>
      <w:r>
        <w:t>SL Single Design shows DH ID 1886 / "Securities Lending (JP Morgan)" and undated version rows; approved attachments not retained in the .msg; decks re-saved 10/28/2026. Action: Keep the approved version (PDF) with the approval in Delivery Hub.</w:t>
      </w:r>
    </w:p>
    <w:p/>
    <w:p>
      <w:r>
        <w:rPr>
          <w:b/>
        </w:rPr>
        <w:t>Evidence references</w:t>
      </w:r>
    </w:p>
    <w:p>
      <w:pPr>
        <w:pStyle w:val="ListParagraph"/>
        <w:numPr>
          <w:ilvl w:val="0"/>
          <w:numId w:val="2"/>
        </w:numPr>
        <w:spacing w:after="60"/>
      </w:pPr>
      <w:r>
        <w:rPr>
          <w:b/>
        </w:rPr>
        <w:t xml:space="preserve">C17.01: </w:t>
      </w:r>
      <w:r>
        <w:t>2025 SDLC process map.pdf</w:t>
      </w:r>
    </w:p>
    <w:p>
      <w:pPr>
        <w:pStyle w:val="ListParagraph"/>
        <w:numPr>
          <w:ilvl w:val="0"/>
          <w:numId w:val="2"/>
        </w:numPr>
        <w:spacing w:after="60"/>
      </w:pPr>
      <w:r>
        <w:rPr>
          <w:b/>
        </w:rPr>
        <w:t xml:space="preserve">C17.02: </w:t>
      </w:r>
      <w:r>
        <w:t>2026 SDLC process map.pdf</w:t>
      </w:r>
    </w:p>
    <w:p>
      <w:pPr>
        <w:pStyle w:val="ListParagraph"/>
        <w:numPr>
          <w:ilvl w:val="0"/>
          <w:numId w:val="2"/>
        </w:numPr>
        <w:spacing w:after="60"/>
      </w:pPr>
      <w:r>
        <w:rPr>
          <w:b/>
        </w:rPr>
        <w:t xml:space="preserve">C17.03: </w:t>
      </w:r>
      <w:r>
        <w:t>SDLC Project List.xlsx</w:t>
      </w:r>
    </w:p>
    <w:p>
      <w:pPr>
        <w:pStyle w:val="ListParagraph"/>
        <w:numPr>
          <w:ilvl w:val="0"/>
          <w:numId w:val="2"/>
        </w:numPr>
        <w:spacing w:after="60"/>
      </w:pPr>
      <w:r>
        <w:rPr>
          <w:b/>
        </w:rPr>
        <w:t xml:space="preserve">C17.04: </w:t>
      </w:r>
      <w:r>
        <w:t>SL Single Design Feb 2026.pptx</w:t>
      </w:r>
    </w:p>
    <w:p>
      <w:pPr>
        <w:pStyle w:val="ListParagraph"/>
        <w:numPr>
          <w:ilvl w:val="0"/>
          <w:numId w:val="2"/>
        </w:numPr>
        <w:spacing w:after="60"/>
      </w:pPr>
      <w:r>
        <w:rPr>
          <w:b/>
        </w:rPr>
        <w:t xml:space="preserve">C17.05: </w:t>
      </w:r>
      <w:r>
        <w:t>SL EA approval 12-04-2025.msg</w:t>
      </w:r>
    </w:p>
    <w:p>
      <w:pPr>
        <w:pStyle w:val="ListParagraph"/>
        <w:numPr>
          <w:ilvl w:val="0"/>
          <w:numId w:val="2"/>
        </w:numPr>
        <w:spacing w:after="60"/>
      </w:pPr>
      <w:r>
        <w:rPr>
          <w:b/>
        </w:rPr>
        <w:t xml:space="preserve">C17.06: </w:t>
      </w:r>
      <w:r>
        <w:t>SL EA Appian no impact 02-09-2026.msg</w:t>
      </w:r>
    </w:p>
    <w:p>
      <w:pPr>
        <w:pStyle w:val="ListParagraph"/>
        <w:numPr>
          <w:ilvl w:val="0"/>
          <w:numId w:val="2"/>
        </w:numPr>
        <w:spacing w:after="60"/>
      </w:pPr>
      <w:r>
        <w:rPr>
          <w:b/>
        </w:rPr>
        <w:t xml:space="preserve">C17.07: </w:t>
      </w:r>
      <w:r>
        <w:t>SL Single Design May 2026.pptx</w:t>
      </w:r>
    </w:p>
    <w:p>
      <w:pPr>
        <w:pStyle w:val="ListParagraph"/>
        <w:numPr>
          <w:ilvl w:val="0"/>
          <w:numId w:val="2"/>
        </w:numPr>
        <w:spacing w:after="60"/>
      </w:pPr>
      <w:r>
        <w:rPr>
          <w:b/>
        </w:rPr>
        <w:t xml:space="preserve">C17.08: </w:t>
      </w:r>
      <w:r>
        <w:t>SL EA no ARB 05-12-2026.msg</w:t>
      </w:r>
    </w:p>
    <w:p>
      <w:pPr>
        <w:pStyle w:val="ListParagraph"/>
        <w:numPr>
          <w:ilvl w:val="0"/>
          <w:numId w:val="2"/>
        </w:numPr>
        <w:spacing w:after="60"/>
      </w:pPr>
      <w:r>
        <w:rPr>
          <w:b/>
        </w:rPr>
        <w:t xml:space="preserve">C17.09: </w:t>
      </w:r>
      <w:r>
        <w:t>NDF R01 Technical Design.pptx</w:t>
      </w:r>
    </w:p>
    <w:p>
      <w:pPr>
        <w:pStyle w:val="ListParagraph"/>
        <w:numPr>
          <w:ilvl w:val="0"/>
          <w:numId w:val="2"/>
        </w:numPr>
        <w:spacing w:after="60"/>
      </w:pPr>
      <w:r>
        <w:rPr>
          <w:b/>
        </w:rPr>
        <w:t xml:space="preserve">C17.10: </w:t>
      </w:r>
      <w:r>
        <w:t>NDF R01 EA sign-off 12-10-2025.msg</w:t>
      </w:r>
    </w:p>
    <w:p>
      <w:pPr>
        <w:pStyle w:val="ListParagraph"/>
        <w:numPr>
          <w:ilvl w:val="0"/>
          <w:numId w:val="2"/>
        </w:numPr>
        <w:spacing w:after="60"/>
      </w:pPr>
      <w:r>
        <w:rPr>
          <w:b/>
        </w:rPr>
        <w:t xml:space="preserve">C17.11: </w:t>
      </w:r>
      <w:r>
        <w:t>NDF R02 Technical Design.pptx</w:t>
      </w:r>
    </w:p>
    <w:p>
      <w:pPr>
        <w:pStyle w:val="ListParagraph"/>
        <w:numPr>
          <w:ilvl w:val="0"/>
          <w:numId w:val="2"/>
        </w:numPr>
        <w:spacing w:after="60"/>
      </w:pPr>
      <w:r>
        <w:rPr>
          <w:b/>
        </w:rPr>
        <w:t xml:space="preserve">C17.12: </w:t>
      </w:r>
      <w:r>
        <w:t>NDF R02 EA sign-off 03-24-2026.msg</w:t>
      </w:r>
    </w:p>
    <w:p>
      <w:pPr>
        <w:pStyle w:val="ListParagraph"/>
        <w:numPr>
          <w:ilvl w:val="0"/>
          <w:numId w:val="2"/>
        </w:numPr>
        <w:spacing w:after="60"/>
      </w:pPr>
      <w:r>
        <w:rPr>
          <w:b/>
        </w:rPr>
        <w:t xml:space="preserve">C17.13: </w:t>
      </w:r>
      <w:r>
        <w:t>SL gate dispositions.docx</w:t>
      </w:r>
    </w:p>
    <w:p>
      <w:pPr>
        <w:pStyle w:val="ListParagraph"/>
        <w:numPr>
          <w:ilvl w:val="0"/>
          <w:numId w:val="2"/>
        </w:numPr>
        <w:spacing w:after="60"/>
      </w:pPr>
      <w:r>
        <w:rPr>
          <w:b/>
        </w:rPr>
        <w:t xml:space="preserve">C17.14: </w:t>
      </w:r>
      <w:r>
        <w:t>NDF gate dispositions.docx</w:t>
      </w:r>
    </w:p>
    <w:p>
      <w:pPr>
        <w:pStyle w:val="ListParagraph"/>
        <w:numPr>
          <w:ilvl w:val="0"/>
          <w:numId w:val="2"/>
        </w:numPr>
        <w:spacing w:after="60"/>
      </w:pPr>
      <w:r>
        <w:rPr>
          <w:b/>
        </w:rPr>
        <w:t xml:space="preserve">Workpaper: </w:t>
      </w:r>
      <w:r>
        <w:t>C17 WP 2026.xlsm (tabs Control Design Assessment, Control Performance Assessment, New Test Script)</w:t>
      </w:r>
    </w:p>
    <w:p>
      <w:pPr>
        <w:pStyle w:val="ListParagraph"/>
        <w:numPr>
          <w:ilvl w:val="0"/>
          <w:numId w:val="2"/>
        </w:numPr>
        <w:spacing w:after="60"/>
      </w:pPr>
      <w:r>
        <w:rPr>
          <w:b/>
        </w:rPr>
        <w:t xml:space="preserve">Walkthrough: </w:t>
      </w:r>
      <w:r>
        <w:t>C17 Design WT Sample of 1.docx</w:t>
      </w:r>
    </w:p>
    <w:p>
      <w:pPr>
        <w:pStyle w:val="ListParagraph"/>
        <w:numPr>
          <w:ilvl w:val="0"/>
          <w:numId w:val="2"/>
        </w:numPr>
        <w:spacing w:after="60"/>
      </w:pPr>
      <w:r>
        <w:rPr>
          <w:b/>
        </w:rPr>
        <w:t xml:space="preserve">Guidance: </w:t>
      </w:r>
      <w:r>
        <w:t>RCSA Testing Procedure (CUSO) 07.17.2026 v1.0; RCSA CDA Testing Job Aid vF; IT RCSA 2026 Test Plan</w:t>
      </w:r>
    </w:p>
    <w:sectPr w:rsidR="00CE1ECD">
      <w:headerReference w:type="even" r:id="rId42"/>
      <w:headerReference w:type="default" r:id="rId43"/>
      <w:footerReference w:type="default" r:id="rId44"/>
      <w:head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7B8" w14:textId="77777777" w:rsidR="00231791" w:rsidRDefault="00231791">
      <w:r>
        <w:separator/>
      </w:r>
    </w:p>
  </w:endnote>
  <w:endnote w:type="continuationSeparator" w:id="0">
    <w:p w14:paraId="47BA07F7" w14:textId="77777777" w:rsidR="00231791" w:rsidRDefault="002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BAB" w14:textId="77777777" w:rsidR="006B7A50" w:rsidRDefault="00000000">
    <w:pPr>
      <w:jc w:val="right"/>
    </w:pPr>
    <w:r>
      <w:rPr>
        <w:sz w:val="16"/>
        <w:szCs w:val="16"/>
      </w:rPr>
      <w:t xml:space="preserve">BSI.IT.23.C17 COTS Solution Intent Doc – Testing Procedures   |   Page </w:t>
    </w: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039" w14:textId="77777777" w:rsidR="00231791" w:rsidRDefault="00231791">
      <w:r>
        <w:separator/>
      </w:r>
    </w:p>
  </w:footnote>
  <w:footnote w:type="continuationSeparator" w:id="0">
    <w:p w14:paraId="6FCA4178" w14:textId="77777777" w:rsidR="00231791" w:rsidRDefault="002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A44C" w14:textId="4A41D7B4" w:rsidR="00900C79" w:rsidRDefault="00900C79">
    <w:pPr>
      <w:pStyle w:val="Header"/>
    </w:pPr>
    <w:r>
      <w:rPr>
        <w:noProof/>
      </w:rPr>
      <mc:AlternateContent>
        <mc:Choice Requires="wps">
          <w:drawing>
            <wp:anchor distT="0" distB="0" distL="0" distR="0" simplePos="0" relativeHeight="251659264" behindDoc="0" locked="0" layoutInCell="1" allowOverlap="1" wp14:anchorId="5AFCED41" wp14:editId="66EF7CF4">
              <wp:simplePos x="635" y="635"/>
              <wp:positionH relativeFrom="page">
                <wp:align>left</wp:align>
              </wp:positionH>
              <wp:positionV relativeFrom="page">
                <wp:align>top</wp:align>
              </wp:positionV>
              <wp:extent cx="932180" cy="349885"/>
              <wp:effectExtent l="0" t="0" r="1270" b="12065"/>
              <wp:wrapNone/>
              <wp:docPr id="154823971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FCED41" id="_x0000_t202" coordsize="21600,21600" o:spt="202" path="m,l,21600r21600,l21600,xe">
              <v:stroke joinstyle="miter"/>
              <v:path gradientshapeok="t" o:connecttype="rect"/>
            </v:shapetype>
            <v:shape id="Text Box 2" o:spid="_x0000_s1026" type="#_x0000_t202" alt="Confidential" style="position:absolute;margin-left:0;margin-top:0;width:73.4pt;height:27.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" filled="f" stroked="f">
              <v:fill o:detectmouseclick="t"/>
              <v:textbox style="mso-fit-shape-to-text:t" inset="20pt,15pt,0,0">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31" w14:textId="7A798648" w:rsidR="006B7A50" w:rsidRDefault="00900C79">
    <w:r>
      <w:rPr>
        <w:noProof/>
        <w:sz w:val="18"/>
        <w:szCs w:val="18"/>
      </w:rPr>
      <mc:AlternateContent>
        <mc:Choice Requires="wps">
          <w:drawing>
            <wp:anchor distT="0" distB="0" distL="0" distR="0" simplePos="0" relativeHeight="251660288" behindDoc="0" locked="0" layoutInCell="1" allowOverlap="1" wp14:anchorId="23216AF3" wp14:editId="21679447">
              <wp:simplePos x="635" y="635"/>
              <wp:positionH relativeFrom="page">
                <wp:align>left</wp:align>
              </wp:positionH>
              <wp:positionV relativeFrom="page">
                <wp:align>top</wp:align>
              </wp:positionV>
              <wp:extent cx="932180" cy="349885"/>
              <wp:effectExtent l="0" t="0" r="1270" b="12065"/>
              <wp:wrapNone/>
              <wp:docPr id="129608186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216AF3" id="_x0000_t202" coordsize="21600,21600" o:spt="202" path="m,l,21600r21600,l21600,xe">
              <v:stroke joinstyle="miter"/>
              <v:path gradientshapeok="t" o:connecttype="rect"/>
            </v:shapetype>
            <v:shape id="Text Box 3" o:spid="_x0000_s1027" type="#_x0000_t202" alt="Confidential" style="position:absolute;margin-left:0;margin-top:0;width:73.4pt;height:27.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" filled="f" stroked="f">
              <v:fill o:detectmouseclick="t"/>
              <v:textbox style="mso-fit-shape-to-text:t" inset="20pt,15pt,0,0">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r>
      <w:rPr>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E4AF" w14:textId="119C6F57" w:rsidR="00900C79" w:rsidRDefault="00900C79">
    <w:pPr>
      <w:pStyle w:val="Header"/>
    </w:pPr>
    <w:r>
      <w:rPr>
        <w:noProof/>
      </w:rPr>
      <mc:AlternateContent>
        <mc:Choice Requires="wps">
          <w:drawing>
            <wp:anchor distT="0" distB="0" distL="0" distR="0" simplePos="0" relativeHeight="251658240" behindDoc="0" locked="0" layoutInCell="1" allowOverlap="1" wp14:anchorId="396807FD" wp14:editId="356445CA">
              <wp:simplePos x="635" y="635"/>
              <wp:positionH relativeFrom="page">
                <wp:align>left</wp:align>
              </wp:positionH>
              <wp:positionV relativeFrom="page">
                <wp:align>top</wp:align>
              </wp:positionV>
              <wp:extent cx="932180" cy="349885"/>
              <wp:effectExtent l="0" t="0" r="1270" b="12065"/>
              <wp:wrapNone/>
              <wp:docPr id="180084399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807FD" id="_x0000_t202" coordsize="21600,21600" o:spt="202" path="m,l,21600r21600,l21600,xe">
              <v:stroke joinstyle="miter"/>
              <v:path gradientshapeok="t" o:connecttype="rect"/>
            </v:shapetype>
            <v:shape id="Text Box 1" o:spid="_x0000_s1028" type="#_x0000_t202" alt="Confidential" style="position:absolute;margin-left:0;margin-top:0;width:73.4pt;height:27.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" filled="f" stroked="f">
              <v:fill o:detectmouseclick="t"/>
              <v:textbox style="mso-fit-shape-to-text:t" inset="20pt,15pt,0,0">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E3AE6"/>
    <w:multiLevelType w:val="hybridMultilevel"/>
    <w:tmpl w:val="3246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120E9"/>
    <w:multiLevelType w:val="hybridMultilevel"/>
    <w:tmpl w:val="17628842"/>
    <w:lvl w:ilvl="0" w:tplc="CF6A96F0">
      <w:start w:val="1"/>
      <w:numFmt w:val="bullet"/>
      <w:lvlText w:val="●"/>
      <w:lvlJc w:val="left"/>
      <w:pPr>
        <w:ind w:left="720" w:hanging="360"/>
      </w:pPr>
    </w:lvl>
    <w:lvl w:ilvl="1" w:tplc="17E4D888">
      <w:start w:val="1"/>
      <w:numFmt w:val="bullet"/>
      <w:lvlText w:val="○"/>
      <w:lvlJc w:val="left"/>
      <w:pPr>
        <w:ind w:left="1440" w:hanging="360"/>
      </w:pPr>
    </w:lvl>
    <w:lvl w:ilvl="2" w:tplc="985437B8">
      <w:start w:val="1"/>
      <w:numFmt w:val="bullet"/>
      <w:lvlText w:val="■"/>
      <w:lvlJc w:val="left"/>
      <w:pPr>
        <w:ind w:left="2160" w:hanging="360"/>
      </w:pPr>
    </w:lvl>
    <w:lvl w:ilvl="3" w:tplc="FC2A62BA">
      <w:start w:val="1"/>
      <w:numFmt w:val="bullet"/>
      <w:lvlText w:val="●"/>
      <w:lvlJc w:val="left"/>
      <w:pPr>
        <w:ind w:left="2880" w:hanging="360"/>
      </w:pPr>
    </w:lvl>
    <w:lvl w:ilvl="4" w:tplc="DA429548">
      <w:start w:val="1"/>
      <w:numFmt w:val="bullet"/>
      <w:lvlText w:val="○"/>
      <w:lvlJc w:val="left"/>
      <w:pPr>
        <w:ind w:left="3600" w:hanging="360"/>
      </w:pPr>
    </w:lvl>
    <w:lvl w:ilvl="5" w:tplc="862E2060">
      <w:start w:val="1"/>
      <w:numFmt w:val="bullet"/>
      <w:lvlText w:val="■"/>
      <w:lvlJc w:val="left"/>
      <w:pPr>
        <w:ind w:left="4320" w:hanging="360"/>
      </w:pPr>
    </w:lvl>
    <w:lvl w:ilvl="6" w:tplc="7168003C">
      <w:start w:val="1"/>
      <w:numFmt w:val="bullet"/>
      <w:lvlText w:val="●"/>
      <w:lvlJc w:val="left"/>
      <w:pPr>
        <w:ind w:left="5040" w:hanging="360"/>
      </w:pPr>
    </w:lvl>
    <w:lvl w:ilvl="7" w:tplc="3C9A38D8">
      <w:start w:val="1"/>
      <w:numFmt w:val="bullet"/>
      <w:lvlText w:val="●"/>
      <w:lvlJc w:val="left"/>
      <w:pPr>
        <w:ind w:left="5760" w:hanging="360"/>
      </w:pPr>
    </w:lvl>
    <w:lvl w:ilvl="8" w:tplc="3EC0C3FE">
      <w:start w:val="1"/>
      <w:numFmt w:val="bullet"/>
      <w:lvlText w:val="●"/>
      <w:lvlJc w:val="left"/>
      <w:pPr>
        <w:ind w:left="6480" w:hanging="360"/>
      </w:pPr>
    </w:lvl>
  </w:abstractNum>
  <w:abstractNum w:abstractNumId="2" w15:restartNumberingAfterBreak="0">
    <w:nsid w:val="33EC1E7F"/>
    <w:multiLevelType w:val="hybridMultilevel"/>
    <w:tmpl w:val="5FD04BE4"/>
    <w:lvl w:ilvl="0" w:tplc="F4527B36">
      <w:start w:val="1"/>
      <w:numFmt w:val="decimal"/>
      <w:lvlText w:val="%1."/>
      <w:lvlJc w:val="left"/>
      <w:pPr>
        <w:ind w:left="720" w:hanging="360"/>
      </w:pPr>
    </w:lvl>
    <w:lvl w:ilvl="1" w:tplc="4EF6BB0A">
      <w:numFmt w:val="decimal"/>
      <w:lvlText w:val=""/>
      <w:lvlJc w:val="left"/>
    </w:lvl>
    <w:lvl w:ilvl="2" w:tplc="15E68DF2">
      <w:numFmt w:val="decimal"/>
      <w:lvlText w:val=""/>
      <w:lvlJc w:val="left"/>
    </w:lvl>
    <w:lvl w:ilvl="3" w:tplc="0B007F8E">
      <w:numFmt w:val="decimal"/>
      <w:lvlText w:val=""/>
      <w:lvlJc w:val="left"/>
    </w:lvl>
    <w:lvl w:ilvl="4" w:tplc="C93EEC6E">
      <w:numFmt w:val="decimal"/>
      <w:lvlText w:val=""/>
      <w:lvlJc w:val="left"/>
    </w:lvl>
    <w:lvl w:ilvl="5" w:tplc="C6EE3762">
      <w:numFmt w:val="decimal"/>
      <w:lvlText w:val=""/>
      <w:lvlJc w:val="left"/>
    </w:lvl>
    <w:lvl w:ilvl="6" w:tplc="F85C6FDC">
      <w:numFmt w:val="decimal"/>
      <w:lvlText w:val=""/>
      <w:lvlJc w:val="left"/>
    </w:lvl>
    <w:lvl w:ilvl="7" w:tplc="B5B69184">
      <w:numFmt w:val="decimal"/>
      <w:lvlText w:val=""/>
      <w:lvlJc w:val="left"/>
    </w:lvl>
    <w:lvl w:ilvl="8" w:tplc="D9648A4E">
      <w:numFmt w:val="decimal"/>
      <w:lvlText w:val=""/>
      <w:lvlJc w:val="left"/>
    </w:lvl>
  </w:abstractNum>
  <w:abstractNum w:abstractNumId="3" w15:restartNumberingAfterBreak="0">
    <w:nsid w:val="4C68795C"/>
    <w:multiLevelType w:val="hybridMultilevel"/>
    <w:tmpl w:val="1F1A7FDA"/>
    <w:lvl w:ilvl="0" w:tplc="5F2EF60E">
      <w:start w:val="1"/>
      <w:numFmt w:val="bullet"/>
      <w:lvlText w:val="•"/>
      <w:lvlJc w:val="left"/>
      <w:pPr>
        <w:ind w:left="720" w:hanging="360"/>
      </w:pPr>
    </w:lvl>
    <w:lvl w:ilvl="1" w:tplc="0D060288">
      <w:start w:val="1"/>
      <w:numFmt w:val="bullet"/>
      <w:lvlText w:val="o"/>
      <w:lvlJc w:val="left"/>
      <w:pPr>
        <w:ind w:left="1440" w:hanging="360"/>
      </w:pPr>
    </w:lvl>
    <w:lvl w:ilvl="2" w:tplc="861453C8">
      <w:numFmt w:val="decimal"/>
      <w:lvlText w:val=""/>
      <w:lvlJc w:val="left"/>
    </w:lvl>
    <w:lvl w:ilvl="3" w:tplc="7B144212">
      <w:numFmt w:val="decimal"/>
      <w:lvlText w:val=""/>
      <w:lvlJc w:val="left"/>
    </w:lvl>
    <w:lvl w:ilvl="4" w:tplc="167281DE">
      <w:numFmt w:val="decimal"/>
      <w:lvlText w:val=""/>
      <w:lvlJc w:val="left"/>
    </w:lvl>
    <w:lvl w:ilvl="5" w:tplc="B9300B24">
      <w:numFmt w:val="decimal"/>
      <w:lvlText w:val=""/>
      <w:lvlJc w:val="left"/>
    </w:lvl>
    <w:lvl w:ilvl="6" w:tplc="AE36001C">
      <w:numFmt w:val="decimal"/>
      <w:lvlText w:val=""/>
      <w:lvlJc w:val="left"/>
    </w:lvl>
    <w:lvl w:ilvl="7" w:tplc="AA725688">
      <w:numFmt w:val="decimal"/>
      <w:lvlText w:val=""/>
      <w:lvlJc w:val="left"/>
    </w:lvl>
    <w:lvl w:ilvl="8" w:tplc="254AEB90">
      <w:numFmt w:val="decimal"/>
      <w:lvlText w:val=""/>
      <w:lvlJc w:val="left"/>
    </w:lvl>
  </w:abstractNum>
  <w:num w:numId="1" w16cid:durableId="738596301">
    <w:abstractNumId w:val="1"/>
    <w:lvlOverride w:ilvl="0">
      <w:startOverride w:val="1"/>
    </w:lvlOverride>
  </w:num>
  <w:num w:numId="2" w16cid:durableId="293873228">
    <w:abstractNumId w:val="3"/>
    <w:lvlOverride w:ilvl="0">
      <w:startOverride w:val="1"/>
    </w:lvlOverride>
  </w:num>
  <w:num w:numId="3" w16cid:durableId="209924241">
    <w:abstractNumId w:val="2"/>
    <w:lvlOverride w:ilvl="0">
      <w:startOverride w:val="1"/>
    </w:lvlOverride>
  </w:num>
  <w:num w:numId="4" w16cid:durableId="3185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50"/>
    <w:rsid w:val="00231791"/>
    <w:rsid w:val="00314794"/>
    <w:rsid w:val="006B7A50"/>
    <w:rsid w:val="00900C79"/>
    <w:rsid w:val="00A27FDA"/>
    <w:rsid w:val="00CE1ECD"/>
    <w:rsid w:val="00E070AD"/>
    <w:rsid w:val="00E91688"/>
    <w:rsid w:val="00F3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D276"/>
  <w15:docId w15:val="{FAB471D3-8A20-4401-8868-EE4827CB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91688"/>
    <w:rPr>
      <w:b/>
      <w:bCs/>
    </w:rPr>
  </w:style>
  <w:style w:type="character" w:styleId="UnresolvedMention">
    <w:name w:val="Unresolved Mention"/>
    <w:basedOn w:val="DefaultParagraphFont"/>
    <w:uiPriority w:val="99"/>
    <w:semiHidden/>
    <w:unhideWhenUsed/>
    <w:rsid w:val="00E91688"/>
    <w:rPr>
      <w:color w:val="605E5C"/>
      <w:shd w:val="clear" w:color="auto" w:fill="E1DFDD"/>
    </w:rPr>
  </w:style>
  <w:style w:type="paragraph" w:styleId="Header">
    <w:name w:val="header"/>
    <w:basedOn w:val="Normal"/>
    <w:link w:val="HeaderChar"/>
    <w:uiPriority w:val="99"/>
    <w:unhideWhenUsed/>
    <w:rsid w:val="00900C79"/>
    <w:pPr>
      <w:tabs>
        <w:tab w:val="center" w:pos="4680"/>
        <w:tab w:val="right" w:pos="9360"/>
      </w:tabs>
    </w:pPr>
  </w:style>
  <w:style w:type="character" w:customStyle="1" w:styleId="HeaderChar">
    <w:name w:val="Header Char"/>
    <w:basedOn w:val="DefaultParagraphFont"/>
    <w:link w:val="Header"/>
    <w:uiPriority w:val="99"/>
    <w:rsid w:val="0090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9" Type="http://schemas.openxmlformats.org/officeDocument/2006/relationships/hyperlink" Target="file:///C:\Users\x972485\Downloads\Evidence\BSI.IT.23.C1.11%20-%20NDF%20R02%20-%20BRD%20Sponsor%20Sign-off%20email%2012-02-2025%20(extracted%20from%20C1.10).msg" TargetMode="External"/><Relationship Id="rId2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4" Type="http://schemas.openxmlformats.org/officeDocument/2006/relationships/hyperlink" Target="file:///C:\Users\x972485\Downloads\Evidence\BSI.IT.23.C1.06%20-%20Security%20Lending%20R02%20-%20Sponsor%20Approval%20email%2004-29-2026%20(extracted%20from%20C1.05).ms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 Type="http://schemas.openxmlformats.org/officeDocument/2006/relationships/styles" Target="styles.xml"/><Relationship Id="rId1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9" Type="http://schemas.openxmlformats.org/officeDocument/2006/relationships/hyperlink" Target="file:///C:\Users\x972485\Downloads\Evidence\BSI.IT.23.C1.01%20-%202026%20PM_Systems%20Development%20Life%20Cycle%20(BSI)_v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2" Type="http://schemas.openxmlformats.org/officeDocument/2006/relationships/hyperlink" Target="file:///C:\Users\x972485\Downloads\Evidence\BSI.IT.23.C1.04%20-%20Security%20Lending%20R01%20-%20Sponsor%20Approval%20email%2002-06-2026%20(extracted%20from%20C1.03).msg" TargetMode="External"/><Relationship Id="rId37" Type="http://schemas.openxmlformats.org/officeDocument/2006/relationships/hyperlink" Target="file:///C:\Users\x972485\Downloads\Evidence\BSI.IT.23.C1.09%20-%20NDF%20R01%20-%20Delivery%20Hub%20Gate%204%20(PTB)%20approval%2011-04-2025.pdf" TargetMode="External"/><Relationship Id="rId40" Type="http://schemas.openxmlformats.org/officeDocument/2006/relationships/hyperlink" Target="file:///C:\Users\x972485\Downloads\Evidence\BSI.IT.23.C1.12%20-%20NDF%20R02%20-%20Delivery%20Hub%20Gate%204%20(PTB)%20approval%2003-10-2026.pdf"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2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6" Type="http://schemas.openxmlformats.org/officeDocument/2006/relationships/hyperlink" Target="file:///C:\Users\x972485\Downloads\Evidence\BSI.IT.23.C1.08%20-%20NDF%20R01%20-%20BRD%20Sponsor%20Sign-off%20email%2010-23-2025%20(extracted%20from%20C1.07).msg" TargetMode="External"/><Relationship Id="rId1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1" Type="http://schemas.openxmlformats.org/officeDocument/2006/relationships/hyperlink" Target="file:///C:\Users\x972485\Downloads\Evidence\BSI.IT.23.C1.03%20-%20Security%20Lending%20R01%20-%203263%20SECLENDING%20Business%20Requirements%20Document%20FINAL.docx"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1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0" Type="http://schemas.openxmlformats.org/officeDocument/2006/relationships/hyperlink" Target="file:///C:\Users\x972485\Downloads\Evidence\BSI.IT.23.C1.02%20-%20SDLC%20Project%20List%20(population).xlsx" TargetMode="External"/><Relationship Id="rId35" Type="http://schemas.openxmlformats.org/officeDocument/2006/relationships/hyperlink" Target="file:///C:\Users\x972485\Downloads\Evidence\BSI.IT.23.C1.07%20-%20NDF%20R01%20-%20DH%203264%20Business%20Requirements%20Document_final.docx" TargetMode="External"/><Relationship Id="rId43" Type="http://schemas.openxmlformats.org/officeDocument/2006/relationships/header" Target="header2.xml"/><Relationship Id="rId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 Type="http://schemas.openxmlformats.org/officeDocument/2006/relationships/settings" Target="settings.xml"/><Relationship Id="rId1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1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3" Type="http://schemas.openxmlformats.org/officeDocument/2006/relationships/hyperlink" Target="file:///C:\Users\x972485\Downloads\Evidence\BSI.IT.23.C1.05%20-%20Security%20Lending%20R02%20-%203263%20Business%20Requirements%20FINAL.docx" TargetMode="External"/><Relationship Id="rId38" Type="http://schemas.openxmlformats.org/officeDocument/2006/relationships/hyperlink" Target="file:///C:\Users\x972485\Downloads\Evidence\BSI.IT.23.C1.10%20-%20NDF%20R02%20-%20DH%203264%20RL2%20Business%20Requirements%20Document_final.docx" TargetMode="External"/><Relationship Id="rId46" Type="http://schemas.openxmlformats.org/officeDocument/2006/relationships/fontTable" Target="fontTable.xml"/><Relationship Id="rId2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41" Type="http://schemas.openxmlformats.org/officeDocument/2006/relationships/hyperlink" Target="file:///C:\Users\x972485\Downloads\WP%202026%20BSI.IT.23.C1%20Business%20Requirement.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BSI.IT.23.C1 Business Requirement – Testing Procedures</vt:lpstr>
    </vt:vector>
  </TitlesOfParts>
  <Company>Santander Bank, NA</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BSI.IT.23.C25 Implement &amp; Deployment – Testing Procedures</dc:title>
  <dc:creator>IT RCSA</dc:creator>
  <cp:lastModifiedBy>Edward Morfa</cp:lastModifiedBy>
  <cp:revision>2</cp:revision>
  <dcterms:created xsi:type="dcterms:W3CDTF">2026-10-26T19:20:00Z</dcterms:created>
  <dcterms:modified xsi:type="dcterms:W3CDTF">2026-10-26T19:20:00Z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6b56b2dc,5c484366,4d40a3cc</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2026-10-26T19:04:38Z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97dcf130-ea6a-4fbf-89e6-c073656b0c9f</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