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60"/>
      </w:pPr>
      <w:r>
        <w:rPr>
          <w:rFonts w:ascii="Aptos Display" w:hAnsi="Aptos Display" w:cs="Aptos Display" w:eastAsia="Aptos Display"/>
          <w:b/>
          <w:i w:val="0"/>
          <w:color w:val="17365D"/>
          <w:sz w:val="52"/>
        </w:rPr>
        <w:t>IT RCSA Audit Documentation</w:t>
      </w:r>
    </w:p>
    <w:p>
      <w:pPr>
        <w:spacing w:after="60"/>
      </w:pPr>
      <w:r>
        <w:rPr>
          <w:rFonts w:ascii="Aptos" w:hAnsi="Aptos" w:cs="Aptos" w:eastAsia="Aptos"/>
          <w:b/>
          <w:i w:val="0"/>
          <w:color w:val="0078D4"/>
          <w:sz w:val="34"/>
        </w:rPr>
        <w:t>Business Requirement – BSI.IT.23.C1</w:t>
      </w:r>
    </w:p>
    <w:p>
      <w:pPr>
        <w:spacing w:after="160"/>
      </w:pPr>
      <w:r>
        <w:rPr>
          <w:rFonts w:ascii="Aptos" w:hAnsi="Aptos" w:cs="Aptos" w:eastAsia="Aptos"/>
          <w:b w:val="0"/>
          <w:i/>
          <w:color w:val="475569"/>
          <w:sz w:val="20"/>
        </w:rPr>
        <w:t>Design Assessment, Walkthrough and Sample of One (DH 3264 – Derivatives NDF) and exception EX-C1-01 – re-performed with the 10/30/2026 evidence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color="auto" w:fill="EAF4FB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475569"/>
                <w:sz w:val="14"/>
              </w:rPr>
              <w:t>DESIGN RATING</w:t>
            </w:r>
          </w:p>
        </w:tc>
        <w:tc>
          <w:tcPr>
            <w:tcW w:type="dxa" w:w="2556"/>
            <w:shd w:val="clear" w:color="auto" w:fill="EAF4FB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475569"/>
                <w:sz w:val="14"/>
              </w:rPr>
              <w:t>SAMPLE 3264</w:t>
            </w:r>
          </w:p>
        </w:tc>
        <w:tc>
          <w:tcPr>
            <w:tcW w:type="dxa" w:w="2556"/>
            <w:shd w:val="clear" w:color="auto" w:fill="EAF4FB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475569"/>
                <w:sz w:val="14"/>
              </w:rPr>
              <w:t>CPA (PROPOSED)</w:t>
            </w:r>
          </w:p>
        </w:tc>
        <w:tc>
          <w:tcPr>
            <w:tcW w:type="dxa" w:w="2556"/>
            <w:shd w:val="clear" w:color="auto" w:fill="EAF4FB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475569"/>
                <w:sz w:val="14"/>
              </w:rPr>
              <w:t>EXCEPTIONS</w:t>
            </w:r>
          </w:p>
        </w:tc>
      </w:tr>
      <w:tr>
        <w:tc>
          <w:tcPr>
            <w:tcW w:type="dxa" w:w="2556"/>
            <w:shd w:val="clear" w:color="auto" w:fill="EAF4FB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17365D"/>
                <w:sz w:val="26"/>
              </w:rPr>
              <w:t>SATISFACTORY</w:t>
            </w:r>
          </w:p>
        </w:tc>
        <w:tc>
          <w:tcPr>
            <w:tcW w:type="dxa" w:w="2556"/>
            <w:shd w:val="clear" w:color="auto" w:fill="EAF4FB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17365D"/>
                <w:sz w:val="26"/>
              </w:rPr>
              <w:t>PASS</w:t>
            </w:r>
          </w:p>
        </w:tc>
        <w:tc>
          <w:tcPr>
            <w:tcW w:type="dxa" w:w="2556"/>
            <w:shd w:val="clear" w:color="auto" w:fill="EAF4FB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17365D"/>
                <w:sz w:val="26"/>
              </w:rPr>
              <w:t>NEEDS IMPROVEMENT</w:t>
            </w:r>
          </w:p>
        </w:tc>
        <w:tc>
          <w:tcPr>
            <w:tcW w:type="dxa" w:w="2556"/>
            <w:shd w:val="clear" w:color="auto" w:fill="EAF4FB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17365D"/>
                <w:sz w:val="26"/>
              </w:rPr>
              <w:t>EX-C1-01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304"/>
        <w:gridCol w:w="7776"/>
      </w:tblGrid>
      <w:tr>
        <w:tc>
          <w:tcPr>
            <w:tcW w:type="dxa" w:w="2304"/>
            <w:shd w:val="clear" w:color="auto" w:fill="F1F5F9"/>
          </w:tcPr>
          <w:p>
            <w:r>
              <w:rPr>
                <w:rFonts w:ascii="Aptos" w:hAnsi="Aptos" w:cs="Aptos" w:eastAsia="Aptos"/>
                <w:b/>
                <w:i w:val="0"/>
                <w:color w:val="17365D"/>
                <w:sz w:val="18"/>
              </w:rPr>
              <w:t>Control</w:t>
            </w:r>
          </w:p>
        </w:tc>
        <w:tc>
          <w:tcPr>
            <w:tcW w:type="dxa" w:w="7776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8"/>
              </w:rPr>
              <w:t>BSI.IT.23.C1 – Business Requirement (Heracles ID 50696247) – Key, Manual, In every operation</w:t>
            </w:r>
          </w:p>
        </w:tc>
      </w:tr>
      <w:tr>
        <w:tc>
          <w:tcPr>
            <w:tcW w:type="dxa" w:w="2304"/>
            <w:shd w:val="clear" w:color="auto" w:fill="F1F5F9"/>
          </w:tcPr>
          <w:p>
            <w:r>
              <w:rPr>
                <w:rFonts w:ascii="Aptos" w:hAnsi="Aptos" w:cs="Aptos" w:eastAsia="Aptos"/>
                <w:b/>
                <w:i w:val="0"/>
                <w:color w:val="17365D"/>
                <w:sz w:val="18"/>
              </w:rPr>
              <w:t>Risk</w:t>
            </w:r>
          </w:p>
        </w:tc>
        <w:tc>
          <w:tcPr>
            <w:tcW w:type="dxa" w:w="7776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8"/>
              </w:rPr>
              <w:t>BSI.IT.23.R4 Lack of Design Phase (Inherent Moderate)</w:t>
            </w:r>
          </w:p>
        </w:tc>
      </w:tr>
      <w:tr>
        <w:tc>
          <w:tcPr>
            <w:tcW w:type="dxa" w:w="2304"/>
            <w:shd w:val="clear" w:color="auto" w:fill="F1F5F9"/>
          </w:tcPr>
          <w:p>
            <w:r>
              <w:rPr>
                <w:rFonts w:ascii="Aptos" w:hAnsi="Aptos" w:cs="Aptos" w:eastAsia="Aptos"/>
                <w:b/>
                <w:i w:val="0"/>
                <w:color w:val="17365D"/>
                <w:sz w:val="18"/>
              </w:rPr>
              <w:t>Review period</w:t>
            </w:r>
          </w:p>
        </w:tc>
        <w:tc>
          <w:tcPr>
            <w:tcW w:type="dxa" w:w="7776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8"/>
              </w:rPr>
              <w:t>09/01/2025 – 08/31/2026</w:t>
            </w:r>
          </w:p>
        </w:tc>
      </w:tr>
      <w:tr>
        <w:tc>
          <w:tcPr>
            <w:tcW w:type="dxa" w:w="2304"/>
            <w:shd w:val="clear" w:color="auto" w:fill="F1F5F9"/>
          </w:tcPr>
          <w:p>
            <w:r>
              <w:rPr>
                <w:rFonts w:ascii="Aptos" w:hAnsi="Aptos" w:cs="Aptos" w:eastAsia="Aptos"/>
                <w:b/>
                <w:i w:val="0"/>
                <w:color w:val="17365D"/>
                <w:sz w:val="18"/>
              </w:rPr>
              <w:t>Test date / tester</w:t>
            </w:r>
          </w:p>
        </w:tc>
        <w:tc>
          <w:tcPr>
            <w:tcW w:type="dxa" w:w="7776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8"/>
              </w:rPr>
              <w:t>10/30/2026 – IT RCSA</w:t>
            </w:r>
          </w:p>
        </w:tc>
      </w:tr>
      <w:tr>
        <w:tc>
          <w:tcPr>
            <w:tcW w:type="dxa" w:w="2304"/>
            <w:shd w:val="clear" w:color="auto" w:fill="F1F5F9"/>
          </w:tcPr>
          <w:p>
            <w:r>
              <w:rPr>
                <w:rFonts w:ascii="Aptos" w:hAnsi="Aptos" w:cs="Aptos" w:eastAsia="Aptos"/>
                <w:b/>
                <w:i w:val="0"/>
                <w:color w:val="17365D"/>
                <w:sz w:val="18"/>
              </w:rPr>
              <w:t>Test script</w:t>
            </w:r>
          </w:p>
        </w:tc>
        <w:tc>
          <w:tcPr>
            <w:tcW w:type="dxa" w:w="7776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8"/>
              </w:rPr>
              <w:t>No C1 script in the IT RCSA 2026 Test Plan "New test scripts" tab – proposed 9-step script in the Test Plan format (00 Reference) applied, aligned with the CUSO RCSA Testing Procedure (07/17/2026) and CDA Job Aid</w:t>
            </w:r>
          </w:p>
        </w:tc>
      </w:tr>
      <w:tr>
        <w:tc>
          <w:tcPr>
            <w:tcW w:type="dxa" w:w="2304"/>
            <w:shd w:val="clear" w:color="auto" w:fill="F1F5F9"/>
          </w:tcPr>
          <w:p>
            <w:r>
              <w:rPr>
                <w:rFonts w:ascii="Aptos" w:hAnsi="Aptos" w:cs="Aptos" w:eastAsia="Aptos"/>
                <w:b/>
                <w:i w:val="0"/>
                <w:color w:val="17365D"/>
                <w:sz w:val="18"/>
              </w:rPr>
              <w:t>Walkthrough</w:t>
            </w:r>
          </w:p>
        </w:tc>
        <w:tc>
          <w:tcPr>
            <w:tcW w:type="dxa" w:w="7776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8"/>
              </w:rPr>
              <w:t>08/13/2025 – Jose Luis Martinez Avial, Systems Development Director (prior cycle). 2026 confirmation with the control owner to be obtained in the 2026 walkthrough.</w:t>
            </w:r>
          </w:p>
        </w:tc>
      </w:tr>
      <w:tr>
        <w:tc>
          <w:tcPr>
            <w:tcW w:type="dxa" w:w="2304"/>
            <w:shd w:val="clear" w:color="auto" w:fill="F1F5F9"/>
          </w:tcPr>
          <w:p>
            <w:r>
              <w:rPr>
                <w:rFonts w:ascii="Aptos" w:hAnsi="Aptos" w:cs="Aptos" w:eastAsia="Aptos"/>
                <w:b/>
                <w:i w:val="0"/>
                <w:color w:val="17365D"/>
                <w:sz w:val="18"/>
              </w:rPr>
              <w:t>Sample of one</w:t>
            </w:r>
          </w:p>
        </w:tc>
        <w:tc>
          <w:tcPr>
            <w:tcW w:type="dxa" w:w="7776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8"/>
              </w:rPr>
              <w:t>DH 3264 – Derivatives NDF – R01 (BRD approved 10/23/2025, PTB 11/04/2025) and R02 (BRD 12/02/2025, PTB 03/10/2026)</w:t>
            </w:r>
          </w:p>
        </w:tc>
      </w:tr>
      <w:tr>
        <w:tc>
          <w:tcPr>
            <w:tcW w:type="dxa" w:w="2304"/>
            <w:shd w:val="clear" w:color="auto" w:fill="F1F5F9"/>
          </w:tcPr>
          <w:p>
            <w:r>
              <w:rPr>
                <w:rFonts w:ascii="Aptos" w:hAnsi="Aptos" w:cs="Aptos" w:eastAsia="Aptos"/>
                <w:b/>
                <w:i w:val="0"/>
                <w:color w:val="17365D"/>
                <w:sz w:val="18"/>
              </w:rPr>
              <w:t>Evidence folder</w:t>
            </w:r>
          </w:p>
        </w:tc>
        <w:tc>
          <w:tcPr>
            <w:tcW w:type="dxa" w:w="7776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8"/>
              </w:rPr>
              <w:t>C1 Business Req\CDA and C1 Business Req\CPA (BSI.IT.23.C1.01 – C1.15; C1.13 – C1.15 new on 10/30/2026)</w:t>
            </w:r>
          </w:p>
        </w:tc>
      </w:tr>
    </w:tbl>
    <w:p/>
    <w:p>
      <w:pPr>
        <w:pStyle w:val="Heading1"/>
      </w:pPr>
      <w:r>
        <w:t>1. Design Effectiveness Summary</w:t>
      </w:r>
    </w:p>
    <w:p>
      <w:pPr>
        <w:spacing w:after="120"/>
      </w:pPr>
      <w:r>
        <w:rPr>
          <w:rFonts w:ascii="Aptos" w:hAnsi="Aptos" w:cs="Aptos" w:eastAsia="Aptos"/>
          <w:b w:val="0"/>
          <w:i w:val="0"/>
          <w:sz w:val="20"/>
        </w:rPr>
        <w:t>The control design is effective. The control is triggered for every SDLC project / release ("In every operation") during the Define phase (process map step 1.1): the Project Manager documents the functional and non-functional requirements in the US PMO BRD template and obtains the Business Sponsor's e-mail approval, which is embedded in the BRD and uploaded to Delivery Hub before the Gate 4 – Prepare to Build (PTB) disposition. Placing the approval before PTB is appropriate to prevent building systems on undocumented or unapproved requirements (R4). Manual nature is appropriate – the sponsor reviews and approves the requirements.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304"/>
        <w:gridCol w:w="1584"/>
        <w:gridCol w:w="6192"/>
      </w:tblGrid>
      <w:tr>
        <w:tc>
          <w:tcPr>
            <w:tcW w:type="dxa" w:w="2304"/>
            <w:shd w:val="clear" w:color="auto" w:fill="17365D"/>
          </w:tcPr>
          <w:p>
            <w:r>
              <w:rPr>
                <w:rFonts w:ascii="Aptos" w:hAnsi="Aptos" w:cs="Aptos" w:eastAsia="Aptos"/>
                <w:b/>
                <w:i w:val="0"/>
                <w:color w:val="FFFFFF"/>
                <w:sz w:val="17"/>
              </w:rPr>
              <w:t>HERACLES question</w:t>
            </w:r>
          </w:p>
        </w:tc>
        <w:tc>
          <w:tcPr>
            <w:tcW w:type="dxa" w:w="1584"/>
            <w:shd w:val="clear" w:color="auto" w:fill="17365D"/>
          </w:tcPr>
          <w:p>
            <w:r>
              <w:rPr>
                <w:rFonts w:ascii="Aptos" w:hAnsi="Aptos" w:cs="Aptos" w:eastAsia="Aptos"/>
                <w:b/>
                <w:i w:val="0"/>
                <w:color w:val="FFFFFF"/>
                <w:sz w:val="17"/>
              </w:rPr>
              <w:t>Answer</w:t>
            </w:r>
          </w:p>
        </w:tc>
        <w:tc>
          <w:tcPr>
            <w:tcW w:type="dxa" w:w="6192"/>
            <w:shd w:val="clear" w:color="auto" w:fill="17365D"/>
          </w:tcPr>
          <w:p>
            <w:r>
              <w:rPr>
                <w:rFonts w:ascii="Aptos" w:hAnsi="Aptos" w:cs="Aptos" w:eastAsia="Aptos"/>
                <w:b/>
                <w:i w:val="0"/>
                <w:color w:val="FFFFFF"/>
                <w:sz w:val="17"/>
              </w:rPr>
              <w:t>Rationale (2026)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1 Frequency / trigger</w:t>
            </w:r>
          </w:p>
        </w:tc>
        <w:tc>
          <w:tcPr>
            <w:tcW w:type="dxa" w:w="1584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Yes</w:t>
            </w:r>
          </w:p>
        </w:tc>
        <w:tc>
          <w:tcPr>
            <w:tcW w:type="dxa" w:w="6192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Every SDLC project/release, before Gate 4 (PTB).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2 Audit trail / evidence</w:t>
            </w:r>
          </w:p>
        </w:tc>
        <w:tc>
          <w:tcPr>
            <w:tcW w:type="dxa" w:w="1584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Yes</w:t>
            </w:r>
          </w:p>
        </w:tc>
        <w:tc>
          <w:tcPr>
            <w:tcW w:type="dxa" w:w="6192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BRD with embedded sponsor approval e-mail; Delivery Hub gate dispositions (C1.03 – C1.13).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3 Policy alignment</w:t>
            </w:r>
          </w:p>
        </w:tc>
        <w:tc>
          <w:tcPr>
            <w:tcW w:type="dxa" w:w="1584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Yes</w:t>
            </w:r>
          </w:p>
        </w:tc>
        <w:tc>
          <w:tcPr>
            <w:tcW w:type="dxa" w:w="6192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SDLC process map step 1.1 (C1.01) / US SDLC Standard; map v2.0 Draft (OBS-01).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4 Thresholds</w:t>
            </w:r>
          </w:p>
        </w:tc>
        <w:tc>
          <w:tcPr>
            <w:tcW w:type="dxa" w:w="1584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N/A</w:t>
            </w:r>
          </w:p>
        </w:tc>
        <w:tc>
          <w:tcPr>
            <w:tcW w:type="dxa" w:w="6192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Applies to every SDLC project.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5 Escalation</w:t>
            </w:r>
          </w:p>
        </w:tc>
        <w:tc>
          <w:tcPr>
            <w:tcW w:type="dxa" w:w="1584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Full</w:t>
            </w:r>
          </w:p>
        </w:tc>
        <w:tc>
          <w:tcPr>
            <w:tcW w:type="dxa" w:w="6192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Phase checkpoints by the PM; PMO QA (e.g. C1.14); monthly TWG status.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6 Information reliability</w:t>
            </w:r>
          </w:p>
        </w:tc>
        <w:tc>
          <w:tcPr>
            <w:tcW w:type="dxa" w:w="1584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Moderately Reliable</w:t>
            </w:r>
          </w:p>
        </w:tc>
        <w:tc>
          <w:tcPr>
            <w:tcW w:type="dxa" w:w="6192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Manual e-mail approvals; NFR sections often "NA"; BRD versioning inconsistent (OBS-02).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7 Evidence obtainable</w:t>
            </w:r>
          </w:p>
        </w:tc>
        <w:tc>
          <w:tcPr>
            <w:tcW w:type="dxa" w:w="1584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Yes</w:t>
            </w:r>
          </w:p>
        </w:tc>
        <w:tc>
          <w:tcPr>
            <w:tcW w:type="dxa" w:w="6192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Delivery Hub documents / screens provided by the PMO on request.</w:t>
            </w:r>
          </w:p>
        </w:tc>
      </w:tr>
    </w:tbl>
    <w:p/>
    <w:p>
      <w:pPr>
        <w:spacing w:after="120"/>
      </w:pPr>
      <w:r>
        <w:rPr>
          <w:rFonts w:ascii="Aptos" w:hAnsi="Aptos" w:cs="Aptos" w:eastAsia="Aptos"/>
          <w:b w:val="0"/>
          <w:i/>
          <w:sz w:val="18"/>
        </w:rPr>
        <w:t>Design observation OBS-06: the control statement lacks the who / evidence / escalation elements identified in the Test Plan Control Articulation Tracker; adopt the 2026 proposed statement, including documented sponsor amendment for requirement changes after PTB (this would have addressed EX-C1-01).</w:t>
      </w:r>
    </w:p>
    <w:p>
      <w:pPr>
        <w:pStyle w:val="Heading1"/>
      </w:pPr>
      <w:r>
        <w:t>2. WT Summary</w:t>
      </w:r>
    </w:p>
    <w:p>
      <w:pPr>
        <w:spacing w:after="120"/>
      </w:pPr>
      <w:r>
        <w:rPr>
          <w:rFonts w:ascii="Aptos" w:hAnsi="Aptos" w:cs="Aptos" w:eastAsia="Aptos"/>
          <w:b w:val="0"/>
          <w:i w:val="0"/>
          <w:sz w:val="20"/>
        </w:rPr>
        <w:t>No 2026 walkthrough meeting was held for this cycle; the design understanding is based on the 08/13/2025 walkthrough with Jose Luis Martinez Avial, the 2026 process map (v2.0 Draft, 05/20/2026) and the evidence received on 10/21/2026 and 10/30/2026.</w:t>
      </w:r>
    </w:p>
    <w:p>
      <w:pPr>
        <w:spacing w:after="120"/>
      </w:pPr>
      <w:r>
        <w:rPr>
          <w:rFonts w:ascii="Aptos" w:hAnsi="Aptos" w:cs="Aptos" w:eastAsia="Aptos"/>
          <w:b w:val="0"/>
          <w:i w:val="0"/>
          <w:sz w:val="20"/>
        </w:rPr>
        <w:t>Model walkthrough language (RCSA CDA Job Aid §4.1): On 10/30/2026, IT RCSA performed a Test of One for BSI.IT.23.C1 through inspection of DH 3264 Derivatives NDF (Releases 01 and 02), selected from the Delivery Hub SDLC Project List for 09/01/2025 – 08/31/2026. The control is triggered by each SDLC project / release and performed in every operation by the Project Manager (Domingo Megia Planet), with approval by the Business Sponsor (Ted Fernandez, Treasury). The tester reviewed the BRDs (v1.0 09/10/2025; RL2 v1.0 12/02/2025), the sponsor sign-off e-mails (10/23/2025; 12/02/2025) and the Gate 4 (PTB) approvals (11/04/2025; 03/10/2026), which demonstrate the requirements were defined and approved before Build. Evidence is retained in Delivery Hub. When requirements are missing or change, the PMO requires re-documentation and sponsor approval (C1.14). Additional iteration: DH 3263 Security Lending – exception EX-C1-01 on R01 (Section 4). The control is appropriately designed to mitigate R4 because sponsor approval is a prerequisite of the PTB gate.</w:t>
      </w:r>
    </w:p>
    <w:p>
      <w:pPr>
        <w:spacing w:after="120"/>
      </w:pPr>
      <w:r>
        <w:rPr>
          <w:rFonts w:ascii="Aptos" w:hAnsi="Aptos" w:cs="Aptos" w:eastAsia="Aptos"/>
          <w:b w:val="0"/>
          <w:i w:val="0"/>
          <w:sz w:val="20"/>
        </w:rPr>
        <w:t>Competency (Job Aid §4.4): the PMs and the Business Sponsor demonstrated knowledge of the BRD template, the sponsor approval and the gate prerequisites; the PMO (Joshua De Leon) applied QA to the Security Lending artifacts. To be re-confirmed with the control owner.</w:t>
      </w:r>
    </w:p>
    <w:p>
      <w:pPr>
        <w:pStyle w:val="Heading1"/>
      </w:pPr>
      <w:r>
        <w:t>3. Sample of One – DH 3264 Derivatives NDF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48"/>
        <w:gridCol w:w="4752"/>
        <w:gridCol w:w="1584"/>
        <w:gridCol w:w="1296"/>
      </w:tblGrid>
      <w:tr>
        <w:tc>
          <w:tcPr>
            <w:tcW w:type="dxa" w:w="2448"/>
            <w:shd w:val="clear" w:color="auto" w:fill="17365D"/>
          </w:tcPr>
          <w:p>
            <w:r>
              <w:rPr>
                <w:rFonts w:ascii="Aptos" w:hAnsi="Aptos" w:cs="Aptos" w:eastAsia="Aptos"/>
                <w:b/>
                <w:i w:val="0"/>
                <w:color w:val="FFFFFF"/>
                <w:sz w:val="17"/>
              </w:rPr>
              <w:t>Workpaper column</w:t>
            </w:r>
          </w:p>
        </w:tc>
        <w:tc>
          <w:tcPr>
            <w:tcW w:type="dxa" w:w="4752"/>
            <w:shd w:val="clear" w:color="auto" w:fill="17365D"/>
          </w:tcPr>
          <w:p>
            <w:r>
              <w:rPr>
                <w:rFonts w:ascii="Aptos" w:hAnsi="Aptos" w:cs="Aptos" w:eastAsia="Aptos"/>
                <w:b/>
                <w:i w:val="0"/>
                <w:color w:val="FFFFFF"/>
                <w:sz w:val="17"/>
              </w:rPr>
              <w:t>Value / conclusion</w:t>
            </w:r>
          </w:p>
        </w:tc>
        <w:tc>
          <w:tcPr>
            <w:tcW w:type="dxa" w:w="1584"/>
            <w:shd w:val="clear" w:color="auto" w:fill="17365D"/>
          </w:tcPr>
          <w:p>
            <w:r>
              <w:rPr>
                <w:rFonts w:ascii="Aptos" w:hAnsi="Aptos" w:cs="Aptos" w:eastAsia="Aptos"/>
                <w:b/>
                <w:i w:val="0"/>
                <w:color w:val="FFFFFF"/>
                <w:sz w:val="17"/>
              </w:rPr>
              <w:t>Evidence reference</w:t>
            </w:r>
          </w:p>
        </w:tc>
        <w:tc>
          <w:tcPr>
            <w:tcW w:type="dxa" w:w="1296"/>
            <w:shd w:val="clear" w:color="auto" w:fill="17365D"/>
          </w:tcPr>
          <w:p>
            <w:r>
              <w:rPr>
                <w:rFonts w:ascii="Aptos" w:hAnsi="Aptos" w:cs="Aptos" w:eastAsia="Aptos"/>
                <w:b/>
                <w:i w:val="0"/>
                <w:color w:val="FFFFFF"/>
                <w:sz w:val="17"/>
              </w:rPr>
              <w:t>Result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Sample ID</w:t>
            </w:r>
          </w:p>
        </w:tc>
        <w:tc>
          <w:tcPr>
            <w:tcW w:type="dxa" w:w="4752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2 (CPA row 54)</w:t>
            </w:r>
          </w:p>
        </w:tc>
        <w:tc>
          <w:tcPr>
            <w:tcW w:type="dxa" w:w="1584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Workpaper CPA tab</w:t>
            </w:r>
          </w:p>
        </w:tc>
        <w:tc>
          <w:tcPr>
            <w:tcW w:type="dxa" w:w="1296"/>
            <w:shd w:val="clear" w:color="auto" w:fill="E7F5EC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Pass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R01 BRD – functional</w:t>
            </w:r>
          </w:p>
        </w:tc>
        <w:tc>
          <w:tcPr>
            <w:tcW w:type="dxa" w:w="4752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BR 1 – BR 10 (T24 NDF set-up, pre/post-trade checks, confirmations, Murex/Medea/360, DTCC, reconciliations)</w:t>
            </w:r>
          </w:p>
        </w:tc>
        <w:tc>
          <w:tcPr>
            <w:tcW w:type="dxa" w:w="1584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C1.07</w:t>
            </w:r>
          </w:p>
        </w:tc>
        <w:tc>
          <w:tcPr>
            <w:tcW w:type="dxa" w:w="1296"/>
            <w:shd w:val="clear" w:color="auto" w:fill="E7F5EC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Pass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R01 BRD – non-functional</w:t>
            </w:r>
          </w:p>
        </w:tc>
        <w:tc>
          <w:tcPr>
            <w:tcW w:type="dxa" w:w="4752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Security (ISAR SAT-4161), Auditability, Backup &amp; Recovery (RTO 0-8h / RPO 0-4h), Availability</w:t>
            </w:r>
          </w:p>
        </w:tc>
        <w:tc>
          <w:tcPr>
            <w:tcW w:type="dxa" w:w="1584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C1.07</w:t>
            </w:r>
          </w:p>
        </w:tc>
        <w:tc>
          <w:tcPr>
            <w:tcW w:type="dxa" w:w="1296"/>
            <w:shd w:val="clear" w:color="auto" w:fill="E7F5EC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Pass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R01 sponsor approval before Build</w:t>
            </w:r>
          </w:p>
        </w:tc>
        <w:tc>
          <w:tcPr>
            <w:tcW w:type="dxa" w:w="4752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Ted Fernandez 10/23/2025 → Gate 4 PTB approved 11/04/2025</w:t>
            </w:r>
          </w:p>
        </w:tc>
        <w:tc>
          <w:tcPr>
            <w:tcW w:type="dxa" w:w="1584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C1.08; C1.09</w:t>
            </w:r>
          </w:p>
        </w:tc>
        <w:tc>
          <w:tcPr>
            <w:tcW w:type="dxa" w:w="1296"/>
            <w:shd w:val="clear" w:color="auto" w:fill="E7F5EC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Pass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R02 BRD – functional / NFR</w:t>
            </w:r>
          </w:p>
        </w:tc>
        <w:tc>
          <w:tcPr>
            <w:tcW w:type="dxa" w:w="4752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BR 1 – BR 4; Security, Backup &amp; Recovery, Availability</w:t>
            </w:r>
          </w:p>
        </w:tc>
        <w:tc>
          <w:tcPr>
            <w:tcW w:type="dxa" w:w="1584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C1.10</w:t>
            </w:r>
          </w:p>
        </w:tc>
        <w:tc>
          <w:tcPr>
            <w:tcW w:type="dxa" w:w="1296"/>
            <w:shd w:val="clear" w:color="auto" w:fill="E7F5EC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Pass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R02 sponsor approval before Build</w:t>
            </w:r>
          </w:p>
        </w:tc>
        <w:tc>
          <w:tcPr>
            <w:tcW w:type="dxa" w:w="4752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Ted Fernandez 12/02/2025 → Gate 4 PTB approved 03/10/2026</w:t>
            </w:r>
          </w:p>
        </w:tc>
        <w:tc>
          <w:tcPr>
            <w:tcW w:type="dxa" w:w="1584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C1.11; C1.12</w:t>
            </w:r>
          </w:p>
        </w:tc>
        <w:tc>
          <w:tcPr>
            <w:tcW w:type="dxa" w:w="1296"/>
            <w:shd w:val="clear" w:color="auto" w:fill="E7F5EC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Pass</w:t>
            </w:r>
          </w:p>
        </w:tc>
      </w:tr>
    </w:tbl>
    <w:p/>
    <w:p>
      <w:pPr>
        <w:pStyle w:val="Heading1"/>
      </w:pPr>
      <w:r>
        <w:t>4. Exception EX-C1-01 – DH 3263 Security Lending R01 (Appian)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015"/>
        <w:gridCol w:w="6336"/>
        <w:gridCol w:w="1728"/>
      </w:tblGrid>
      <w:tr>
        <w:tc>
          <w:tcPr>
            <w:tcW w:type="dxa" w:w="2016"/>
            <w:shd w:val="clear" w:color="auto" w:fill="17365D"/>
          </w:tcPr>
          <w:p>
            <w:r>
              <w:rPr>
                <w:rFonts w:ascii="Aptos" w:hAnsi="Aptos" w:cs="Aptos" w:eastAsia="Aptos"/>
                <w:b/>
                <w:i w:val="0"/>
                <w:color w:val="FFFFFF"/>
                <w:sz w:val="17"/>
              </w:rPr>
              <w:t>Date</w:t>
            </w:r>
          </w:p>
        </w:tc>
        <w:tc>
          <w:tcPr>
            <w:tcW w:type="dxa" w:w="6336"/>
            <w:shd w:val="clear" w:color="auto" w:fill="17365D"/>
          </w:tcPr>
          <w:p>
            <w:r>
              <w:rPr>
                <w:rFonts w:ascii="Aptos" w:hAnsi="Aptos" w:cs="Aptos" w:eastAsia="Aptos"/>
                <w:b/>
                <w:i w:val="0"/>
                <w:color w:val="FFFFFF"/>
                <w:sz w:val="17"/>
              </w:rPr>
              <w:t>Event</w:t>
            </w:r>
          </w:p>
        </w:tc>
        <w:tc>
          <w:tcPr>
            <w:tcW w:type="dxa" w:w="1728"/>
            <w:shd w:val="clear" w:color="auto" w:fill="17365D"/>
          </w:tcPr>
          <w:p>
            <w:r>
              <w:rPr>
                <w:rFonts w:ascii="Aptos" w:hAnsi="Aptos" w:cs="Aptos" w:eastAsia="Aptos"/>
                <w:b/>
                <w:i w:val="0"/>
                <w:color w:val="FFFFFF"/>
                <w:sz w:val="17"/>
              </w:rPr>
              <w:t>Evidence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08/01/2025</w:t>
            </w:r>
          </w:p>
        </w:tc>
        <w:tc>
          <w:tcPr>
            <w:tcW w:type="dxa" w:w="6336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Gate 3 PTP (release ALL) – approval 10/01/2025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C1.13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10/31/2025</w:t>
            </w:r>
          </w:p>
        </w:tc>
        <w:tc>
          <w:tcPr>
            <w:tcW w:type="dxa" w:w="6336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Gate 4 PTB (release ALL) – Build phase starts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C1.13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12/12/2025 – 12/17/2025</w:t>
            </w:r>
          </w:p>
        </w:tc>
        <w:tc>
          <w:tcPr>
            <w:tcW w:type="dxa" w:w="6336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RLSE1271544: functional doc / test strategy attached; pre-production date (Appian build)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C25.03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02/03 – 02/09/2026</w:t>
            </w:r>
          </w:p>
        </w:tc>
        <w:tc>
          <w:tcPr>
            <w:tcW w:type="dxa" w:w="6336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PM / PMO e-mails: Appian release created because the release 1 business artifacts did not mention Appian; focus on business artefacts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C1.14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02/06/2026</w:t>
            </w:r>
          </w:p>
        </w:tc>
        <w:tc>
          <w:tcPr>
            <w:tcW w:type="dxa" w:w="6336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Appian BRD "FINAL" approved by Ted Fernandez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C1.04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03/13/2026</w:t>
            </w:r>
          </w:p>
        </w:tc>
        <w:tc>
          <w:tcPr>
            <w:tcW w:type="dxa" w:w="6336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RLSE1271544 deployed to production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C25.03</w:t>
            </w:r>
          </w:p>
        </w:tc>
      </w:tr>
    </w:tbl>
    <w:p/>
    <w:p>
      <w:pPr>
        <w:spacing w:after="120"/>
      </w:pPr>
      <w:r>
        <w:rPr>
          <w:rFonts w:ascii="Aptos" w:hAnsi="Aptos" w:cs="Aptos" w:eastAsia="Aptos"/>
          <w:b w:val="0"/>
          <w:i w:val="0"/>
          <w:sz w:val="20"/>
        </w:rPr>
        <w:t>Evaluation (RCSA Testing Procedure §4.4.8): requirements for the Appian workflow were approved after Build started – attribute 2 fails for R01. Nature: requirements omitted from the phase 1 BRD and re-documented later; extent: 1 of 4 releases; partially compensated by PMO QA and sponsor approval before production. The full population was tested, so no additional sample is available. Proposed CPA rating: Needs Improvement, to be discussed with the reviewer and communicated to the Control Owner and BU BCO for written agreement (§4.3.6). Management may rebut by providing the phase 1 BRD approval covering the Appian requirements (OI-01).</w:t>
      </w:r>
    </w:p>
    <w:p>
      <w:pPr>
        <w:pStyle w:val="Heading2"/>
      </w:pPr>
      <w:r>
        <w:t>NewTest Script coverage (workpaper tab "New Test Script")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720"/>
        <w:gridCol w:w="2448"/>
        <w:gridCol w:w="5184"/>
        <w:gridCol w:w="1728"/>
      </w:tblGrid>
      <w:tr>
        <w:tc>
          <w:tcPr>
            <w:tcW w:type="dxa" w:w="720"/>
            <w:shd w:val="clear" w:color="auto" w:fill="17365D"/>
          </w:tcPr>
          <w:p>
            <w:r>
              <w:rPr>
                <w:rFonts w:ascii="Aptos" w:hAnsi="Aptos" w:cs="Aptos" w:eastAsia="Aptos"/>
                <w:b/>
                <w:i w:val="0"/>
                <w:color w:val="FFFFFF"/>
                <w:sz w:val="17"/>
              </w:rPr>
              <w:t>Step</w:t>
            </w:r>
          </w:p>
        </w:tc>
        <w:tc>
          <w:tcPr>
            <w:tcW w:type="dxa" w:w="2448"/>
            <w:shd w:val="clear" w:color="auto" w:fill="17365D"/>
          </w:tcPr>
          <w:p>
            <w:r>
              <w:rPr>
                <w:rFonts w:ascii="Aptos" w:hAnsi="Aptos" w:cs="Aptos" w:eastAsia="Aptos"/>
                <w:b/>
                <w:i w:val="0"/>
                <w:color w:val="FFFFFF"/>
                <w:sz w:val="17"/>
              </w:rPr>
              <w:t>Test script step</w:t>
            </w:r>
          </w:p>
        </w:tc>
        <w:tc>
          <w:tcPr>
            <w:tcW w:type="dxa" w:w="5184"/>
            <w:shd w:val="clear" w:color="auto" w:fill="17365D"/>
          </w:tcPr>
          <w:p>
            <w:r>
              <w:rPr>
                <w:rFonts w:ascii="Aptos" w:hAnsi="Aptos" w:cs="Aptos" w:eastAsia="Aptos"/>
                <w:b/>
                <w:i w:val="0"/>
                <w:color w:val="FFFFFF"/>
                <w:sz w:val="17"/>
              </w:rPr>
              <w:t>Answer</w:t>
            </w:r>
          </w:p>
        </w:tc>
        <w:tc>
          <w:tcPr>
            <w:tcW w:type="dxa" w:w="1728"/>
            <w:shd w:val="clear" w:color="auto" w:fill="17365D"/>
          </w:tcPr>
          <w:p>
            <w:r>
              <w:rPr>
                <w:rFonts w:ascii="Aptos" w:hAnsi="Aptos" w:cs="Aptos" w:eastAsia="Aptos"/>
                <w:b/>
                <w:i w:val="0"/>
                <w:color w:val="FFFFFF"/>
                <w:sz w:val="17"/>
              </w:rPr>
              <w:t>Result</w:t>
            </w:r>
          </w:p>
        </w:tc>
      </w:tr>
      <w:tr>
        <w:tc>
          <w:tcPr>
            <w:tcW w:type="dxa" w:w="720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Obtain Evidence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BRDs, approvals, gate records, e-mail chains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Completed</w:t>
            </w:r>
          </w:p>
        </w:tc>
      </w:tr>
      <w:tr>
        <w:tc>
          <w:tcPr>
            <w:tcW w:type="dxa" w:w="720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2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Completeness &amp; Accuracy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Accuracy traced; independent release list not provided (OBS-11)</w:t>
            </w:r>
          </w:p>
        </w:tc>
        <w:tc>
          <w:tcPr>
            <w:tcW w:type="dxa" w:w="1728"/>
            <w:shd w:val="clear" w:color="auto" w:fill="E7F5EC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Pass – OBS-11</w:t>
            </w:r>
          </w:p>
        </w:tc>
      </w:tr>
      <w:tr>
        <w:tc>
          <w:tcPr>
            <w:tcW w:type="dxa" w:w="720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3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Population &amp; Scope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2 projects / 4 releases – 100%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Completed</w:t>
            </w:r>
          </w:p>
        </w:tc>
      </w:tr>
      <w:tr>
        <w:tc>
          <w:tcPr>
            <w:tcW w:type="dxa" w:w="720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4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Control Execution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NDF R01/R02 &amp; SL R02 approved before Build; SL R01 after</w:t>
            </w:r>
          </w:p>
        </w:tc>
        <w:tc>
          <w:tcPr>
            <w:tcW w:type="dxa" w:w="1728"/>
            <w:shd w:val="clear" w:color="auto" w:fill="FDECEC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Fail – EX-C1-01</w:t>
            </w:r>
          </w:p>
        </w:tc>
      </w:tr>
      <w:tr>
        <w:tc>
          <w:tcPr>
            <w:tcW w:type="dxa" w:w="720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5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Control Results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Approvals by the Business Sponsor, stored in Delivery Hub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Completed</w:t>
            </w:r>
          </w:p>
        </w:tc>
      </w:tr>
      <w:tr>
        <w:tc>
          <w:tcPr>
            <w:tcW w:type="dxa" w:w="720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6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Exception Handling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EX-C1-01 evaluated (root cause, extent, impact)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Exception</w:t>
            </w:r>
          </w:p>
        </w:tc>
      </w:tr>
      <w:tr>
        <w:tc>
          <w:tcPr>
            <w:tcW w:type="dxa" w:w="720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7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Escalation &amp; Remediation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PMO QA escalation; CO / BCO agreement to follow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Done</w:t>
            </w:r>
          </w:p>
        </w:tc>
      </w:tr>
      <w:tr>
        <w:tc>
          <w:tcPr>
            <w:tcW w:type="dxa" w:w="720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8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Risk Mitigation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Partially mitigated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Partially</w:t>
            </w:r>
          </w:p>
        </w:tc>
      </w:tr>
      <w:tr>
        <w:tc>
          <w:tcPr>
            <w:tcW w:type="dxa" w:w="720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9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Testing Coverage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Documented in workpaper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Completed</w:t>
            </w:r>
          </w:p>
        </w:tc>
      </w:tr>
    </w:tbl>
    <w:p/>
    <w:p>
      <w:r>
        <w:br w:type="page"/>
      </w:r>
    </w:p>
    <w:p>
      <w:pPr>
        <w:pStyle w:val="Heading1"/>
      </w:pPr>
      <w:r>
        <w:t>Appendix A – Evidence</w:t>
      </w:r>
    </w:p>
    <w:p>
      <w:pPr>
        <w:spacing w:before="160"/>
      </w:pPr>
      <w:r>
        <w:rPr>
          <w:rFonts w:ascii="Aptos" w:hAnsi="Aptos" w:cs="Aptos" w:eastAsia="Aptos"/>
          <w:b/>
          <w:i w:val="0"/>
          <w:color w:val="0078D4"/>
          <w:sz w:val="20"/>
        </w:rPr>
        <w:t>Exhibit A1: Delivery Hub gate dispositions – DH 3263 Security Lending (BSI.IT.23.C1.13)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6690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6690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ptos" w:hAnsi="Aptos" w:cs="Aptos" w:eastAsia="Aptos"/>
          <w:b w:val="0"/>
          <w:i/>
          <w:color w:val="475569"/>
          <w:sz w:val="17"/>
        </w:rPr>
        <w:t>Source: BSI.IT.23.C1.13 (copy of C13.05, image 2). Previous meetings: PTP (3) 02/14/25, PTP (3) 08/01/25, PTB (4) 10/31/25 – release ALL.</w:t>
      </w:r>
    </w:p>
    <w:p>
      <w:pPr>
        <w:spacing w:before="160"/>
      </w:pPr>
      <w:r>
        <w:rPr>
          <w:rFonts w:ascii="Aptos" w:hAnsi="Aptos" w:cs="Aptos" w:eastAsia="Aptos"/>
          <w:b/>
          <w:i w:val="0"/>
          <w:color w:val="0078D4"/>
          <w:sz w:val="20"/>
        </w:rPr>
        <w:t>Exhibit A2: PMO e-mail 02/09/2026 9:57 AM ET – Joshua De Leon (BSI.IT.23.C1.14)</w:t>
      </w:r>
    </w:p>
    <w:p>
      <w:pPr>
        <w:spacing w:after="120"/>
      </w:pPr>
      <w:r>
        <w:rPr>
          <w:rFonts w:ascii="Aptos" w:hAnsi="Aptos" w:cs="Aptos" w:eastAsia="Aptos"/>
          <w:b w:val="0"/>
          <w:i/>
          <w:sz w:val="18"/>
        </w:rPr>
        <w:t>"This project is going through a release 2 as it was identified that within the friends and family release, some of the business required artifacts did not mention Appian verbiage. For this reason, a release 2 is being documented." – Marcus Medeiros 02/06/2026: "the focus of release 2 is on the business artefacts solely."</w:t>
      </w:r>
    </w:p>
    <w:p>
      <w:pPr>
        <w:spacing w:after="120"/>
      </w:pPr>
      <w:r>
        <w:rPr>
          <w:rFonts w:ascii="Aptos" w:hAnsi="Aptos" w:cs="Aptos" w:eastAsia="Aptos"/>
          <w:b w:val="0"/>
          <w:i/>
          <w:sz w:val="18"/>
        </w:rPr>
        <w:t>Referenced workbook: C1 WP 2026.xlsm – tab "Control Performance Assessment", rows 53 – 54; tab "New Test Script".</w:t>
      </w:r>
    </w:p>
    <w:sectPr w:rsidR="00FC693F" w:rsidRPr="0006063C" w:rsidSect="00034616">
      <w:footerReference w:type="default" r:id="rId10"/>
      <w:headerReference w:type="default" r:id="rId11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78D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