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sz w:val="24"/>
        </w:rPr>
        <w:t>BSI.IT.23.C13 – Design of System (Heracles ID 50541400) – IT Audit Workpaper – Sample Size of 1</w:t>
      </w:r>
    </w:p>
    <w:p>
      <w:r>
        <w:rPr>
          <w:sz w:val="18"/>
        </w:rPr>
        <w:t>Control type: Key, Manual, Preventative, In every operation  |  Review period: 09/01/2025 – 08/31/2026  |  Control Owner / Executor: Jose Luis Martinez Avial  |  Prepared by: Edward (IT RCSA – Cycle 2)  |  Reviewed by: Mingo Cordova, Mirna Roxana  |  Test date: 10/31/2026</w:t>
      </w:r>
    </w:p>
    <w:p>
      <w:r>
        <w:rPr>
          <w:b/>
          <w:sz w:val="18"/>
        </w:rPr>
        <w:t xml:space="preserve">Control statement: </w:t>
      </w:r>
      <w:r>
        <w:rPr>
          <w:sz w:val="18"/>
        </w:rPr>
        <w:t>As part of developing a new internal system, customizing vendor products, upgrading existing systems, or onboarding a new technology, the Project Team submits the Architecture Design artifacts for review and approval by Enterprise Architecture and submits the Data (logical, physical) model, Data artifacts mandated by Chief Data Officer (CDO) if the project had data impact for review and approval by the Data Governance team (CDO).</w:t>
      </w:r>
    </w:p>
    <w:p>
      <w:r>
        <w:rPr>
          <w:b/>
          <w:sz w:val="18"/>
        </w:rPr>
        <w:t xml:space="preserve">Risk: </w:t>
      </w:r>
      <w:r>
        <w:rPr>
          <w:sz w:val="18"/>
        </w:rPr>
        <w:t>[BSI.IT.23.R4 Lack of Design Phase] Insufficient identification and documentation of business and functional requirements for new or updated system designs, due to poorly established design phase process requirements, may result in business production issues and regulatory non-compliance.</w:t>
      </w:r>
    </w:p>
    <w:p>
      <w:r>
        <w:rPr>
          <w:b/>
          <w:sz w:val="18"/>
        </w:rPr>
        <w:t xml:space="preserve">Samples: </w:t>
      </w:r>
      <w:r>
        <w:rPr>
          <w:sz w:val="18"/>
        </w:rPr>
        <w:t>two projects, each tested as a sample of one – Sample 1 – ALCO – Security Lending (DH 3263); Sample 2 – Derivatives Non-Deliverable Forwards – NDF (DH 3264).</w:t>
      </w:r>
    </w:p>
    <w:p>
      <w:r>
        <w:rPr>
          <w:b/>
          <w:sz w:val="18"/>
        </w:rPr>
        <w:t xml:space="preserve">References: </w:t>
      </w:r>
      <w:r>
        <w:rPr>
          <w:sz w:val="18"/>
        </w:rPr>
        <w:t>How to read the references: each reference gives the original file name exactly as received, the reference number of the copy filed in this control's Evidence folder (sub-folder "CPA\S1 Security Lending", "CPA\S2 NDF" or "CDA\Process Map and Population"), and the exact location in the file. Evidence received on 10/30/2026 and 10/31/2026 (Evidence SDLC-10-31-2026, folders "ALCO - Security Lending" and "Derivatives Non-Deliverable Forwards (NDF)") is identical. Files marked "10/21/2026 package" were received with the first evidence request.</w:t>
      </w:r>
    </w:p>
    <w:p/>
    <w:p>
      <w:r>
        <w:rPr>
          <w:b/>
        </w:rPr>
        <w:t>Objective and approach</w:t>
      </w:r>
    </w:p>
    <w:p>
      <w:r>
        <w:t>Goal: confirm that, for each sampled project, Enterprise Architecture approved the architecture design and the CDO reviewed the data impact before production. Test script: IT RCSA 2026 Test Plan, tab "New test scripts", Heracles ID 50541400. Process reference: "2026 SDLC process map.pdf" (Ref C13.01), page 3, step 1.3, and page 4 (control C13).</w:t>
      </w:r>
    </w:p>
    <w:p/>
    <w:p>
      <w:r>
        <w:rPr>
          <w:b/>
        </w:rPr>
        <w:t>Step 1. Obtain Evidence</w:t>
      </w:r>
    </w:p>
    <w:p>
      <w:r>
        <w:rPr>
          <w:b/>
        </w:rPr>
        <w:t xml:space="preserve">Testing Procedure: </w:t>
      </w:r>
      <w:r>
        <w:t>Obtain the population of projects delivered during the testing period that involved development activities, along with supporting documentation identifying project scope and applicable governance reviews. Obtain Architecture Design artifacts, Enterprise Architecture approval evidence, and where data impact exists, Data Governance/CDO-required artifacts and approval evidence.</w:t>
      </w:r>
    </w:p>
    <w:p>
      <w:r>
        <w:rPr>
          <w:b/>
        </w:rPr>
        <w:t xml:space="preserve">Sample Size: </w:t>
      </w:r>
      <w:r>
        <w:t>1 – Sample 1 – ALCO – Security Lending (DH 3263)</w:t>
      </w:r>
    </w:p>
    <w:p>
      <w:r>
        <w:rPr>
          <w:b/>
        </w:rPr>
        <w:t>Testing Performed:</w:t>
      </w:r>
    </w:p>
    <w:p>
      <w:r>
        <w:t>Obtained the Data Risk Assessment "Security Lending Data Risk Assesement.pdf" (Ref C13.03, page 1), the memo and Delivery Hub gate screen "Security Lending DRA Approval.docx" (Ref C13.05), and three Enterprise Architecture (EA) e-mails: "3263 - Security Lending - IT Architecture Approval - FINAL.msg" (Ref C13.07; embedded on slide 2 of "3263 - Security Lending - Single Design  - FINAL_7A5BMC (1).pptx", C17 folder), "Re_ Appian - Sec Lending  Architecture.msg" (Ref C13.08; embedded on slide 2 of the same deck) and "Re_ DH 3263 - Sec Lending - New Release - Architecture.msg" (Ref C13.09; embedded on slide 2 of "3263 - Security Lending - Single Design  - FINAL_YSAX1W.pptx"). The EA e-mails were found inside the Solution Intent decks in the C17 folder and are filed here as cross-references.</w:t>
      </w:r>
    </w:p>
    <w:p>
      <w:r>
        <w:rPr>
          <w:b/>
        </w:rPr>
        <w:t xml:space="preserve">Testing Result: </w:t>
      </w:r>
      <w:r>
        <w:t>Pass</w:t>
      </w:r>
    </w:p>
    <w:p>
      <w:r>
        <w:rPr>
          <w:b/>
        </w:rPr>
        <w:t xml:space="preserve">Conclusion: </w:t>
      </w:r>
      <w:r>
        <w:t>Evidence for both the architecture review and the data review of Sample 1 was received.</w:t>
      </w:r>
    </w:p>
    <w:p/>
    <w:p>
      <w:r>
        <w:rPr>
          <w:b/>
        </w:rPr>
        <w:t xml:space="preserve">Testing Procedure: </w:t>
      </w:r>
      <w:r>
        <w:t>Obtain the population of projects delivered during the testing period that involved development activities, along with supporting documentation identifying project scope and applicable governance reviews. Obtain Architecture Design artifacts, Enterprise Architecture approval evidence, and where data impact exists, Data Governance/CDO-required artifacts and approval evidence.</w:t>
      </w:r>
    </w:p>
    <w:p>
      <w:r>
        <w:rPr>
          <w:b/>
        </w:rPr>
        <w:t xml:space="preserve">Sample Size: </w:t>
      </w:r>
      <w:r>
        <w:t>1 – Sample 2 – Derivatives Non-Deliverable Forwards – NDF (DH 3264)</w:t>
      </w:r>
    </w:p>
    <w:p>
      <w:r>
        <w:rPr>
          <w:b/>
        </w:rPr>
        <w:t>Testing Performed:</w:t>
      </w:r>
    </w:p>
    <w:p>
      <w:r>
        <w:t>Obtained "NDF Data Risk Assesement.pdf" (Ref C13.04, page 1), "Derivatives OTC Customer NDF DRA Approval.docx" (Ref C13.06), and the EA sign-off e-mails "3264 Derivatives OTC Customer Phase 1 - RL1 - Single Technical design - Sign-off Enterprise Architecture_final.msg" (Ref C13.10, C17 folder) and "3264 Derivatives OTC Customer Phase 1 - RL2 - Single Technical design - Sign-off Enterprise Architecture_final (2).msg" (Ref C13.11, C17 folder).</w:t>
      </w:r>
    </w:p>
    <w:p>
      <w:r>
        <w:t>CDO data models (logical / physical) for the HIGH-rated DRA were not provided as separate files (see Step 4).</w:t>
      </w:r>
    </w:p>
    <w:p>
      <w:r>
        <w:rPr>
          <w:b/>
        </w:rPr>
        <w:t xml:space="preserve">Testing Result: </w:t>
      </w:r>
      <w:r>
        <w:t>Pass</w:t>
      </w:r>
    </w:p>
    <w:p>
      <w:r>
        <w:rPr>
          <w:b/>
        </w:rPr>
        <w:t xml:space="preserve">Conclusion: </w:t>
      </w:r>
      <w:r>
        <w:t>Evidence for both reviews of Sample 2 was received; the CDO data models are covered by the CDO gate approval (Step 4).</w:t>
      </w:r>
    </w:p>
    <w:p/>
    <w:p>
      <w:r>
        <w:rPr>
          <w:b/>
        </w:rPr>
        <w:t>Step 2. Validate Report Completeness and Accuracy</w:t>
      </w:r>
    </w:p>
    <w:p>
      <w:r>
        <w:rPr>
          <w:b/>
        </w:rPr>
        <w:t xml:space="preserve">Testing Procedure: </w:t>
      </w:r>
      <w:r>
        <w:t>Validate the completeness and accuracy of the project population by reconciling it to an independent source used to track project delivery activities. Confirm the population includes all projects meeting the control criteria and that key project attributes are accurately reflected.</w:t>
      </w:r>
    </w:p>
    <w:p>
      <w:r>
        <w:rPr>
          <w:b/>
        </w:rPr>
        <w:t xml:space="preserve">Sample Size: </w:t>
      </w:r>
      <w:r>
        <w:t>1 – Sample 1 – ALCO – Security Lending (DH 3263)</w:t>
      </w:r>
    </w:p>
    <w:p>
      <w:r>
        <w:rPr>
          <w:b/>
        </w:rPr>
        <w:t>Testing Performed:</w:t>
      </w:r>
    </w:p>
    <w:p>
      <w:r>
        <w:t>"SDLC Project List .xlsx" (Ref C13.02, 10/21/2026 package, sheet "Export"), row 8, shows Project ID 3263, "ALCO - Security Lending", SDLC? = "Yes" (column F), Project Manager Marcus Medeiros Carneiro Simoes (column N). The same project ID, name and Project Manager appear on "Security Lending Data Risk Assesement.pdf" (Ref C13.03, page 1) (Project Details: Delivery Hub ID 3263, Project Manager Marcus Medeiros Carneiro Simoes).</w:t>
      </w:r>
    </w:p>
    <w:p>
      <w:r>
        <w:t>No independent list of releases was provided, so completeness of the population could not be re-performed (OBS-11).</w:t>
      </w:r>
    </w:p>
    <w:p>
      <w:r>
        <w:rPr>
          <w:b/>
        </w:rPr>
        <w:t xml:space="preserve">Testing Result: </w:t>
      </w:r>
      <w:r>
        <w:t>Pass</w:t>
      </w:r>
    </w:p>
    <w:p>
      <w:r>
        <w:rPr>
          <w:b/>
        </w:rPr>
        <w:t xml:space="preserve">Conclusion: </w:t>
      </w:r>
      <w:r>
        <w:t>Sample 1 is correctly recorded in the population and agrees to the DRA.</w:t>
      </w:r>
    </w:p>
    <w:p/>
    <w:p>
      <w:r>
        <w:rPr>
          <w:b/>
        </w:rPr>
        <w:t xml:space="preserve">Testing Procedure: </w:t>
      </w:r>
      <w:r>
        <w:t>Validate the completeness and accuracy of the project population by reconciling it to an independent source used to track project delivery activities. Confirm the population includes all projects meeting the control criteria and that key project attributes are accurately reflected.</w:t>
      </w:r>
    </w:p>
    <w:p>
      <w:r>
        <w:rPr>
          <w:b/>
        </w:rPr>
        <w:t xml:space="preserve">Sample Size: </w:t>
      </w:r>
      <w:r>
        <w:t>1 – Sample 2 – Derivatives Non-Deliverable Forwards – NDF (DH 3264)</w:t>
      </w:r>
    </w:p>
    <w:p>
      <w:r>
        <w:rPr>
          <w:b/>
        </w:rPr>
        <w:t>Testing Performed:</w:t>
      </w:r>
    </w:p>
    <w:p>
      <w:r>
        <w:t>"SDLC Project List .xlsx" (Ref C13.02, 10/21/2026 package, sheet "Export"), row 37, shows Project ID 3264, "Derivatives Non-Deliverable Forwards NDF", SDLC? = "Yes", Project Manager "Megia Planet, Domingo". These agree to "NDF Data Risk Assesement.pdf" (Ref C13.04, page 1) (Delivery Hub ID 3264, Project Manager Megia Planet, Domingo).</w:t>
      </w:r>
    </w:p>
    <w:p>
      <w:r>
        <w:rPr>
          <w:b/>
        </w:rPr>
        <w:t xml:space="preserve">Testing Result: </w:t>
      </w:r>
      <w:r>
        <w:t>Pass</w:t>
      </w:r>
    </w:p>
    <w:p>
      <w:r>
        <w:rPr>
          <w:b/>
        </w:rPr>
        <w:t xml:space="preserve">Conclusion: </w:t>
      </w:r>
      <w:r>
        <w:t>Sample 2 is correctly recorded in the population and agrees to the DRA.</w:t>
      </w:r>
    </w:p>
    <w:p/>
    <w:p>
      <w:r>
        <w:rPr>
          <w:b/>
        </w:rPr>
        <w:t>Step 3. Validate Population and Scope</w:t>
      </w:r>
    </w:p>
    <w:p>
      <w:r>
        <w:rPr>
          <w:b/>
        </w:rPr>
        <w:t xml:space="preserve">Testing Procedure: </w:t>
      </w:r>
      <w:r>
        <w:t>Select a sample of projects from the validated population in accordance with the approved RCSA sampling methodology. Determine whether each sampled project involved activities subject to the control and whether data-impact considerations were applicable.</w:t>
      </w:r>
    </w:p>
    <w:p>
      <w:r>
        <w:rPr>
          <w:b/>
        </w:rPr>
        <w:t xml:space="preserve">Sample Size: </w:t>
      </w:r>
      <w:r>
        <w:t>1 – Sample 1 – ALCO – Security Lending (DH 3263)</w:t>
      </w:r>
    </w:p>
    <w:p>
      <w:r>
        <w:rPr>
          <w:b/>
        </w:rPr>
        <w:t>Testing Performed:</w:t>
      </w:r>
    </w:p>
    <w:p>
      <w:r>
        <w:t>Sample 1 is in scope: it creates a new Appian application and changes T24 ("Release 01 rm_release (1).pdf" (Ref C25.03), page 1, Reason "New Application"; "Release 02 rm_release.pdf" (Ref C25.06), page 1, Application "T24"). Data impact applies: "Security Lending Data Risk Assesement.pdf" (Ref C13.03, page 1), question 1 "Is this a system development project that will impact data" is answered "Yes"; impacted platforms "T24, Tableau, CREAM, Appian".</w:t>
      </w:r>
    </w:p>
    <w:p>
      <w:r>
        <w:rPr>
          <w:b/>
        </w:rPr>
        <w:t xml:space="preserve">Testing Result: </w:t>
      </w:r>
      <w:r>
        <w:t>Pass</w:t>
      </w:r>
    </w:p>
    <w:p>
      <w:r>
        <w:rPr>
          <w:b/>
        </w:rPr>
        <w:t xml:space="preserve">Conclusion: </w:t>
      </w:r>
      <w:r>
        <w:t>Both the EA review and the CDO review apply to Sample 1.</w:t>
      </w:r>
    </w:p>
    <w:p/>
    <w:p>
      <w:r>
        <w:rPr>
          <w:b/>
        </w:rPr>
        <w:t xml:space="preserve">Testing Procedure: </w:t>
      </w:r>
      <w:r>
        <w:t>Select a sample of projects from the validated population in accordance with the approved RCSA sampling methodology. Determine whether each sampled project involved activities subject to the control and whether data-impact considerations were applicable.</w:t>
      </w:r>
    </w:p>
    <w:p>
      <w:r>
        <w:rPr>
          <w:b/>
        </w:rPr>
        <w:t xml:space="preserve">Sample Size: </w:t>
      </w:r>
      <w:r>
        <w:t>1 – Sample 2 – Derivatives Non-Deliverable Forwards – NDF (DH 3264)</w:t>
      </w:r>
    </w:p>
    <w:p>
      <w:r>
        <w:rPr>
          <w:b/>
        </w:rPr>
        <w:t>Testing Performed:</w:t>
      </w:r>
    </w:p>
    <w:p>
      <w:r>
        <w:t>Sample 2 is in scope: it customizes T24 with a new NDF module ("Change Management Ticket Release 01 (3).pdf" (Ref C25.08), page 1, Description "DH:3264"). "NDF Data Risk Assesement.pdf" (Ref C13.04, page 1), question 1 is "Yes"; data elements include "Existing KDE" and "Non an existing KDE but should be considered ... regulatory/senior management reporting"; impacted platforms "T24, Bloomgerg, Medea, 360, Murex 3 Latam, Data Lake, MARS CREAM, Appian".</w:t>
      </w:r>
    </w:p>
    <w:p>
      <w:r>
        <w:rPr>
          <w:b/>
        </w:rPr>
        <w:t xml:space="preserve">Testing Result: </w:t>
      </w:r>
      <w:r>
        <w:t>Pass</w:t>
      </w:r>
    </w:p>
    <w:p>
      <w:r>
        <w:rPr>
          <w:b/>
        </w:rPr>
        <w:t xml:space="preserve">Conclusion: </w:t>
      </w:r>
      <w:r>
        <w:t>Both reviews apply to Sample 2.</w:t>
      </w:r>
    </w:p>
    <w:p/>
    <w:p>
      <w:r>
        <w:rPr>
          <w:b/>
        </w:rPr>
        <w:t>Step 4. Verify Control Execution</w:t>
      </w:r>
    </w:p>
    <w:p>
      <w:r>
        <w:rPr>
          <w:b/>
        </w:rPr>
        <w:t xml:space="preserve">Testing Procedure: </w:t>
      </w:r>
      <w:r>
        <w:t>For each sampled project, inspect evidence to verify that Architecture Design artifacts were submitted for review and approval by Enterprise Architecture prior to implementation. For projects with data impact, verify that applicable logical data models, physical data models, and other CDO-mandated data artifacts were submitted for review and approval by the Data Governance team.</w:t>
      </w:r>
    </w:p>
    <w:p>
      <w:r>
        <w:rPr>
          <w:b/>
        </w:rPr>
        <w:t xml:space="preserve">Sample Size: </w:t>
      </w:r>
      <w:r>
        <w:t>1 – Sample 1 – ALCO – Security Lending (DH 3263)</w:t>
      </w:r>
    </w:p>
    <w:p>
      <w:r>
        <w:rPr>
          <w:b/>
        </w:rPr>
        <w:t>Testing Performed:</w:t>
      </w:r>
    </w:p>
    <w:p>
      <w:pPr>
        <w:pStyle w:val="ListParagraph"/>
        <w:numPr>
          <w:ilvl w:val="0"/>
          <w:numId w:val="2"/>
        </w:numPr>
        <w:spacing w:after="60"/>
      </w:pPr>
      <w:r>
        <w:rPr>
          <w:b/>
        </w:rPr>
        <w:t xml:space="preserve">Architecture (EA): </w:t>
      </w:r>
      <w:r>
        <w:t>"3263 - Security Lending - IT Architecture Approval - FINAL.msg" (Ref C13.07; embedded on slide 2 of "3263 - Security Lending - Single Design  - FINAL_7A5BMC (1).pptx", C17 folder) – Jofman Perez (Enterprise Architect) replied "Approved!" on 12/04/2025 to Marcus Medeiros' request of 12/02/2025 ("...part of the artefacts required on Gate 5 whose approval is needed from IT Architecture"). For the Appian release, "Re_ Appian - Sec Lending  Architecture.msg" (Ref C13.08; embedded on slide 2 of the same deck) (02/09/2026) says "from the EA point of view, there is no impact on the Architecture". For the T24 release, "Re_ DH 3263 - Sec Lending - New Release - Architecture.msg" (Ref C13.09; embedded on slide 2 of "3263 - Security Lending - Single Design  - FINAL_YSAX1W.pptx") (05/12/2026) says "these changes won't impact the Technical Architecture, so the Release won't require ARB approval". Production dates: 13/03/2026 ("Release 01 rm_release (1).pdf" (Ref C25.03), page 2) and 26/06/2026 ("Release 02 rm_release.pdf" (Ref C25.06), page 2).</w:t>
      </w:r>
    </w:p>
    <w:p>
      <w:pPr>
        <w:pStyle w:val="ListParagraph"/>
        <w:numPr>
          <w:ilvl w:val="0"/>
          <w:numId w:val="2"/>
        </w:numPr>
        <w:spacing w:after="60"/>
      </w:pPr>
      <w:r>
        <w:rPr>
          <w:b/>
        </w:rPr>
        <w:t xml:space="preserve">Data (CDO): </w:t>
      </w:r>
      <w:r>
        <w:t>"Security Lending Data Risk Assesement.pdf" (Ref C13.03, page 1) shows "Data Risk Assessment has been Approved", DRA Rating "LOW" and "CDO: Approved"; Data Steward Miguel Menendez – BSI. "Security Lending DRA Approval.docx" (Ref C13.05), text, explains that a LOW DRA means the CDO opts out and that "a decision from CDO cannot be performed unless the DRA is reviewed and approved". Its second screenshot (BSI Gate approvals) shows meeting 08/01/25 PTP (3), Release ALL, Disposition "Presented", Approval Date 10/1/2025 and CDO "Out". No data models were required because the CDO opted out.</w:t>
      </w:r>
    </w:p>
    <w:p>
      <w:r>
        <w:rPr>
          <w:b/>
        </w:rPr>
        <w:t xml:space="preserve">Testing Result: </w:t>
      </w:r>
      <w:r>
        <w:t>Pass</w:t>
      </w:r>
    </w:p>
    <w:p>
      <w:r>
        <w:rPr>
          <w:b/>
        </w:rPr>
        <w:t xml:space="preserve">Conclusion: </w:t>
      </w:r>
      <w:r>
        <w:t>EA approved the Security Lending design on 12/04/2025 and confirmed both later releases before production; the CDO reviewed the LOW DRA (approval date 10/01/2025) before Build and production.</w:t>
      </w:r>
    </w:p>
    <w:p/>
    <w:p>
      <w:r>
        <w:rPr>
          <w:b/>
        </w:rPr>
        <w:t xml:space="preserve">Testing Procedure: </w:t>
      </w:r>
      <w:r>
        <w:t>For each sampled project, inspect evidence to verify that Architecture Design artifacts were submitted for review and approval by Enterprise Architecture prior to implementation. For projects with data impact, verify that applicable logical data models, physical data models, and other CDO-mandated data artifacts were submitted for review and approval by the Data Governance team.</w:t>
      </w:r>
    </w:p>
    <w:p>
      <w:r>
        <w:rPr>
          <w:b/>
        </w:rPr>
        <w:t xml:space="preserve">Sample Size: </w:t>
      </w:r>
      <w:r>
        <w:t>1 – Sample 2 – Derivatives Non-Deliverable Forwards – NDF (DH 3264)</w:t>
      </w:r>
    </w:p>
    <w:p>
      <w:r>
        <w:rPr>
          <w:b/>
        </w:rPr>
        <w:t>Testing Performed:</w:t>
      </w:r>
    </w:p>
    <w:p>
      <w:pPr>
        <w:pStyle w:val="ListParagraph"/>
        <w:numPr>
          <w:ilvl w:val="0"/>
          <w:numId w:val="2"/>
        </w:numPr>
        <w:spacing w:after="60"/>
      </w:pPr>
      <w:r>
        <w:rPr>
          <w:b/>
        </w:rPr>
        <w:t xml:space="preserve">Architecture (EA): </w:t>
      </w:r>
      <w:r>
        <w:t>"3264 Derivatives OTC Customer Phase 1 - RL1 - Single Technical design - Sign-off Enterprise Architecture_final.msg" (Ref C13.10, C17 folder) – Jofman Perez replied "Approved!" on 12/10/2025 to the request to approve the "RL1- Data Flow Guide_final" and "RL1- Single_Technical Design_final". "3264 Derivatives OTC Customer Phase 1 - RL2 - Single Technical design - Sign-off Enterprise Architecture_final (2).msg" (Ref C13.11, C17 folder) – "Approved" on 03/24/2026 for Release 2; the request states the architecture does not change and that EA had confirmed Release 2 has no applicability to ARB. Production dates: 28/01/2026 ("Change Management Ticket Release 01 (3).pdf" (Ref C25.08), page 3) and 08/05/2026 ("Change Management Ticket_release (2).pdf" (Ref C25.11), page 3).</w:t>
      </w:r>
    </w:p>
    <w:p>
      <w:pPr>
        <w:pStyle w:val="ListParagraph"/>
        <w:numPr>
          <w:ilvl w:val="0"/>
          <w:numId w:val="2"/>
        </w:numPr>
        <w:spacing w:after="60"/>
      </w:pPr>
      <w:r>
        <w:rPr>
          <w:b/>
        </w:rPr>
        <w:t xml:space="preserve">Data (CDO): </w:t>
      </w:r>
      <w:r>
        <w:t>"NDF Data Risk Assesement.pdf" (Ref C13.04, page 1) shows DRA Rating "HIGH" and "CDO: Approved". "Derivatives OTC Customer NDF DRA Approval.docx" (Ref C13.06), second screenshot, shows meeting 07/11/25 PTP (3), Release ALL, Approval Date 7/28/2025 and CDO "In" (CDO opted in). The CDO data models were not provided as separate files; the CDO approval at the gate and the EA-approved "Data Flow Guide" (named in "3264 Derivatives OTC Customer Phase 1 - RL1 - Single Technical design - Sign-off Enterprise Architecture_final.msg" (Ref C13.10, C17 folder)) are the evidence of the data review (OBS-05).</w:t>
      </w:r>
    </w:p>
    <w:p>
      <w:r>
        <w:rPr>
          <w:b/>
        </w:rPr>
        <w:t xml:space="preserve">Testing Result: </w:t>
      </w:r>
      <w:r>
        <w:t>Pass</w:t>
      </w:r>
    </w:p>
    <w:p>
      <w:r>
        <w:rPr>
          <w:b/>
        </w:rPr>
        <w:t xml:space="preserve">Conclusion: </w:t>
      </w:r>
      <w:r>
        <w:t>EA approved both NDF releases before production and the CDO approved the HIGH DRA on 07/28/2025, before Build and production. Data models are an observation (OBS-05).</w:t>
      </w:r>
    </w:p>
    <w:p/>
    <w:p>
      <w:r>
        <w:rPr>
          <w:b/>
        </w:rPr>
        <w:t>Step 5. Validate Control Results</w:t>
      </w:r>
    </w:p>
    <w:p>
      <w:r>
        <w:rPr>
          <w:b/>
        </w:rPr>
        <w:t xml:space="preserve">Testing Procedure: </w:t>
      </w:r>
      <w:r>
        <w:t>Verify that required approvals were formally documented, provided by the appropriate approval authority, and evidenced completion of the review process. Where a project has data impact, confirm both Enterprise Architecture and Data Governance/CDO review requirements were satisfied.</w:t>
      </w:r>
    </w:p>
    <w:p>
      <w:r>
        <w:rPr>
          <w:b/>
        </w:rPr>
        <w:t xml:space="preserve">Sample Size: </w:t>
      </w:r>
      <w:r>
        <w:t>1 – Sample 1 – ALCO – Security Lending (DH 3263)</w:t>
      </w:r>
    </w:p>
    <w:p>
      <w:r>
        <w:rPr>
          <w:b/>
        </w:rPr>
        <w:t>Testing Performed:</w:t>
      </w:r>
    </w:p>
    <w:p>
      <w:r>
        <w:t>Approvals are formal and from the right people: the Enterprise Architect by e-mail ("3263 - Security Lending - IT Architecture Approval - FINAL.msg" (Ref C13.07; embedded on slide 2 of "3263 - Security Lending - Single Design  - FINAL_7A5BMC (1).pptx", C17 folder), "Re_ Appian - Sec Lending  Architecture.msg" (Ref C13.08; embedded on slide 2 of the same deck), "Re_ DH 3263 - Sec Lending - New Release - Architecture.msg" (Ref C13.09; embedded on slide 2 of "3263 - Security Lending - Single Design  - FINAL_YSAX1W.pptx")) and the CDO through the Delivery Hub DRA status and gate record ("Security Lending Data Risk Assesement.pdf" (Ref C13.03, page 1); "Security Lending DRA Approval.docx" (Ref C13.05), screenshot 2).</w:t>
      </w:r>
    </w:p>
    <w:p>
      <w:r>
        <w:rPr>
          <w:b/>
        </w:rPr>
        <w:t xml:space="preserve">Testing Result: </w:t>
      </w:r>
      <w:r>
        <w:t>Pass</w:t>
      </w:r>
    </w:p>
    <w:p>
      <w:r>
        <w:rPr>
          <w:b/>
        </w:rPr>
        <w:t xml:space="preserve">Conclusion: </w:t>
      </w:r>
      <w:r>
        <w:t>Both required reviews were completed and documented for Sample 1.</w:t>
      </w:r>
    </w:p>
    <w:p/>
    <w:p>
      <w:r>
        <w:rPr>
          <w:b/>
        </w:rPr>
        <w:t xml:space="preserve">Testing Procedure: </w:t>
      </w:r>
      <w:r>
        <w:t>Verify that required approvals were formally documented, provided by the appropriate approval authority, and evidenced completion of the review process. Where a project has data impact, confirm both Enterprise Architecture and Data Governance/CDO review requirements were satisfied.</w:t>
      </w:r>
    </w:p>
    <w:p>
      <w:r>
        <w:rPr>
          <w:b/>
        </w:rPr>
        <w:t xml:space="preserve">Sample Size: </w:t>
      </w:r>
      <w:r>
        <w:t>1 – Sample 2 – Derivatives Non-Deliverable Forwards – NDF (DH 3264)</w:t>
      </w:r>
    </w:p>
    <w:p>
      <w:r>
        <w:rPr>
          <w:b/>
        </w:rPr>
        <w:t>Testing Performed:</w:t>
      </w:r>
    </w:p>
    <w:p>
      <w:r>
        <w:t>Approvals come from the Enterprise Architect ("3264 Derivatives OTC Customer Phase 1 - RL1 - Single Technical design - Sign-off Enterprise Architecture_final.msg" (Ref C13.10, C17 folder); "3264 Derivatives OTC Customer Phase 1 - RL2 - Single Technical design - Sign-off Enterprise Architecture_final (2).msg" (Ref C13.11, C17 folder)) and the CDO ("NDF Data Risk Assesement.pdf" (Ref C13.04, page 1); "Derivatives OTC Customer NDF DRA Approval.docx" (Ref C13.06), screenshot 2, CDO "In").</w:t>
      </w:r>
    </w:p>
    <w:p>
      <w:r>
        <w:rPr>
          <w:b/>
        </w:rPr>
        <w:t xml:space="preserve">Testing Result: </w:t>
      </w:r>
      <w:r>
        <w:t>Pass</w:t>
      </w:r>
    </w:p>
    <w:p>
      <w:r>
        <w:rPr>
          <w:b/>
        </w:rPr>
        <w:t xml:space="preserve">Conclusion: </w:t>
      </w:r>
      <w:r>
        <w:t>Both required reviews were completed and documented for Sample 2.</w:t>
      </w:r>
    </w:p>
    <w:p/>
    <w:p>
      <w:r>
        <w:rPr>
          <w:b/>
        </w:rPr>
        <w:t>Step 6. Verify Exception Handling</w:t>
      </w:r>
    </w:p>
    <w:p>
      <w:r>
        <w:rPr>
          <w:b/>
        </w:rPr>
        <w:t xml:space="preserve">Testing Procedure: </w:t>
      </w:r>
      <w:r>
        <w:t>Determine whether any sampled projects lacked required submissions, reviews, or approvals. Where exceptions exist, inspect supporting documentation to understand the nature, rationale, approval status, and disposition of the exception.</w:t>
      </w:r>
    </w:p>
    <w:p>
      <w:r>
        <w:rPr>
          <w:b/>
        </w:rPr>
        <w:t xml:space="preserve">Sample Size: </w:t>
      </w:r>
      <w:r>
        <w:t>1 – Sample 1 – ALCO – Security Lending (DH 3263)</w:t>
      </w:r>
    </w:p>
    <w:p>
      <w:r>
        <w:rPr>
          <w:b/>
        </w:rPr>
        <w:t>Testing Performed:</w:t>
      </w:r>
    </w:p>
    <w:p>
      <w:r>
        <w:t>No required submission, review or approval was missing (Steps 4 – 5). ARB was not required (EA determination in "Re_ DH 3263 - Sec Lending - New Release - Architecture.msg" (Ref C13.09; embedded on slide 2 of "3263 - Security Lending - Single Design  - FINAL_YSAX1W.pptx")).</w:t>
      </w:r>
    </w:p>
    <w:p>
      <w:r>
        <w:rPr>
          <w:b/>
        </w:rPr>
        <w:t xml:space="preserve">Testing Result: </w:t>
      </w:r>
      <w:r>
        <w:t>Pass</w:t>
      </w:r>
    </w:p>
    <w:p>
      <w:r>
        <w:rPr>
          <w:b/>
        </w:rPr>
        <w:t xml:space="preserve">Conclusion: </w:t>
      </w:r>
      <w:r>
        <w:t>No exception for Sample 1.</w:t>
      </w:r>
    </w:p>
    <w:p/>
    <w:p>
      <w:r>
        <w:rPr>
          <w:b/>
        </w:rPr>
        <w:t xml:space="preserve">Testing Procedure: </w:t>
      </w:r>
      <w:r>
        <w:t>Determine whether any sampled projects lacked required submissions, reviews, or approvals. Where exceptions exist, inspect supporting documentation to understand the nature, rationale, approval status, and disposition of the exception.</w:t>
      </w:r>
    </w:p>
    <w:p>
      <w:r>
        <w:rPr>
          <w:b/>
        </w:rPr>
        <w:t xml:space="preserve">Sample Size: </w:t>
      </w:r>
      <w:r>
        <w:t>1 – Sample 2 – Derivatives Non-Deliverable Forwards – NDF (DH 3264)</w:t>
      </w:r>
    </w:p>
    <w:p>
      <w:r>
        <w:rPr>
          <w:b/>
        </w:rPr>
        <w:t>Testing Performed:</w:t>
      </w:r>
    </w:p>
    <w:p>
      <w:r>
        <w:t>No required submission, review or approval was missing. ARB was not required ("3264 Derivatives OTC Customer Phase 1 - RL2 - Single Technical design - Sign-off Enterprise Architecture_final (2).msg" (Ref C13.11, C17 folder)).</w:t>
      </w:r>
    </w:p>
    <w:p>
      <w:r>
        <w:rPr>
          <w:b/>
        </w:rPr>
        <w:t xml:space="preserve">Testing Result: </w:t>
      </w:r>
      <w:r>
        <w:t>Pass</w:t>
      </w:r>
    </w:p>
    <w:p>
      <w:r>
        <w:rPr>
          <w:b/>
        </w:rPr>
        <w:t xml:space="preserve">Conclusion: </w:t>
      </w:r>
      <w:r>
        <w:t>No exception for Sample 2.</w:t>
      </w:r>
    </w:p>
    <w:p/>
    <w:p>
      <w:r>
        <w:rPr>
          <w:b/>
        </w:rPr>
        <w:t>Step 7. Verify Escalation and Remediation</w:t>
      </w:r>
    </w:p>
    <w:p>
      <w:r>
        <w:rPr>
          <w:b/>
        </w:rPr>
        <w:t xml:space="preserve">Testing Procedure: </w:t>
      </w:r>
      <w:r>
        <w:t>For identified exceptions, verify whether the issue was escalated through the appropriate governance or management channel and whether remediation actions, compensating actions, or documented risk acceptance were recorded, where applicable.</w:t>
      </w:r>
    </w:p>
    <w:p>
      <w:r>
        <w:rPr>
          <w:b/>
        </w:rPr>
        <w:t xml:space="preserve">Sample Size: </w:t>
      </w:r>
      <w:r>
        <w:t>1 – Sample 1 – ALCO – Security Lending (DH 3263)</w:t>
      </w:r>
    </w:p>
    <w:p>
      <w:r>
        <w:rPr>
          <w:b/>
        </w:rPr>
        <w:t>Testing Performed:</w:t>
      </w:r>
    </w:p>
    <w:p>
      <w:r>
        <w:t>No exception, so no escalation was needed. The e-mail chains show the PM and PMO following up with EA before the gates ("Re_ Appian - Sec Lending  Architecture.msg" (Ref C13.08; embedded on slide 2 of the same deck); "Re_ DH 3263 - Sec Lending - New Release - Architecture.msg" (Ref C13.09; embedded on slide 2 of "3263 - Security Lending - Single Design  - FINAL_YSAX1W.pptx")).</w:t>
      </w:r>
    </w:p>
    <w:p>
      <w:r>
        <w:rPr>
          <w:b/>
        </w:rPr>
        <w:t xml:space="preserve">Testing Result: </w:t>
      </w:r>
      <w:r>
        <w:t>Pass (not applicable – no exceptions)</w:t>
      </w:r>
    </w:p>
    <w:p>
      <w:r>
        <w:rPr>
          <w:b/>
        </w:rPr>
        <w:t xml:space="preserve">Conclusion: </w:t>
      </w:r>
      <w:r>
        <w:t>Nothing to escalate for Sample 1.</w:t>
      </w:r>
    </w:p>
    <w:p/>
    <w:p>
      <w:r>
        <w:rPr>
          <w:b/>
        </w:rPr>
        <w:t xml:space="preserve">Testing Procedure: </w:t>
      </w:r>
      <w:r>
        <w:t>For identified exceptions, verify whether the issue was escalated through the appropriate governance or management channel and whether remediation actions, compensating actions, or documented risk acceptance were recorded, where applicable.</w:t>
      </w:r>
    </w:p>
    <w:p>
      <w:r>
        <w:rPr>
          <w:b/>
        </w:rPr>
        <w:t xml:space="preserve">Sample Size: </w:t>
      </w:r>
      <w:r>
        <w:t>1 – Sample 2 – Derivatives Non-Deliverable Forwards – NDF (DH 3264)</w:t>
      </w:r>
    </w:p>
    <w:p>
      <w:r>
        <w:rPr>
          <w:b/>
        </w:rPr>
        <w:t>Testing Performed:</w:t>
      </w:r>
    </w:p>
    <w:p>
      <w:r>
        <w:t>No exception, so no escalation was needed.</w:t>
      </w:r>
    </w:p>
    <w:p>
      <w:r>
        <w:rPr>
          <w:b/>
        </w:rPr>
        <w:t xml:space="preserve">Testing Result: </w:t>
      </w:r>
      <w:r>
        <w:t>Pass (not applicable – no exceptions)</w:t>
      </w:r>
    </w:p>
    <w:p>
      <w:r>
        <w:rPr>
          <w:b/>
        </w:rPr>
        <w:t xml:space="preserve">Conclusion: </w:t>
      </w:r>
      <w:r>
        <w:t>Nothing to escalate for Sample 2.</w:t>
      </w:r>
    </w:p>
    <w:p/>
    <w:p>
      <w:r>
        <w:rPr>
          <w:b/>
        </w:rPr>
        <w:t>Step 8. Assess Risk Mitigation</w:t>
      </w:r>
    </w:p>
    <w:p>
      <w:r>
        <w:rPr>
          <w:b/>
        </w:rPr>
        <w:t xml:space="preserve">Testing Procedure: </w:t>
      </w:r>
      <w:r>
        <w:t>Assess whether the control activities performed provide evidence that design and data governance requirements were reviewed and approved prior to implementation, thereby mitigating the risk of incomplete system design, production issues, and regulatory non-compliance.</w:t>
      </w:r>
    </w:p>
    <w:p>
      <w:r>
        <w:rPr>
          <w:b/>
        </w:rPr>
        <w:t xml:space="preserve">Sample Size: </w:t>
      </w:r>
      <w:r>
        <w:t>1 – Sample 1 – ALCO – Security Lending (DH 3263)</w:t>
      </w:r>
    </w:p>
    <w:p>
      <w:r>
        <w:rPr>
          <w:b/>
        </w:rPr>
        <w:t>Testing Performed:</w:t>
      </w:r>
    </w:p>
    <w:p>
      <w:r>
        <w:t>The architecture and the data risk of Security Lending were reviewed and approved before production (Step 4). This reduces risk BSI.IT.23.R4.</w:t>
      </w:r>
    </w:p>
    <w:p>
      <w:r>
        <w:rPr>
          <w:b/>
        </w:rPr>
        <w:t xml:space="preserve">Testing Result: </w:t>
      </w:r>
      <w:r>
        <w:t>Pass</w:t>
      </w:r>
    </w:p>
    <w:p>
      <w:r>
        <w:rPr>
          <w:b/>
        </w:rPr>
        <w:t xml:space="preserve">Conclusion: </w:t>
      </w:r>
      <w:r>
        <w:t>The control worked for Sample 1.</w:t>
      </w:r>
    </w:p>
    <w:p/>
    <w:p>
      <w:r>
        <w:rPr>
          <w:b/>
        </w:rPr>
        <w:t xml:space="preserve">Testing Procedure: </w:t>
      </w:r>
      <w:r>
        <w:t>Assess whether the control activities performed provide evidence that design and data governance requirements were reviewed and approved prior to implementation, thereby mitigating the risk of incomplete system design, production issues, and regulatory non-compliance.</w:t>
      </w:r>
    </w:p>
    <w:p>
      <w:r>
        <w:rPr>
          <w:b/>
        </w:rPr>
        <w:t xml:space="preserve">Sample Size: </w:t>
      </w:r>
      <w:r>
        <w:t>1 – Sample 2 – Derivatives Non-Deliverable Forwards – NDF (DH 3264)</w:t>
      </w:r>
    </w:p>
    <w:p>
      <w:r>
        <w:rPr>
          <w:b/>
        </w:rPr>
        <w:t>Testing Performed:</w:t>
      </w:r>
    </w:p>
    <w:p>
      <w:r>
        <w:t>The architecture and the data risk of NDF were reviewed and approved before production (Step 4). This reduces risk BSI.IT.23.R4.</w:t>
      </w:r>
    </w:p>
    <w:p>
      <w:r>
        <w:rPr>
          <w:b/>
        </w:rPr>
        <w:t xml:space="preserve">Testing Result: </w:t>
      </w:r>
      <w:r>
        <w:t>Pass</w:t>
      </w:r>
    </w:p>
    <w:p>
      <w:r>
        <w:rPr>
          <w:b/>
        </w:rPr>
        <w:t xml:space="preserve">Conclusion: </w:t>
      </w:r>
      <w:r>
        <w:t>The control worked for Sample 2.</w:t>
      </w:r>
    </w:p>
    <w:p/>
    <w:p>
      <w:r>
        <w:rPr>
          <w:b/>
        </w:rPr>
        <w:t>Overall conclusion</w:t>
      </w:r>
    </w:p>
    <w:p>
      <w:r>
        <w:t>Both samples passed. Enterprise Architecture approved the design of every release before production, and the CDO reviewed the Data Risk Assessment of each project at Gate 3 – Security Lending LOW, approval 10/01/2025; NDF HIGH, approval 07/28/2025 ("Security Lending DRA Approval.docx" (Ref C13.05); "Derivatives OTC Customer NDF DRA Approval.docx" (Ref C13.06)).</w:t>
      </w:r>
    </w:p>
    <w:p>
      <w:r>
        <w:t>Testing Result: Pass for both samples. Design rating Satisfactory; performance rating Satisfactory. Exceptions: none.</w:t>
      </w:r>
    </w:p>
    <w:p/>
    <w:p>
      <w:r>
        <w:rPr>
          <w:b/>
        </w:rPr>
        <w:t>Observations and recommendations (no impact on the sample results unless stated)</w:t>
      </w:r>
    </w:p>
    <w:p>
      <w:pPr>
        <w:pStyle w:val="ListParagraph"/>
        <w:numPr>
          <w:ilvl w:val="0"/>
          <w:numId w:val="2"/>
        </w:numPr>
        <w:spacing w:after="60"/>
      </w:pPr>
      <w:r>
        <w:rPr>
          <w:b/>
        </w:rPr>
        <w:t xml:space="preserve">OBS-04: </w:t>
      </w:r>
      <w:r>
        <w:t>EA approvals were given as Gate 5 artifacts (12/04/2025 and 12/10/2025), after the Gate 4 start of Build on 10/31/2025 ("Security Lending DRA Approval.docx" (Ref C13.05) and "Derivatives OTC Customer NDF DRA Approval.docx" (Ref C13.06), screenshot 2, meeting list). The control does not set a timing, so this is not an exception, but the 2026 proposed control statement requires approval before development.</w:t>
      </w:r>
    </w:p>
    <w:p>
      <w:pPr>
        <w:pStyle w:val="ListParagraph"/>
        <w:numPr>
          <w:ilvl w:val="0"/>
          <w:numId w:val="2"/>
        </w:numPr>
        <w:spacing w:after="60"/>
      </w:pPr>
      <w:r>
        <w:rPr>
          <w:b/>
        </w:rPr>
        <w:t xml:space="preserve">OBS-05: </w:t>
      </w:r>
      <w:r>
        <w:t>NDF DRA is HIGH ("NDF Data Risk Assesement.pdf" (Ref C13.04, page 1)); the CDO data models were not stored with the DRA. Recommend keeping CDO deliverables in Delivery Hub.</w:t>
      </w:r>
    </w:p>
    <w:p>
      <w:pPr>
        <w:pStyle w:val="ListParagraph"/>
        <w:numPr>
          <w:ilvl w:val="0"/>
          <w:numId w:val="2"/>
        </w:numPr>
        <w:spacing w:after="60"/>
      </w:pPr>
      <w:r>
        <w:rPr>
          <w:b/>
        </w:rPr>
        <w:t xml:space="preserve">OBS-11: </w:t>
      </w:r>
      <w:r>
        <w:t>Population completeness could not be re-performed (no independent release list; "SDLC Project List .xlsx" (Ref C13.02, 10/21/2026 package, sheet "Export")).</w:t>
      </w:r>
    </w:p>
    <w:sectPr w:rsidR="00CE1ECD">
      <w:headerReference w:type="even" r:id="rId42"/>
      <w:headerReference w:type="default" r:id="rId43"/>
      <w:footerReference w:type="default" r:id="rId44"/>
      <w:headerReference w:type="first" r:id="rId4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D497B8" w14:textId="77777777" w:rsidR="00231791" w:rsidRDefault="00231791">
      <w:r>
        <w:separator/>
      </w:r>
    </w:p>
  </w:endnote>
  <w:endnote w:type="continuationSeparator" w:id="0">
    <w:p w14:paraId="47BA07F7" w14:textId="77777777" w:rsidR="00231791" w:rsidRDefault="002317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BBBAB" w14:textId="77777777" w:rsidR="006B7A50" w:rsidRDefault="00000000">
    <w:pPr>
      <w:jc w:val="right"/>
    </w:pPr>
    <w:r>
      <w:rPr>
        <w:sz w:val="16"/>
        <w:szCs w:val="16"/>
      </w:rPr>
      <w:t xml:space="preserve">BSI.IT.23.C13 Design of System – Audit Workpaper (Sample Size 1)   |   Page </w:t>
    </w:r>
    <w:r>
      <w:rPr>
        <w:sz w:val="16"/>
        <w:szCs w:val="16"/>
      </w:rPr>
    </w:r>
    <w:r>
      <w:rPr>
        <w:sz w:val="16"/>
        <w:szCs w:val="16"/>
      </w:rPr>
    </w:r>
    <w:r>
      <w:rPr>
        <w:sz w:val="16"/>
        <w:szCs w:val="16"/>
      </w:rPr>
    </w:r>
    <w:r>
      <w:rPr>
        <w:sz w:val="16"/>
        <w:szCs w:val="16"/>
      </w:rP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E3039" w14:textId="77777777" w:rsidR="00231791" w:rsidRDefault="00231791">
      <w:r>
        <w:separator/>
      </w:r>
    </w:p>
  </w:footnote>
  <w:footnote w:type="continuationSeparator" w:id="0">
    <w:p w14:paraId="6FCA4178" w14:textId="77777777" w:rsidR="00231791" w:rsidRDefault="002317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EA44C" w14:textId="4A41D7B4" w:rsidR="00900C79" w:rsidRDefault="00900C79">
    <w:pPr>
      <w:pStyle w:val="Header"/>
    </w:pPr>
    <w:r>
      <w:rPr>
        <w:noProof/>
      </w:rPr>
      <mc:AlternateContent>
        <mc:Choice Requires="wps">
          <w:drawing>
            <wp:anchor distT="0" distB="0" distL="0" distR="0" simplePos="0" relativeHeight="251659264" behindDoc="0" locked="0" layoutInCell="1" allowOverlap="1" wp14:anchorId="5AFCED41" wp14:editId="66EF7CF4">
              <wp:simplePos x="635" y="635"/>
              <wp:positionH relativeFrom="page">
                <wp:align>left</wp:align>
              </wp:positionH>
              <wp:positionV relativeFrom="page">
                <wp:align>top</wp:align>
              </wp:positionV>
              <wp:extent cx="932180" cy="349885"/>
              <wp:effectExtent l="0" t="0" r="1270" b="12065"/>
              <wp:wrapNone/>
              <wp:docPr id="1548239718"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5AFCED41" id="_x0000_t202" coordsize="21600,21600" o:spt="202" path="m,l,21600r21600,l21600,xe">
              <v:stroke joinstyle="miter"/>
              <v:path gradientshapeok="t" o:connecttype="rect"/>
            </v:shapetype>
            <v:shape id="Text Box 2" o:spid="_x0000_s1026" type="#_x0000_t202" alt="Confidential" style="position:absolute;margin-left:0;margin-top:0;width:73.4pt;height:27.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" filled="f" stroked="f">
              <v:fill o:detectmouseclick="t"/>
              <v:textbox style="mso-fit-shape-to-text:t" inset="20pt,15pt,0,0">
                <w:txbxContent>
                  <w:p w14:paraId="2AFCE81E" w14:textId="43619A12"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6E631" w14:textId="7A798648" w:rsidR="006B7A50" w:rsidRDefault="00900C79">
    <w:r>
      <w:rPr>
        <w:noProof/>
        <w:sz w:val="18"/>
        <w:szCs w:val="18"/>
      </w:rPr>
      <mc:AlternateContent>
        <mc:Choice Requires="wps">
          <w:drawing>
            <wp:anchor distT="0" distB="0" distL="0" distR="0" simplePos="0" relativeHeight="251660288" behindDoc="0" locked="0" layoutInCell="1" allowOverlap="1" wp14:anchorId="23216AF3" wp14:editId="21679447">
              <wp:simplePos x="635" y="635"/>
              <wp:positionH relativeFrom="page">
                <wp:align>left</wp:align>
              </wp:positionH>
              <wp:positionV relativeFrom="page">
                <wp:align>top</wp:align>
              </wp:positionV>
              <wp:extent cx="932180" cy="349885"/>
              <wp:effectExtent l="0" t="0" r="1270" b="12065"/>
              <wp:wrapNone/>
              <wp:docPr id="1296081868"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3216AF3" id="_x0000_t202" coordsize="21600,21600" o:spt="202" path="m,l,21600r21600,l21600,xe">
              <v:stroke joinstyle="miter"/>
              <v:path gradientshapeok="t" o:connecttype="rect"/>
            </v:shapetype>
            <v:shape id="Text Box 3" o:spid="_x0000_s1027" type="#_x0000_t202" alt="Confidential" style="position:absolute;margin-left:0;margin-top:0;width:73.4pt;height:27.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" filled="f" stroked="f">
              <v:fill o:detectmouseclick="t"/>
              <v:textbox style="mso-fit-shape-to-text:t" inset="20pt,15pt,0,0">
                <w:txbxContent>
                  <w:p w14:paraId="6154611A" w14:textId="7D1DFEC1"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r>
      <w:rPr>
        <w:sz w:val="18"/>
        <w:szCs w:val="18"/>
      </w:rPr>
      <w:t>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0E4AF" w14:textId="119C6F57" w:rsidR="00900C79" w:rsidRDefault="00900C79">
    <w:pPr>
      <w:pStyle w:val="Header"/>
    </w:pPr>
    <w:r>
      <w:rPr>
        <w:noProof/>
      </w:rPr>
      <mc:AlternateContent>
        <mc:Choice Requires="wps">
          <w:drawing>
            <wp:anchor distT="0" distB="0" distL="0" distR="0" simplePos="0" relativeHeight="251658240" behindDoc="0" locked="0" layoutInCell="1" allowOverlap="1" wp14:anchorId="396807FD" wp14:editId="356445CA">
              <wp:simplePos x="635" y="635"/>
              <wp:positionH relativeFrom="page">
                <wp:align>left</wp:align>
              </wp:positionH>
              <wp:positionV relativeFrom="page">
                <wp:align>top</wp:align>
              </wp:positionV>
              <wp:extent cx="932180" cy="349885"/>
              <wp:effectExtent l="0" t="0" r="1270" b="12065"/>
              <wp:wrapNone/>
              <wp:docPr id="1800843996"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2180" cy="349885"/>
                      </a:xfrm>
                      <a:prstGeom prst="rect">
                        <a:avLst/>
                      </a:prstGeom>
                      <a:noFill/>
                      <a:ln>
                        <a:noFill/>
                      </a:ln>
                    </wps:spPr>
                    <wps:txbx>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96807FD" id="_x0000_t202" coordsize="21600,21600" o:spt="202" path="m,l,21600r21600,l21600,xe">
              <v:stroke joinstyle="miter"/>
              <v:path gradientshapeok="t" o:connecttype="rect"/>
            </v:shapetype>
            <v:shape id="Text Box 1" o:spid="_x0000_s1028" type="#_x0000_t202" alt="Confidential" style="position:absolute;margin-left:0;margin-top:0;width:73.4pt;height:27.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" filled="f" stroked="f">
              <v:fill o:detectmouseclick="t"/>
              <v:textbox style="mso-fit-shape-to-text:t" inset="20pt,15pt,0,0">
                <w:txbxContent>
                  <w:p w14:paraId="1AE31E1D" w14:textId="160706FE" w:rsidR="00900C79" w:rsidRPr="00900C79" w:rsidRDefault="00900C79" w:rsidP="00900C79">
                    <w:pPr>
                      <w:rPr>
                        <w:rFonts w:ascii="Aptos" w:eastAsia="Aptos" w:hAnsi="Aptos" w:cs="Aptos"/>
                        <w:noProof/>
                        <w:color w:val="000000"/>
                      </w:rPr>
                    </w:pPr>
                    <w:r w:rsidRPr="00900C79">
                      <w:rPr>
                        <w:rFonts w:ascii="Aptos" w:eastAsia="Aptos" w:hAnsi="Aptos" w:cs="Aptos"/>
                        <w:noProof/>
                        <w:color w:val="000000"/>
                      </w:rPr>
                      <w:t>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E3AE6"/>
    <w:multiLevelType w:val="hybridMultilevel"/>
    <w:tmpl w:val="32461E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4120E9"/>
    <w:multiLevelType w:val="hybridMultilevel"/>
    <w:tmpl w:val="17628842"/>
    <w:lvl w:ilvl="0" w:tplc="CF6A96F0">
      <w:start w:val="1"/>
      <w:numFmt w:val="bullet"/>
      <w:lvlText w:val="●"/>
      <w:lvlJc w:val="left"/>
      <w:pPr>
        <w:ind w:left="720" w:hanging="360"/>
      </w:pPr>
    </w:lvl>
    <w:lvl w:ilvl="1" w:tplc="17E4D888">
      <w:start w:val="1"/>
      <w:numFmt w:val="bullet"/>
      <w:lvlText w:val="○"/>
      <w:lvlJc w:val="left"/>
      <w:pPr>
        <w:ind w:left="1440" w:hanging="360"/>
      </w:pPr>
    </w:lvl>
    <w:lvl w:ilvl="2" w:tplc="985437B8">
      <w:start w:val="1"/>
      <w:numFmt w:val="bullet"/>
      <w:lvlText w:val="■"/>
      <w:lvlJc w:val="left"/>
      <w:pPr>
        <w:ind w:left="2160" w:hanging="360"/>
      </w:pPr>
    </w:lvl>
    <w:lvl w:ilvl="3" w:tplc="FC2A62BA">
      <w:start w:val="1"/>
      <w:numFmt w:val="bullet"/>
      <w:lvlText w:val="●"/>
      <w:lvlJc w:val="left"/>
      <w:pPr>
        <w:ind w:left="2880" w:hanging="360"/>
      </w:pPr>
    </w:lvl>
    <w:lvl w:ilvl="4" w:tplc="DA429548">
      <w:start w:val="1"/>
      <w:numFmt w:val="bullet"/>
      <w:lvlText w:val="○"/>
      <w:lvlJc w:val="left"/>
      <w:pPr>
        <w:ind w:left="3600" w:hanging="360"/>
      </w:pPr>
    </w:lvl>
    <w:lvl w:ilvl="5" w:tplc="862E2060">
      <w:start w:val="1"/>
      <w:numFmt w:val="bullet"/>
      <w:lvlText w:val="■"/>
      <w:lvlJc w:val="left"/>
      <w:pPr>
        <w:ind w:left="4320" w:hanging="360"/>
      </w:pPr>
    </w:lvl>
    <w:lvl w:ilvl="6" w:tplc="7168003C">
      <w:start w:val="1"/>
      <w:numFmt w:val="bullet"/>
      <w:lvlText w:val="●"/>
      <w:lvlJc w:val="left"/>
      <w:pPr>
        <w:ind w:left="5040" w:hanging="360"/>
      </w:pPr>
    </w:lvl>
    <w:lvl w:ilvl="7" w:tplc="3C9A38D8">
      <w:start w:val="1"/>
      <w:numFmt w:val="bullet"/>
      <w:lvlText w:val="●"/>
      <w:lvlJc w:val="left"/>
      <w:pPr>
        <w:ind w:left="5760" w:hanging="360"/>
      </w:pPr>
    </w:lvl>
    <w:lvl w:ilvl="8" w:tplc="3EC0C3FE">
      <w:start w:val="1"/>
      <w:numFmt w:val="bullet"/>
      <w:lvlText w:val="●"/>
      <w:lvlJc w:val="left"/>
      <w:pPr>
        <w:ind w:left="6480" w:hanging="360"/>
      </w:pPr>
    </w:lvl>
  </w:abstractNum>
  <w:abstractNum w:abstractNumId="2" w15:restartNumberingAfterBreak="0">
    <w:nsid w:val="33EC1E7F"/>
    <w:multiLevelType w:val="hybridMultilevel"/>
    <w:tmpl w:val="5FD04BE4"/>
    <w:lvl w:ilvl="0" w:tplc="F4527B36">
      <w:start w:val="1"/>
      <w:numFmt w:val="decimal"/>
      <w:lvlText w:val="%1."/>
      <w:lvlJc w:val="left"/>
      <w:pPr>
        <w:ind w:left="720" w:hanging="360"/>
      </w:pPr>
    </w:lvl>
    <w:lvl w:ilvl="1" w:tplc="4EF6BB0A">
      <w:numFmt w:val="decimal"/>
      <w:lvlText w:val=""/>
      <w:lvlJc w:val="left"/>
    </w:lvl>
    <w:lvl w:ilvl="2" w:tplc="15E68DF2">
      <w:numFmt w:val="decimal"/>
      <w:lvlText w:val=""/>
      <w:lvlJc w:val="left"/>
    </w:lvl>
    <w:lvl w:ilvl="3" w:tplc="0B007F8E">
      <w:numFmt w:val="decimal"/>
      <w:lvlText w:val=""/>
      <w:lvlJc w:val="left"/>
    </w:lvl>
    <w:lvl w:ilvl="4" w:tplc="C93EEC6E">
      <w:numFmt w:val="decimal"/>
      <w:lvlText w:val=""/>
      <w:lvlJc w:val="left"/>
    </w:lvl>
    <w:lvl w:ilvl="5" w:tplc="C6EE3762">
      <w:numFmt w:val="decimal"/>
      <w:lvlText w:val=""/>
      <w:lvlJc w:val="left"/>
    </w:lvl>
    <w:lvl w:ilvl="6" w:tplc="F85C6FDC">
      <w:numFmt w:val="decimal"/>
      <w:lvlText w:val=""/>
      <w:lvlJc w:val="left"/>
    </w:lvl>
    <w:lvl w:ilvl="7" w:tplc="B5B69184">
      <w:numFmt w:val="decimal"/>
      <w:lvlText w:val=""/>
      <w:lvlJc w:val="left"/>
    </w:lvl>
    <w:lvl w:ilvl="8" w:tplc="D9648A4E">
      <w:numFmt w:val="decimal"/>
      <w:lvlText w:val=""/>
      <w:lvlJc w:val="left"/>
    </w:lvl>
  </w:abstractNum>
  <w:abstractNum w:abstractNumId="3" w15:restartNumberingAfterBreak="0">
    <w:nsid w:val="4C68795C"/>
    <w:multiLevelType w:val="hybridMultilevel"/>
    <w:tmpl w:val="1F1A7FDA"/>
    <w:lvl w:ilvl="0" w:tplc="5F2EF60E">
      <w:start w:val="1"/>
      <w:numFmt w:val="bullet"/>
      <w:lvlText w:val="•"/>
      <w:lvlJc w:val="left"/>
      <w:pPr>
        <w:ind w:left="720" w:hanging="360"/>
      </w:pPr>
    </w:lvl>
    <w:lvl w:ilvl="1" w:tplc="0D060288">
      <w:start w:val="1"/>
      <w:numFmt w:val="bullet"/>
      <w:lvlText w:val="o"/>
      <w:lvlJc w:val="left"/>
      <w:pPr>
        <w:ind w:left="1440" w:hanging="360"/>
      </w:pPr>
    </w:lvl>
    <w:lvl w:ilvl="2" w:tplc="861453C8">
      <w:numFmt w:val="decimal"/>
      <w:lvlText w:val=""/>
      <w:lvlJc w:val="left"/>
    </w:lvl>
    <w:lvl w:ilvl="3" w:tplc="7B144212">
      <w:numFmt w:val="decimal"/>
      <w:lvlText w:val=""/>
      <w:lvlJc w:val="left"/>
    </w:lvl>
    <w:lvl w:ilvl="4" w:tplc="167281DE">
      <w:numFmt w:val="decimal"/>
      <w:lvlText w:val=""/>
      <w:lvlJc w:val="left"/>
    </w:lvl>
    <w:lvl w:ilvl="5" w:tplc="B9300B24">
      <w:numFmt w:val="decimal"/>
      <w:lvlText w:val=""/>
      <w:lvlJc w:val="left"/>
    </w:lvl>
    <w:lvl w:ilvl="6" w:tplc="AE36001C">
      <w:numFmt w:val="decimal"/>
      <w:lvlText w:val=""/>
      <w:lvlJc w:val="left"/>
    </w:lvl>
    <w:lvl w:ilvl="7" w:tplc="AA725688">
      <w:numFmt w:val="decimal"/>
      <w:lvlText w:val=""/>
      <w:lvlJc w:val="left"/>
    </w:lvl>
    <w:lvl w:ilvl="8" w:tplc="254AEB90">
      <w:numFmt w:val="decimal"/>
      <w:lvlText w:val=""/>
      <w:lvlJc w:val="left"/>
    </w:lvl>
  </w:abstractNum>
  <w:num w:numId="1" w16cid:durableId="738596301">
    <w:abstractNumId w:val="1"/>
    <w:lvlOverride w:ilvl="0">
      <w:startOverride w:val="1"/>
    </w:lvlOverride>
  </w:num>
  <w:num w:numId="2" w16cid:durableId="293873228">
    <w:abstractNumId w:val="3"/>
    <w:lvlOverride w:ilvl="0">
      <w:startOverride w:val="1"/>
    </w:lvlOverride>
  </w:num>
  <w:num w:numId="3" w16cid:durableId="209924241">
    <w:abstractNumId w:val="2"/>
    <w:lvlOverride w:ilvl="0">
      <w:startOverride w:val="1"/>
    </w:lvlOverride>
  </w:num>
  <w:num w:numId="4" w16cid:durableId="318505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A50"/>
    <w:rsid w:val="00231791"/>
    <w:rsid w:val="00314794"/>
    <w:rsid w:val="006B7A50"/>
    <w:rsid w:val="00900C79"/>
    <w:rsid w:val="00A27FDA"/>
    <w:rsid w:val="00CE1ECD"/>
    <w:rsid w:val="00E070AD"/>
    <w:rsid w:val="00E91688"/>
    <w:rsid w:val="00F31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1D276"/>
  <w15:docId w15:val="{FAB471D3-8A20-4401-8868-EE4827CBA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E91688"/>
    <w:rPr>
      <w:b/>
      <w:bCs/>
    </w:rPr>
  </w:style>
  <w:style w:type="character" w:styleId="UnresolvedMention">
    <w:name w:val="Unresolved Mention"/>
    <w:basedOn w:val="DefaultParagraphFont"/>
    <w:uiPriority w:val="99"/>
    <w:semiHidden/>
    <w:unhideWhenUsed/>
    <w:rsid w:val="00E91688"/>
    <w:rPr>
      <w:color w:val="605E5C"/>
      <w:shd w:val="clear" w:color="auto" w:fill="E1DFDD"/>
    </w:rPr>
  </w:style>
  <w:style w:type="paragraph" w:styleId="Header">
    <w:name w:val="header"/>
    <w:basedOn w:val="Normal"/>
    <w:link w:val="HeaderChar"/>
    <w:uiPriority w:val="99"/>
    <w:unhideWhenUsed/>
    <w:rsid w:val="00900C79"/>
    <w:pPr>
      <w:tabs>
        <w:tab w:val="center" w:pos="4680"/>
        <w:tab w:val="right" w:pos="9360"/>
      </w:tabs>
    </w:pPr>
  </w:style>
  <w:style w:type="character" w:customStyle="1" w:styleId="HeaderChar">
    <w:name w:val="Header Char"/>
    <w:basedOn w:val="DefaultParagraphFont"/>
    <w:link w:val="Header"/>
    <w:uiPriority w:val="99"/>
    <w:rsid w:val="00900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9" Type="http://schemas.openxmlformats.org/officeDocument/2006/relationships/hyperlink" Target="file:///C:\Users\x972485\Downloads\Evidence\BSI.IT.23.C1.11%20-%20NDF%20R02%20-%20BRD%20Sponsor%20Sign-off%20email%2012-02-2025%20(extracted%20from%20C1.10).msg" TargetMode="External"/><Relationship Id="rId2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4" Type="http://schemas.openxmlformats.org/officeDocument/2006/relationships/hyperlink" Target="file:///C:\Users\x972485\Downloads\Evidence\BSI.IT.23.C1.06%20-%20Security%20Lending%20R02%20-%20Sponsor%20Approval%20email%2004-29-2026%20(extracted%20from%20C1.05).msg" TargetMode="External"/><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 Type="http://schemas.openxmlformats.org/officeDocument/2006/relationships/styles" Target="styles.xml"/><Relationship Id="rId16"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9" Type="http://schemas.openxmlformats.org/officeDocument/2006/relationships/hyperlink" Target="file:///C:\Users\x972485\Downloads\Evidence\BSI.IT.23.C1.01%20-%202026%20PM_Systems%20Development%20Life%20Cycle%20(BSI)_v1.pdf"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2" Type="http://schemas.openxmlformats.org/officeDocument/2006/relationships/hyperlink" Target="file:///C:\Users\x972485\Downloads\Evidence\BSI.IT.23.C1.04%20-%20Security%20Lending%20R01%20-%20Sponsor%20Approval%20email%2002-06-2026%20(extracted%20from%20C1.03).msg" TargetMode="External"/><Relationship Id="rId37" Type="http://schemas.openxmlformats.org/officeDocument/2006/relationships/hyperlink" Target="file:///C:\Users\x972485\Downloads\Evidence\BSI.IT.23.C1.09%20-%20NDF%20R01%20-%20Delivery%20Hub%20Gate%204%20(PTB)%20approval%2011-04-2025.pdf" TargetMode="External"/><Relationship Id="rId40" Type="http://schemas.openxmlformats.org/officeDocument/2006/relationships/hyperlink" Target="file:///C:\Users\x972485\Downloads\Evidence\BSI.IT.23.C1.12%20-%20NDF%20R02%20-%20Delivery%20Hub%20Gate%204%20(PTB)%20approval%2003-10-2026.pdf"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23"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2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6" Type="http://schemas.openxmlformats.org/officeDocument/2006/relationships/hyperlink" Target="file:///C:\Users\x972485\Downloads\Evidence\BSI.IT.23.C1.08%20-%20NDF%20R01%20-%20BRD%20Sponsor%20Sign-off%20email%2010-23-2025%20(extracted%20from%20C1.07).msg" TargetMode="External"/><Relationship Id="rId1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1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31" Type="http://schemas.openxmlformats.org/officeDocument/2006/relationships/hyperlink" Target="file:///C:\Users\x972485\Downloads\Evidence\BSI.IT.23.C1.03%20-%20Security%20Lending%20R01%20-%203263%20SECLENDING%20Business%20Requirements%20Document%20FINAL.docx" TargetMode="External"/><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14"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1%20SDLC%20Std%202026.pdf" TargetMode="External"/><Relationship Id="rId2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0" Type="http://schemas.openxmlformats.org/officeDocument/2006/relationships/hyperlink" Target="file:///C:\Users\x972485\Downloads\Evidence\BSI.IT.23.C1.02%20-%20SDLC%20Project%20List%20(population).xlsx" TargetMode="External"/><Relationship Id="rId35" Type="http://schemas.openxmlformats.org/officeDocument/2006/relationships/hyperlink" Target="file:///C:\Users\x972485\Downloads\Evidence\BSI.IT.23.C1.07%20-%20NDF%20R01%20-%20DH%203264%20Business%20Requirements%20Document_final.docx" TargetMode="External"/><Relationship Id="rId43" Type="http://schemas.openxmlformats.org/officeDocument/2006/relationships/header" Target="header2.xml"/><Relationship Id="rId8"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3" Type="http://schemas.openxmlformats.org/officeDocument/2006/relationships/settings" Target="settings.xml"/><Relationship Id="rId12"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9%20-%20NDF%20R01%20-%20Delivery%20Hub%20Gate%204%20(PTB)%20approval%2011-04-2025.pdf" TargetMode="External"/><Relationship Id="rId17"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25"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12%20-%20NDF%20R02%20-%20Delivery%20Hub%20Gate%204%20(PTB)%20approval%2003-10-2026.pdf" TargetMode="External"/><Relationship Id="rId33" Type="http://schemas.openxmlformats.org/officeDocument/2006/relationships/hyperlink" Target="file:///C:\Users\x972485\Downloads\Evidence\BSI.IT.23.C1.05%20-%20Security%20Lending%20R02%20-%203263%20Business%20Requirements%20FINAL.docx" TargetMode="External"/><Relationship Id="rId38" Type="http://schemas.openxmlformats.org/officeDocument/2006/relationships/hyperlink" Target="file:///C:\Users\x972485\Downloads\Evidence\BSI.IT.23.C1.10%20-%20NDF%20R02%20-%20DH%203264%20RL2%20Business%20Requirements%20Document_final.docx" TargetMode="External"/><Relationship Id="rId46" Type="http://schemas.openxmlformats.org/officeDocument/2006/relationships/fontTable" Target="fontTable.xml"/><Relationship Id="rId20" Type="http://schemas.openxmlformats.org/officeDocument/2006/relationships/hyperlink" Target="https://santandernet.sharepoint.com/sites/SGRCRCSAPRO/Shared%20Documents/RCSA%20TECH/RCSA/Final%20Test%20Work/2026/2.2.10.SystemsDevelopmentLifeCycle(SDLC)/Banco%20Santander%20Intl%20(BSI%20-Miami)/Cycle%202/BSI.IT.23.C1%20Business%20Requirement/BSI.IT.23.C1.02.%20RE_%20RCSA%20Testing%20-%20BSI%20SDLC%20_%20List%20of%20SDLC%20Projects.msg" TargetMode="External"/><Relationship Id="rId41" Type="http://schemas.openxmlformats.org/officeDocument/2006/relationships/hyperlink" Target="file:///C:\Users\x972485\Downloads\WP%202026%20BSI.IT.23.C1%20Business%20Requirement.xls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4972</Words>
  <Characters>28342</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BSI.IT.23.C1 Business Requirement – Testing Procedures</vt:lpstr>
    </vt:vector>
  </TitlesOfParts>
  <Company>Santander Bank, NA</Company>
  <LinksUpToDate>false</LinksUpToDate>
  <CharactersWithSpaces>33248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BSI.IT.23.C25 Implement &amp; Deployment – Testing Procedures</dc:title>
  <dc:creator>IT RCSA</dc:creator>
  <cp:lastModifiedBy>Edward Morfa</cp:lastModifiedBy>
  <cp:revision>2</cp:revision>
  <dcterms:created xsi:type="dcterms:W3CDTF">2026-10-26T19:20:00Z</dcterms:created>
  <dcterms:modified xsi:type="dcterms:W3CDTF">2026-10-26T19:20:00Z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6b56b2dc,5c484366,4d40a3cc</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2026-10-26T19:04:38Z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97dcf130-ea6a-4fbf-89e6-c073656b0c9f</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