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BSI.IT.23.C4 – Segregated Environments (Heracles ID 50541463) – Control Design Assessment (CDA)</w:t>
      </w:r>
    </w:p>
    <w:p>
      <w:r>
        <w:rPr>
          <w:sz w:val="18"/>
        </w:rPr>
        <w:t>Control type: Key, Hybrid (Heracles: Semi-Automated), Preventative, Annual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Software Development and QA teams develop and test code in non-production environments. Exceptions must be approved by Information Security.</w:t>
      </w:r>
    </w:p>
    <w:p>
      <w:r>
        <w:rPr>
          <w:b/>
          <w:sz w:val="18"/>
        </w:rPr>
        <w:t xml:space="preserve">Risk: </w:t>
      </w:r>
      <w:r>
        <w:rPr>
          <w:sz w:val="18"/>
        </w:rPr>
        <w:t>[BSI.IT.23.R3 Inadequately Configured Sys] Inappropriate data disclosures caused by the production version into the IT environment resulting in production issues, business disruptions and regulatory non-compliance. (Inherent risk: Moderate)</w:t>
      </w:r>
    </w:p>
    <w:p>
      <w:r>
        <w:rPr>
          <w:i/>
        </w:rPr>
        <w:t>How to use this document: it answers the design questions 1 – 10 (RCSA CDA Job Aid). Under each answer, "Reference Folders Reviewed" names the folder to open and the files to look at. The process map and population are in CDA\Process Map and Population; the sample evidence quoted in the answers is in CPA\S1 Security Lending and CPA\S2 NDF. The detailed walkthrough is in "C4 Design Walkthrough Sample of 1.docx" (this folder).</w:t>
      </w:r>
    </w:p>
    <w:p>
      <w:r>
        <w:rPr>
          <w:b/>
        </w:rPr>
        <w:t>Test of Design</w:t>
      </w:r>
    </w:p>
    <w:p>
      <w:r>
        <w:rPr>
          <w:b/>
        </w:rPr>
        <w:t>Process understanding</w:t>
      </w:r>
    </w:p>
    <w:p>
      <w:r>
        <w:t>No 2026 walkthrough meeting was held; the control was last assessed Satisfactory on 11/19/2025 (2025 RCM). The design understanding is based on the 2026 SDLC process map (v2.0 Draft, 05/20/2026 – C4 in the Build / deployment steps, linked to R3) and the "BSI.IT.23.C4 – Segregated Environments" evidence received on 10/30/2026. Segregation is system-enforced: T24 production runs on server miasx1 (IP 180.201.151.152, environment ENVmiaprd / MIAPRD), while development and QA use separate servers and environments (e.g. miasx4, IP 180.201.1.156, ENVmiaaft28 / MIAAFT28). Developers build and test in non-production; releases are promoted to production only through ServiceNow release / change tickets after testing. Exceptions (development or testing in production) must be approved by Information Security.</w:t>
      </w:r>
    </w:p>
    <w:p>
      <w:r>
        <w:t>Note: per the RCSA Testing Procedure (§4.3) a 2026 walkthrough with the control owner and the T24 team is required (OBS-01).</w:t>
      </w:r>
    </w:p>
    <w:p>
      <w:r>
        <w:rPr>
          <w:b/>
        </w:rPr>
        <w:t>1. Is the control designed with an appropriate frequency or trigger?</w:t>
      </w:r>
    </w:p>
    <w:p>
      <w:r>
        <w:rPr>
          <w:b/>
        </w:rPr>
        <w:t xml:space="preserve">Yes. </w:t>
      </w:r>
      <w:r>
        <w:t>Segregation is continuously enforced by separate infrastructure and confirmed annually (Heracles frequency "Annual"), while the development / testing activity occurs for every release; the timing is appropriate to prevent untested code or development activity in production. The Test Plan 2026 proposed statement uses "In every operation" – align the frequency (OBS-09).</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BSI.IT.23.C4.01 - 2026 SDLC Process Map</w:t>
      </w:r>
    </w:p>
    <w:p/>
    <w:p>
      <w:r>
        <w:rPr>
          <w:b/>
        </w:rPr>
        <w:t>2. Is there a defined audit trail/evidence which supports the execution of the control being performed?</w:t>
      </w:r>
    </w:p>
    <w:p>
      <w:r>
        <w:rPr>
          <w:b/>
        </w:rPr>
        <w:t xml:space="preserve">Yes. </w:t>
      </w:r>
      <w:r>
        <w:t>Environment configuration evidence (DNS, server, T24 environment, data per environment – C4.03 / C4.08) and the release tickets recording testing before deployment (C4.04 – C4.07) support execution. No register of InfoSec-approved exceptions was provided (OBS-14, OBS-16).</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BSI.IT.23.C4.03 - Security Lending Segregated Environments; BSI.IT.23.C4.06 - Security Lending R01 ticket RLSE1271544; BSI.IT.23.C4.07 - Security Lending R02 ticket RLSE1370716</w:t>
      </w:r>
    </w:p>
    <w:p>
      <w:pPr>
        <w:pStyle w:val="ListParagraph"/>
        <w:numPr>
          <w:ilvl w:val="0"/>
          <w:numId w:val="2"/>
        </w:numPr>
        <w:spacing w:after="60"/>
      </w:pPr>
      <w:r>
        <w:rPr>
          <w:b/>
        </w:rPr>
        <w:t xml:space="preserve">Sample 2 Evidence – Derivatives NDF – folder CPA\S2 NDF: </w:t>
      </w:r>
      <w:r>
        <w:t>BSI.IT.23.C4.04 - NDF R01 ticket RLSE1270306; BSI.IT.23.C4.05 - NDF R02 ticket RLSE1329424; BSI.IT.23.C4.08 - NDF Segregated Environments</w:t>
      </w:r>
    </w:p>
    <w:p/>
    <w:p>
      <w:r>
        <w:rPr>
          <w:b/>
        </w:rPr>
        <w:t>3. Is the control aligned with internal policies and/or applicable regulations?</w:t>
      </w:r>
    </w:p>
    <w:p>
      <w:r>
        <w:rPr>
          <w:b/>
        </w:rPr>
        <w:t xml:space="preserve">Yes. </w:t>
      </w:r>
      <w:r>
        <w:t>The control is aligned with the 2026 SDLC process map (C4.01) and the US SDLC / secure development requirements for separate development, test and production environments.</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BSI.IT.23.C4.01 - 2026 SDLC Process Map</w:t>
      </w:r>
    </w:p>
    <w:p/>
    <w:p>
      <w:r>
        <w:rPr>
          <w:b/>
        </w:rPr>
        <w:t>4. Are the thresholds for execution/resolution appropriate?</w:t>
      </w:r>
    </w:p>
    <w:p>
      <w:r>
        <w:rPr>
          <w:b/>
        </w:rPr>
        <w:t xml:space="preserve">Not applicable. </w:t>
      </w:r>
      <w:r>
        <w:t>No threshold is associated with this control; it applies to all development and testing. (Question required only for SMC controls.)</w:t>
      </w:r>
    </w:p>
    <w:p/>
    <w:p>
      <w:r>
        <w:rPr>
          <w:b/>
        </w:rPr>
        <w:t>5. To what level is the issue escalation process defined and implemented?</w:t>
      </w:r>
    </w:p>
    <w:p>
      <w:r>
        <w:rPr>
          <w:b/>
        </w:rPr>
        <w:t xml:space="preserve">Partial. </w:t>
      </w:r>
      <w:r>
        <w:t>Exceptions must be approved by Information Security, but no exception process evidence, register or approval example was provided, and the statement does not define who monitors for development / testing in production or how exceptions are escalated (OBS-09).</w:t>
      </w:r>
    </w:p>
    <w:p/>
    <w:p>
      <w:r>
        <w:rPr>
          <w:b/>
        </w:rPr>
        <w:t>6. How reliable is the information which the control is dependent upon?</w:t>
      </w:r>
    </w:p>
    <w:p>
      <w:r>
        <w:rPr>
          <w:b/>
        </w:rPr>
        <w:t xml:space="preserve">Moderately Reliable. </w:t>
      </w:r>
      <w:r>
        <w:t>Server and environment information is system-generated (DNS, T24 login), but it was captured in manual, undated screenshots.</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BSI.IT.23.C4.03 - Security Lending Segregated Environments</w:t>
      </w:r>
    </w:p>
    <w:p>
      <w:pPr>
        <w:pStyle w:val="ListParagraph"/>
        <w:numPr>
          <w:ilvl w:val="0"/>
          <w:numId w:val="2"/>
        </w:numPr>
        <w:spacing w:after="60"/>
      </w:pPr>
      <w:r>
        <w:rPr>
          <w:b/>
        </w:rPr>
        <w:t xml:space="preserve">Sample 2 Evidence – Derivatives NDF – folder CPA\S2 NDF: </w:t>
      </w:r>
      <w:r>
        <w:t>BSI.IT.23.C4.08 - NDF Segregated Environments</w:t>
      </w:r>
    </w:p>
    <w:p/>
    <w:p>
      <w:r>
        <w:rPr>
          <w:b/>
        </w:rPr>
        <w:t>7. Is the process to obtain evidence of the control execution simple?</w:t>
      </w:r>
    </w:p>
    <w:p>
      <w:r>
        <w:rPr>
          <w:b/>
        </w:rPr>
        <w:t xml:space="preserve">Yes. </w:t>
      </w:r>
      <w:r>
        <w:t>Environment screenshots can be produced by the T24 team on request.</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BSI.IT.23.C4.03 - Security Lending Segregated Environments</w:t>
      </w:r>
    </w:p>
    <w:p>
      <w:pPr>
        <w:pStyle w:val="ListParagraph"/>
        <w:numPr>
          <w:ilvl w:val="0"/>
          <w:numId w:val="2"/>
        </w:numPr>
        <w:spacing w:after="60"/>
      </w:pPr>
      <w:r>
        <w:rPr>
          <w:b/>
        </w:rPr>
        <w:t xml:space="preserve">Sample 2 Evidence – Derivatives NDF – folder CPA\S2 NDF: </w:t>
      </w:r>
      <w:r>
        <w:t>BSI.IT.23.C4.08 - NDF Segregated Environments</w:t>
      </w:r>
    </w:p>
    <w:p/>
    <w:p>
      <w:r>
        <w:rPr>
          <w:b/>
        </w:rPr>
        <w:t>8. Walkthrough / Test of One Summary (EASE – CDA Job Aid §4.1)</w:t>
      </w:r>
    </w:p>
    <w:p>
      <w:r>
        <w:t>On 10/30/2026, Edward (IT RCSA) performed the CDA Walkthrough / Test of One for BSI.IT.23.C4 Segregated Environments through inspection of Sample 1 ALCO – Security Lending (DH 3263) and Sample 2 Derivatives Non-Deliverable Forwards – NDF (DH 3264), the two projects provided in the evidence folder and selected from the Delivery Hub SDLC Project List for 09/01/2025 – 08/31/2026. No 2026 walkthrough meeting was held; the control was last assessed Satisfactory on 11/19/2025.</w:t>
      </w:r>
    </w:p>
    <w:p>
      <w:r>
        <w:t>The control is enforced by the infrastructure (separate production and non-production servers and environments) and performed by the T24 / Appian Development and QA teams, who develop and test in non-production before promotion through ServiceNow change; exceptions require Information Security approval. Heracles frequency: Annual.</w:t>
      </w:r>
    </w:p>
    <w:p>
      <w:r>
        <w:t>Sample 1 – Security Lending: the tester reviewed the environment evidence in the Security Lending folder – T24 production miasx1 / ENVmiaprd versus non-production miasx4 / ENVmiaaft28 (C4.03) – and the release tickets: R02 T24 SIT / UAT before production; R01 Appian DEV unit test and UAT before production (C4.06, C4.07). Appian environments were not evidenced (OBS-14, OBS-16).</w:t>
      </w:r>
    </w:p>
    <w:p>
      <w:r>
        <w:t>Sample 2 – NDF: the tester reviewed the same environment evidence in the NDF folder (identical file): NDF test deals dated 11/2025 in MIAAFT28 before R01 production, live deals in MIAPRD, and SIT / UAT before both releases (C4.08, C4.04, C4.05).</w:t>
      </w:r>
    </w:p>
    <w:p>
      <w:r>
        <w:t>The evidence demonstrates that T24 development and testing are performed in a segregated environment; it is retained by the T24 team and in ServiceNow. When development or testing in production is required, Information Security approval is required – no exception register was provided (OBS-14, OBS-16).</w:t>
      </w:r>
    </w:p>
    <w:p>
      <w:r>
        <w:t>Based on the walkthrough and evidence reviewed, design observation OBS-09 (statement lacks who / when / evidence; exception process partially defined) and open items OBS-12 to OBS-16 (shared MIASANG login; production-data copy in MIAAFT28) were identified. The control is appropriately designed for T24 to mitigate BSI.IT.23.R3 because segregation is system-enforced; the data-disclosure aspect depends on OBS-12 / OBS-13.</w:t>
      </w:r>
    </w:p>
    <w:p/>
    <w:p>
      <w:r>
        <w:rPr>
          <w:b/>
        </w:rPr>
        <w:t>9. Competency of Control Owner / Performer (EASE – CDA Job Aid §4.4)</w:t>
      </w:r>
    </w:p>
    <w:p>
      <w:r>
        <w:t>Competency could not be fully assessed: no 2026 walkthrough was held and the environment evidence does not identify who administers the environments or approves exceptions. The T24 team demonstrated, through the environment evidence, knowledge of the production and non-production servers and environments. To be assessed in the 2026 walkthrough with the Control Owner (Jose Luis Martinez Avial), the T24 team and Information Security (exception approval authority).</w:t>
      </w:r>
    </w:p>
    <w:p/>
    <w:p>
      <w:r>
        <w:rPr>
          <w:b/>
        </w:rPr>
        <w:t>10. Overall CDA Comment – Overall Control Design Assessment Rating (EASE Q10 – CDA Job Aid §4.6)</w:t>
      </w:r>
    </w:p>
    <w:p>
      <w:r>
        <w:t>The control is appropriately designed to mitigate BSI.IT.23.R3 Inadequately Configured Sys for T24. The frequency (Annual confirmation of continuously enforced segregation) is appropriate because the environments are separated by infrastructure; the activity occurs for every release (OBS-09). Execution is evidenced by the environment configuration evidence and the release tickets retained by the T24 team and ServiceNow, and the evidence process is clear and practical. The control is aligned with the SDLC process map and secure development requirements. No threshold is directly associated with this control. Escalation is partially defined and implemented (no exception process evidenced). The information used is moderately reliable because system data was captured in manual, undated screenshots. The control nature of Hybrid is appropriate because the infrastructure enforces the segregation, after which exceptions are manually approved by Information Security. Based on the walkthrough and evidence for both samples, the design rating is Satisfactory, to be confirmed with the reviewer given the Partial escalation answer and OBS-12 / OBS-13.</w:t>
      </w:r>
    </w:p>
    <w:p>
      <w:r>
        <w:rPr>
          <w:b/>
        </w:rPr>
        <w:t xml:space="preserve">Overall Rating: </w:t>
      </w:r>
      <w:r>
        <w:t>Satisfactory – to be confirmed with the reviewer given the Partial escalation answer. Hybrid control – per §4.3.5 the rating cannot exceed Satisfactory.</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BSI.IT.23.C4.01 - 2026 SDLC Process Map</w:t>
      </w:r>
    </w:p>
    <w:p>
      <w:pPr>
        <w:pStyle w:val="ListParagraph"/>
        <w:numPr>
          <w:ilvl w:val="0"/>
          <w:numId w:val="2"/>
        </w:numPr>
        <w:spacing w:after="60"/>
      </w:pPr>
      <w:r>
        <w:rPr>
          <w:b/>
        </w:rPr>
        <w:t xml:space="preserve">Sample 1 Evidence – ALCO Security Lending – folder CPA\S1 Security Lending: </w:t>
      </w:r>
      <w:r>
        <w:t>BSI.IT.23.C4.03 - Security Lending Segregated Environments; BSI.IT.23.C4.06 - Security Lending R01 ticket RLSE1271544; BSI.IT.23.C4.07 - Security Lending R02 ticket RLSE1370716</w:t>
      </w:r>
    </w:p>
    <w:p>
      <w:pPr>
        <w:pStyle w:val="ListParagraph"/>
        <w:numPr>
          <w:ilvl w:val="0"/>
          <w:numId w:val="2"/>
        </w:numPr>
        <w:spacing w:after="60"/>
      </w:pPr>
      <w:r>
        <w:rPr>
          <w:b/>
        </w:rPr>
        <w:t xml:space="preserve">Sample 2 Evidence – Derivatives NDF – folder CPA\S2 NDF: </w:t>
      </w:r>
      <w:r>
        <w:t>BSI.IT.23.C4.04 - NDF R01 ticket RLSE1270306; BSI.IT.23.C4.05 - NDF R02 ticket RLSE1329424; BSI.IT.23.C4.08 - NDF Segregated Environments</w:t>
      </w:r>
    </w:p>
    <w:p/>
    <w:p/>
    <w:p>
      <w:r>
        <w:rPr>
          <w:b/>
        </w:rPr>
        <w:t>Evidence references – where to find each file</w:t>
      </w:r>
    </w:p>
    <w:p>
      <w:r>
        <w:t>All files for this control are inside the folder "C4 Segregated Env". Open the sub-folder shown, then the file with the reference number quoted in the text.</w:t>
      </w:r>
    </w:p>
    <w:p>
      <w:r>
        <w:rPr>
          <w:b/>
        </w:rPr>
        <w:t>Population &amp; Process Map – folder CDA\Process Map and Population</w:t>
      </w:r>
    </w:p>
    <w:p>
      <w:pPr>
        <w:pStyle w:val="ListParagraph"/>
        <w:numPr>
          <w:ilvl w:val="0"/>
          <w:numId w:val="2"/>
        </w:numPr>
        <w:spacing w:after="60"/>
      </w:pPr>
      <w:r>
        <w:t>BSI.IT.23.C4.01 - 2026 SDLC Process Map.pdf</w:t>
      </w:r>
    </w:p>
    <w:p>
      <w:pPr>
        <w:pStyle w:val="ListParagraph"/>
        <w:numPr>
          <w:ilvl w:val="0"/>
          <w:numId w:val="2"/>
        </w:numPr>
        <w:spacing w:after="60"/>
      </w:pPr>
      <w:r>
        <w:t>BSI.IT.23.C4.02 - SDLC Project List (population).xlsx</w:t>
      </w:r>
    </w:p>
    <w:p>
      <w:r>
        <w:rPr>
          <w:b/>
        </w:rPr>
        <w:t>Sample 1 Evidence – ALCO Security Lending – folder CPA\S1 Security Lending</w:t>
      </w:r>
    </w:p>
    <w:p>
      <w:pPr>
        <w:pStyle w:val="ListParagraph"/>
        <w:numPr>
          <w:ilvl w:val="0"/>
          <w:numId w:val="2"/>
        </w:numPr>
        <w:spacing w:after="60"/>
      </w:pPr>
      <w:r>
        <w:t>BSI.IT.23.C4.03 - Security Lending Segregated Environments.docx</w:t>
      </w:r>
    </w:p>
    <w:p>
      <w:pPr>
        <w:pStyle w:val="ListParagraph"/>
        <w:numPr>
          <w:ilvl w:val="0"/>
          <w:numId w:val="2"/>
        </w:numPr>
        <w:spacing w:after="60"/>
      </w:pPr>
      <w:r>
        <w:t>BSI.IT.23.C4.06 - Security Lending R01 ticket RLSE1271544.pdf</w:t>
      </w:r>
    </w:p>
    <w:p>
      <w:pPr>
        <w:pStyle w:val="ListParagraph"/>
        <w:numPr>
          <w:ilvl w:val="0"/>
          <w:numId w:val="2"/>
        </w:numPr>
        <w:spacing w:after="60"/>
      </w:pPr>
      <w:r>
        <w:t>BSI.IT.23.C4.07 - Security Lending R02 ticket RLSE1370716.pdf</w:t>
      </w:r>
    </w:p>
    <w:p>
      <w:r>
        <w:rPr>
          <w:b/>
        </w:rPr>
        <w:t>Sample 2 Evidence – Derivatives NDF – folder CPA\S2 NDF</w:t>
      </w:r>
    </w:p>
    <w:p>
      <w:pPr>
        <w:pStyle w:val="ListParagraph"/>
        <w:numPr>
          <w:ilvl w:val="0"/>
          <w:numId w:val="2"/>
        </w:numPr>
        <w:spacing w:after="60"/>
      </w:pPr>
      <w:r>
        <w:t>BSI.IT.23.C4.04 - NDF R01 ticket RLSE1270306.pdf</w:t>
      </w:r>
    </w:p>
    <w:p>
      <w:pPr>
        <w:pStyle w:val="ListParagraph"/>
        <w:numPr>
          <w:ilvl w:val="0"/>
          <w:numId w:val="2"/>
        </w:numPr>
        <w:spacing w:after="60"/>
      </w:pPr>
      <w:r>
        <w:t>BSI.IT.23.C4.05 - NDF R02 ticket RLSE1329424.pdf</w:t>
      </w:r>
    </w:p>
    <w:p>
      <w:pPr>
        <w:pStyle w:val="ListParagraph"/>
        <w:numPr>
          <w:ilvl w:val="0"/>
          <w:numId w:val="2"/>
        </w:numPr>
        <w:spacing w:after="60"/>
      </w:pPr>
      <w:r>
        <w:t>BSI.IT.23.C4.08 - NDF Segregated Environments.docx</w:t>
      </w:r>
    </w:p>
    <w:p>
      <w:r>
        <w:rPr>
          <w:b/>
        </w:rPr>
        <w:t>Other documents</w:t>
      </w:r>
    </w:p>
    <w:p>
      <w:pPr>
        <w:pStyle w:val="ListParagraph"/>
        <w:numPr>
          <w:ilvl w:val="0"/>
          <w:numId w:val="2"/>
        </w:numPr>
        <w:spacing w:after="60"/>
      </w:pPr>
      <w:r>
        <w:t>C4 WP 2026.xlsm (control folder) – tabs Control Design Assessment, Control Performance Assessment, New Test Script</w:t>
      </w:r>
    </w:p>
    <w:p>
      <w:pPr>
        <w:pStyle w:val="ListParagraph"/>
        <w:numPr>
          <w:ilvl w:val="0"/>
          <w:numId w:val="2"/>
        </w:numPr>
        <w:spacing w:after="60"/>
      </w:pPr>
      <w:r>
        <w:t>CDA\C4 Control Design Assessment - CDA.docx and CDA\C4 Design Walkthrough Sample of 1.docx</w:t>
      </w:r>
    </w:p>
    <w:p>
      <w:pPr>
        <w:pStyle w:val="ListParagraph"/>
        <w:numPr>
          <w:ilvl w:val="0"/>
          <w:numId w:val="2"/>
        </w:numPr>
        <w:spacing w:after="60"/>
      </w:pPr>
      <w:r>
        <w:t>CPA\C4 Control Performance Assessment - CPA.docx and CPA\C4 Audit Workpaper (Sample Size 1).docx</w:t>
      </w:r>
    </w:p>
    <w:p>
      <w:pPr>
        <w:pStyle w:val="ListParagraph"/>
        <w:numPr>
          <w:ilvl w:val="0"/>
          <w:numId w:val="2"/>
        </w:numPr>
        <w:spacing w:after="60"/>
      </w:pPr>
      <w:r>
        <w:t>Guidance: 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BSI.IT.23.C4 Segregated Environments – CDA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