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60"/>
      </w:pPr>
      <w:r>
        <w:rPr>
          <w:rFonts w:ascii="Aptos Display" w:hAnsi="Aptos Display" w:cs="Aptos Display" w:eastAsia="Aptos Display"/>
          <w:b/>
          <w:i w:val="0"/>
          <w:color w:val="17365D"/>
          <w:sz w:val="52"/>
        </w:rPr>
        <w:t>IT RCSA Audit Documentation</w:t>
      </w:r>
    </w:p>
    <w:p>
      <w:pPr>
        <w:spacing w:after="60"/>
      </w:pPr>
      <w:r>
        <w:rPr>
          <w:rFonts w:ascii="Aptos" w:hAnsi="Aptos" w:cs="Aptos" w:eastAsia="Aptos"/>
          <w:b/>
          <w:i w:val="0"/>
          <w:color w:val="0078D4"/>
          <w:sz w:val="34"/>
        </w:rPr>
        <w:t>Segregated Environments – BSI.IT.23.C4</w:t>
      </w:r>
    </w:p>
    <w:p>
      <w:pPr>
        <w:spacing w:after="160"/>
      </w:pPr>
      <w:r>
        <w:rPr>
          <w:rFonts w:ascii="Aptos" w:hAnsi="Aptos" w:cs="Aptos" w:eastAsia="Aptos"/>
          <w:b w:val="0"/>
          <w:i/>
          <w:color w:val="475569"/>
          <w:sz w:val="20"/>
        </w:rPr>
        <w:t>Design Assessment, Walkthrough and Sample of One (DH 3264 Derivatives NDF – T24 environments) – tested from scratch with the 10/30/2026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DESIGN RATING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SAMPLE NDF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CPA RATING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475569"/>
                <w:sz w:val="14"/>
              </w:rPr>
              <w:t>OBSERVATIONS</w:t>
            </w:r>
          </w:p>
        </w:tc>
      </w:tr>
      <w:tr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SATISFACTORY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PASS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SATISFACTORY</w:t>
            </w:r>
          </w:p>
        </w:tc>
        <w:tc>
          <w:tcPr>
            <w:tcW w:type="dxa" w:w="2556"/>
            <w:shd w:val="clear" w:color="auto" w:fill="EAF4FB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17365D"/>
                <w:sz w:val="26"/>
              </w:rPr>
              <w:t>OBS-12 – OBS-16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Control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BSI.IT.23.C4 – Segregated Environments (Heracles ID 50541463) – Key, Hybrid (Heracles: Semi-Automated), Annual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Statement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Software Development and QA teams develop and test code in non-production environments. Exceptions must be approved by Information Security.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Risk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BSI.IT.23.R3 Inadequately Configured Sys – inappropriate data disclosures caused by the production version into the IT environment (Inherent Moderate)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Review period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09/01/2025 – 08/31/2026 – 2 samples: ALCO – Security Lending and Derivatives NDF (evidence folder)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Test date / tester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10/30/2026 – IT RCSA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Test script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No C4 script in the IT RCSA 2026 Test Plan "New test scripts" tab and no 2025 script in the Tracker – proposed 9-step script (00 Reference)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Walkthrough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No 2026 walkthrough held; to be scheduled with Jose Luis Martinez Avial / T24 team to answer OBS-12 to OBS-16.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Sample of one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Sample 2 – DH 3264 Derivatives NDF: T24 production (miasx1 / ENVmiaprd) vs non-production (miasx4 / ENVmiaaft28); Sample 1 Security Lending tested in the workpaper</w:t>
            </w:r>
          </w:p>
        </w:tc>
      </w:tr>
      <w:tr>
        <w:tc>
          <w:tcPr>
            <w:tcW w:type="dxa" w:w="2304"/>
            <w:shd w:val="clear" w:color="auto" w:fill="F1F5F9"/>
          </w:tcPr>
          <w:p>
            <w:r>
              <w:rPr>
                <w:rFonts w:ascii="Aptos" w:hAnsi="Aptos" w:cs="Aptos" w:eastAsia="Aptos"/>
                <w:b/>
                <w:i w:val="0"/>
                <w:color w:val="17365D"/>
                <w:sz w:val="18"/>
              </w:rPr>
              <w:t>Evidence folder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8"/>
              </w:rPr>
              <w:t>C4 Segregated Env\CDA and C4 Segregated Env\CPA (BSI.IT.23.C4.01 – C4.07)</w:t>
            </w:r>
          </w:p>
        </w:tc>
      </w:tr>
    </w:tbl>
    <w:p/>
    <w:p>
      <w:pPr>
        <w:pStyle w:val="Heading1"/>
      </w:pPr>
      <w:r>
        <w:t>1. Design Effectiveness Summary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The control design appears effective for T24. Segregation is system-enforced: production and non-production run on different servers, IP addresses and T24 environments, and code reaches production only through ServiceNow release / change tickets after testing in non-production. Exceptions (development or testing in production) require Information Security approval. Hybrid nature is appropriate: the infrastructure enforces separation, while exception approval is manual.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304"/>
        <w:gridCol w:w="1584"/>
        <w:gridCol w:w="6192"/>
      </w:tblGrid>
      <w:tr>
        <w:tc>
          <w:tcPr>
            <w:tcW w:type="dxa" w:w="230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HERACLES question</w:t>
            </w:r>
          </w:p>
        </w:tc>
        <w:tc>
          <w:tcPr>
            <w:tcW w:type="dxa" w:w="15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Answer</w:t>
            </w:r>
          </w:p>
        </w:tc>
        <w:tc>
          <w:tcPr>
            <w:tcW w:type="dxa" w:w="6192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Rationale (2026)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 Frequency / trigger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Segregation continuously enforced; Heracles "Annual" confirmation; activity per release (OBS-09).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 Audit trail / evidence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DNS / server / environment records and T24 data per environment (C4.03 / C4.08); release tickets (C4.04 – C4.07).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3 Policy alignment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2026 SDLC process map (C4.01) and US SDLC / secure development requirements.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4 Thresholds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N/A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Applies to all development and testing.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5 Escalation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Partial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InfoSec approval of exceptions stated, but no exception process / register evidenced; who monitors not defined.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6 Information reliability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Moderately Reliable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System data captured by manual, undated screenshots.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7 Evidence obtainable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Yes</w:t>
            </w:r>
          </w:p>
        </w:tc>
        <w:tc>
          <w:tcPr>
            <w:tcW w:type="dxa" w:w="619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Screenshots produced by the T24 team on request.</w:t>
            </w:r>
          </w:p>
        </w:tc>
      </w:tr>
    </w:tbl>
    <w:p/>
    <w:p>
      <w:pPr>
        <w:spacing w:after="120"/>
      </w:pPr>
      <w:r>
        <w:rPr>
          <w:rFonts w:ascii="Aptos" w:hAnsi="Aptos" w:cs="Aptos" w:eastAsia="Aptos"/>
          <w:b w:val="0"/>
          <w:i/>
          <w:sz w:val="18"/>
        </w:rPr>
        <w:t>Design observation OBS-09: the statement lacks who performs / monitors the control, the evidence retained and the exception escalation path; the Test Plan Control Articulation Tracker rates it a "process statement … currently untestable". Adopt the 2026 proposed statement (exceptions approved by the CISO or delegate; evidence: production and non-production domains, code repositories and hosts) and align the frequency. CDA rating Satisfactory to be confirmed with the reviewer given the Partial escalation answer.</w:t>
      </w:r>
    </w:p>
    <w:p>
      <w:pPr>
        <w:pStyle w:val="Heading1"/>
      </w:pPr>
      <w:r>
        <w:t>2. WT Summary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Model walkthrough language (RCSA CDA Job Aid §4.1): On 10/30/2026, IT RCSA performed a Test of One for BSI.IT.23.C4 through inspection of the T24 environments of the two samples provided in the evidence folder – ALCO Security Lending and Derivatives NDF. The control is enforced by the infrastructure and performed by the T24 Development / QA teams, who build and test in MIAAFT28 before promotion through ServiceNow. The tester reviewed nslookup results (miasx1 → 180.201.151.152; miasx4 → 180.201.1.156), the T24 Server Login / Environments screens (ENVmiaprd vs ENVmiaaft28) and the ND.DEAL lists in each environment (test NDF deals dated 11/2025 in MIAAFT28; live deals 03 – 07/2026 in production), plus the release tickets recording testing before deployment. The evidence is retained by the T24 team / ServiceNow. Exceptions require Information Security approval – no exception register was provided. Variations: Appian (Security Lending Workflow) environments were not evidenced. Based on the Test of One, segregation exists for T24; both samples pass; the remaining items are observations OBS-12 to OBS-16.</w:t>
      </w:r>
    </w:p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Competency (Job Aid §4.4): to be assessed in the 2026 walkthrough with the control owner and the T24 team (environment administration and exception approvals).</w:t>
      </w:r>
    </w:p>
    <w:p>
      <w:pPr>
        <w:pStyle w:val="Heading1"/>
      </w:pPr>
      <w:r>
        <w:t>3. Sample of One – Sample 2 DH 3264 Derivatives NDF (T24 environments)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48"/>
        <w:gridCol w:w="4752"/>
        <w:gridCol w:w="1584"/>
        <w:gridCol w:w="1296"/>
      </w:tblGrid>
      <w:tr>
        <w:tc>
          <w:tcPr>
            <w:tcW w:type="dxa" w:w="244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Attribute</w:t>
            </w:r>
          </w:p>
        </w:tc>
        <w:tc>
          <w:tcPr>
            <w:tcW w:type="dxa" w:w="4752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Value / conclusion</w:t>
            </w:r>
          </w:p>
        </w:tc>
        <w:tc>
          <w:tcPr>
            <w:tcW w:type="dxa" w:w="15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Evidence reference</w:t>
            </w:r>
          </w:p>
        </w:tc>
        <w:tc>
          <w:tcPr>
            <w:tcW w:type="dxa" w:w="1296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Separate production environment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Server miasx1, IP 180.201.151.152, environment ENVmiaprd – "T24 Desktop – BANCO SANTANDER INTL."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 / C4.08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Separate non-production environment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Server miasx4, IP 180.201.1.156, environment ENVmiaaft28 – "MIAAFT28 ON MIASX4 – SANTANDER OCT 2025 EOM"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 / C4.08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Development / testing in non-production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NDF test deals (ND.DEAL, 11/2025) in MIAAFT28 before R01 production 01/28/2026; testing recorded in all 4 release tickets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 – C4.08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Developer access to production restricted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Same login ID "MIASANG" used on both servers – owner / privileges not evidenced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 / C4.08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Production data in non-production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Non-production labelled "OCT 2025 EOM" with client counterparties – masking / InfoSec approval not evidenced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C4.03 / C4.08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OBS-13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Exceptions approved by InfoSec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 development / testing in production found for the sample, so no approval needed; no register kept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C4.04 – C4.07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OBS-14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Appian environments (SL R01)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Not shown; DEV / UAT tests recorded before go-live</w:t>
            </w:r>
          </w:p>
        </w:tc>
        <w:tc>
          <w:tcPr>
            <w:tcW w:type="dxa" w:w="15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C4.06</w:t>
            </w:r>
          </w:p>
        </w:tc>
        <w:tc>
          <w:tcPr>
            <w:tcW w:type="dxa" w:w="1296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OBS-16</w:t>
            </w:r>
          </w:p>
        </w:tc>
      </w:tr>
    </w:tbl>
    <w:p/>
    <w:p>
      <w:pPr>
        <w:spacing w:after="120"/>
      </w:pPr>
      <w:r>
        <w:rPr>
          <w:rFonts w:ascii="Aptos" w:hAnsi="Aptos" w:cs="Aptos" w:eastAsia="Aptos"/>
          <w:b w:val="0"/>
          <w:i w:val="0"/>
          <w:sz w:val="20"/>
        </w:rPr>
        <w:t>Conclusion: T24 development / test and production environments are segregated and the 2026 releases were tested in non-production before deployment. The sample passes. Management should still answer the observations: the exception register and Appian environment evidence (OBS-14, OBS-16), the shared MIASANG login (OBS-12) and the production-data copy in MIAAFT28 (OBS-13).</w:t>
      </w:r>
    </w:p>
    <w:p>
      <w:pPr>
        <w:pStyle w:val="Heading2"/>
      </w:pPr>
      <w:r>
        <w:t>NewTest Script coverage (workpaper tab "New Test Script")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720"/>
        <w:gridCol w:w="2448"/>
        <w:gridCol w:w="5184"/>
        <w:gridCol w:w="1728"/>
      </w:tblGrid>
      <w:tr>
        <w:tc>
          <w:tcPr>
            <w:tcW w:type="dxa" w:w="720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244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Test script step</w:t>
            </w:r>
          </w:p>
        </w:tc>
        <w:tc>
          <w:tcPr>
            <w:tcW w:type="dxa" w:w="5184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Answer</w:t>
            </w:r>
          </w:p>
        </w:tc>
        <w:tc>
          <w:tcPr>
            <w:tcW w:type="dxa" w:w="1728"/>
            <w:shd w:val="clear" w:color="auto" w:fill="17365D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Obtain Evidence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Environment screenshots, release tickets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Completeness &amp; Accuracy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Scope from SDLC Project List</w:t>
            </w:r>
          </w:p>
        </w:tc>
        <w:tc>
          <w:tcPr>
            <w:tcW w:type="dxa" w:w="1728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OBS-11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Population &amp; Scope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2 samples – Security Lending, NDF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Control Execution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Segregated servers / IPs / environments</w:t>
            </w:r>
          </w:p>
        </w:tc>
        <w:tc>
          <w:tcPr>
            <w:tcW w:type="dxa" w:w="1728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(T24)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5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Control Results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Separate servers / environments in the period; shared login</w:t>
            </w:r>
          </w:p>
        </w:tc>
        <w:tc>
          <w:tcPr>
            <w:tcW w:type="dxa" w:w="1728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OBS-12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6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Exception Handling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 exceptions; production-data copy noted</w:t>
            </w:r>
          </w:p>
        </w:tc>
        <w:tc>
          <w:tcPr>
            <w:tcW w:type="dxa" w:w="1728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OBS-13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7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Escalation &amp; Remediation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No exceptions</w:t>
            </w:r>
          </w:p>
        </w:tc>
        <w:tc>
          <w:tcPr>
            <w:tcW w:type="dxa" w:w="1728"/>
            <w:shd w:val="clear" w:color="auto" w:fill="F1F5F9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N/A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8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Risk Mitigation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Production protected; data copy noted</w:t>
            </w:r>
          </w:p>
        </w:tc>
        <w:tc>
          <w:tcPr>
            <w:tcW w:type="dxa" w:w="1728"/>
            <w:shd w:val="clear" w:color="auto" w:fill="E7F5EC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Pass – OBS-13</w:t>
            </w:r>
          </w:p>
        </w:tc>
      </w:tr>
      <w:tr>
        <w:tc>
          <w:tcPr>
            <w:tcW w:type="dxa" w:w="720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9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Testing Coverage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Documented in workpaper</w:t>
            </w:r>
          </w:p>
        </w:tc>
        <w:tc>
          <w:tcPr>
            <w:tcW w:type="dxa" w:w="1728"/>
          </w:tcPr>
          <w:p>
            <w:pPr>
              <w:spacing w:after="0"/>
            </w:pPr>
            <w:r>
              <w:rPr>
                <w:rFonts w:ascii="Aptos" w:hAnsi="Aptos" w:cs="Aptos" w:eastAsia="Aptos"/>
                <w:b w:val="0"/>
                <w:i w:val="0"/>
                <w:sz w:val="17"/>
              </w:rPr>
              <w:t>Completed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 – Environment Evidence (BSI.IT.23.C4.03 / C4.08)</w:t>
      </w:r>
    </w:p>
    <w:p>
      <w:pPr>
        <w:spacing w:before="160"/>
      </w:pPr>
      <w:r>
        <w:rPr>
          <w:rFonts w:ascii="Aptos" w:hAnsi="Aptos" w:cs="Aptos" w:eastAsia="Aptos"/>
          <w:b/>
          <w:i w:val="0"/>
          <w:color w:val="0078D4"/>
          <w:sz w:val="20"/>
        </w:rPr>
        <w:t>Exhibit A1: Production (left) vs non-production (right) – nslookup, T24 Server Login, Environment selection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46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6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cs="Aptos" w:eastAsia="Aptos"/>
          <w:b w:val="0"/>
          <w:i/>
          <w:color w:val="475569"/>
          <w:sz w:val="17"/>
        </w:rPr>
        <w:t>Source: BSI.IT.23.C4.03 / C4.08 (images 1-3 production; 5-7 non-production). Same login ID MIASANG in both (OBS-12 / OBS-13).</w:t>
      </w:r>
    </w:p>
    <w:p>
      <w:pPr>
        <w:spacing w:before="160"/>
      </w:pPr>
      <w:r>
        <w:rPr>
          <w:rFonts w:ascii="Aptos" w:hAnsi="Aptos" w:cs="Aptos" w:eastAsia="Aptos"/>
          <w:b/>
          <w:i w:val="0"/>
          <w:color w:val="0078D4"/>
          <w:sz w:val="20"/>
        </w:rPr>
        <w:t>Exhibit A2: T24 production – ND.DEAL default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38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8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cs="Aptos" w:eastAsia="Aptos"/>
          <w:b w:val="0"/>
          <w:i/>
          <w:color w:val="475569"/>
          <w:sz w:val="17"/>
        </w:rPr>
        <w:t>Source: BSI.IT.23.C4.03 / C4.08 (image 4). "T24 Desktop – BANCO SANTANDER INTL." – live NDF deals 03/2026 – 07/2026.</w:t>
      </w:r>
    </w:p>
    <w:p>
      <w:pPr>
        <w:spacing w:before="160"/>
      </w:pPr>
      <w:r>
        <w:rPr>
          <w:rFonts w:ascii="Aptos" w:hAnsi="Aptos" w:cs="Aptos" w:eastAsia="Aptos"/>
          <w:b/>
          <w:i w:val="0"/>
          <w:color w:val="0078D4"/>
          <w:sz w:val="20"/>
        </w:rPr>
        <w:t>Exhibit A3: T24 non-production MIAAFT28 – ND.DEAL default list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668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ptos" w:hAnsi="Aptos" w:cs="Aptos" w:eastAsia="Aptos"/>
          <w:b w:val="0"/>
          <w:i/>
          <w:color w:val="475569"/>
          <w:sz w:val="17"/>
        </w:rPr>
        <w:t>Source: BSI.IT.23.C4.03 / C4.08 (image 8). "MIAAFT28 ON MIASX4 – SANTANDER OCT 2025 EOM" – test deals dated 11/2025.</w:t>
      </w:r>
    </w:p>
    <w:p>
      <w:pPr>
        <w:spacing w:after="120"/>
      </w:pPr>
      <w:r>
        <w:rPr>
          <w:rFonts w:ascii="Aptos" w:hAnsi="Aptos" w:cs="Aptos" w:eastAsia="Aptos"/>
          <w:b w:val="0"/>
          <w:i/>
          <w:sz w:val="18"/>
        </w:rPr>
        <w:t>Referenced workbook: C4 WP 2026.xlsm – tab "Control Performance Assessment", rows 53 – 54 (Sample 1 Security Lending, Sample 2 NDF); tab "New Test Script".</w:t>
      </w:r>
    </w:p>
    <w:sectPr w:rsidR="00FC693F" w:rsidRPr="0006063C" w:rsidSect="00034616">
      <w:footerReference w:type="default" r:id="rId12"/>
      <w:headerReference w:type="default" r:id="rId13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8D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