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sz w:val="24"/>
          <w:szCs w:val="24"/>
        </w:rPr>
        <w:t xml:space="preserve">BSI.IT.23.C1 – Business Requirement (Heracles ID 50696247) – Testing Procedures</w:t>
      </w:r>
    </w:p>
    <w:p>
      <w:pPr>
        <w:spacing w:after="60"/>
      </w:pPr>
      <w:r>
        <w:rPr>
          <w:rFonts w:ascii="Times New Roman" w:cs="Times New Roman" w:eastAsia="Times New Roman" w:hAnsi="Times New Roman"/>
          <w:sz w:val="18"/>
          <w:szCs w:val="18"/>
        </w:rPr>
        <w:t xml:space="preserve">Control type: Key, Manual, In every operation  |  Review period: 09/01/2025 – 08/31/2026  |  Control Owner / Executor: Jose Luis Martinez Avial  |  Prepared by: Angela Rojas  |  Reviewed by: Mingo Cordova, Mirna Roxana</w:t>
      </w:r>
    </w:p>
    <w:p>
      <w:pPr>
        <w:spacing w:after="100"/>
      </w:pPr>
      <w:r>
        <w:rPr>
          <w:rFonts w:ascii="Times New Roman" w:cs="Times New Roman" w:eastAsia="Times New Roman" w:hAnsi="Times New Roman"/>
          <w:b/>
          <w:bCs/>
          <w:sz w:val="18"/>
          <w:szCs w:val="18"/>
        </w:rPr>
        <w:t xml:space="preserve">Control statement: </w:t>
      </w:r>
      <w:r>
        <w:rPr>
          <w:rFonts w:ascii="Times New Roman" w:cs="Times New Roman" w:eastAsia="Times New Roman" w:hAnsi="Times New Roman"/>
          <w:sz w:val="18"/>
          <w:szCs w:val="18"/>
        </w:rPr>
        <w:t xml:space="preserve">As part of developing a new internal system, customizing vendor products or upgrading existing systems, functional and non-functional requirements must be defined and approved by the business sponsor prior to entering the Build phase of the SDLC process.</w:t>
      </w:r>
    </w:p>
    <w:p>
      <w:pPr>
        <w:pBdr>
          <w:bottom w:val="single" w:color="999999" w:sz="6" w:space="4"/>
        </w:pBdr>
        <w:spacing w:after="240"/>
      </w:pPr>
      <w:r>
        <w:rPr>
          <w:rFonts w:ascii="Times New Roman" w:cs="Times New Roman" w:eastAsia="Times New Roman" w:hAnsi="Times New Roman"/>
          <w:b/>
          <w:bCs/>
          <w:sz w:val="18"/>
          <w:szCs w:val="18"/>
        </w:rPr>
        <w:t xml:space="preserve">Risk: </w:t>
      </w:r>
      <w:r>
        <w:rPr>
          <w:rFonts w:ascii="Times New Roman" w:cs="Times New Roman" w:eastAsia="Times New Roman" w:hAnsi="Times New Roman"/>
          <w:sz w:val="18"/>
          <w:szCs w:val="18"/>
        </w:rPr>
        <w:t xml:space="preserve">[BSI.IT.23.R4 Lack of Design Phase] Insufficient identification and documentation of business and functional requirements for new or updated system designs, due to poorly established design phase process requirements, may result in business production issues and regulatory non-compliance.</w:t>
      </w:r>
    </w:p>
    <w:p>
      <w:pPr>
        <w:spacing w:after="160"/>
      </w:pPr>
      <w:r>
        <w:rPr>
          <w:rFonts w:ascii="Times New Roman" w:cs="Times New Roman" w:eastAsia="Times New Roman" w:hAnsi="Times New Roman"/>
          <w:b/>
          <w:bCs/>
          <w:sz w:val="20"/>
          <w:szCs w:val="20"/>
        </w:rPr>
        <w:t xml:space="preserve">The RCSA team performed the following testing procedures:</w:t>
      </w:r>
    </w:p>
    <w:p>
      <w:pPr>
        <w:spacing w:after="60" w:before="120"/>
      </w:pPr>
      <w:r>
        <w:rPr>
          <w:rFonts w:ascii="Times New Roman" w:cs="Times New Roman" w:eastAsia="Times New Roman" w:hAnsi="Times New Roman"/>
          <w:b/>
          <w:bCs/>
          <w:sz w:val="20"/>
          <w:szCs w:val="20"/>
        </w:rPr>
        <w:t xml:space="preserve">1. Obtain Evidence</w:t>
      </w:r>
    </w:p>
    <w:p>
      <w:pPr>
        <w:spacing w:after="120"/>
      </w:pPr>
      <w:r>
        <w:rPr>
          <w:rFonts w:ascii="Times New Roman" w:cs="Times New Roman" w:eastAsia="Times New Roman" w:hAnsi="Times New Roman"/>
          <w:b/>
          <w:bCs/>
          <w:sz w:val="20"/>
          <w:szCs w:val="20"/>
        </w:rPr>
        <w:t xml:space="preserve">Obtain the population of projects/releases delivered during the testing period that involved development activities (development of a new internal system, vendor product customization or upgrade of an existing system), together with the Business Requirements Document (BRD) for each release, the Business Sponsor approval evidence and the Delivery Hub (EPMO tool) Gate 4 – Prepare to Build (PTB) disposition records that evidence the start of the Build phase.</w:t>
      </w:r>
    </w:p>
    <w:p>
      <w:pPr>
        <w:spacing w:after="60" w:before="120"/>
      </w:pPr>
      <w:r>
        <w:rPr>
          <w:rFonts w:ascii="Times New Roman" w:cs="Times New Roman" w:eastAsia="Times New Roman" w:hAnsi="Times New Roman"/>
          <w:b/>
          <w:bCs/>
          <w:sz w:val="20"/>
          <w:szCs w:val="20"/>
        </w:rPr>
        <w:t xml:space="preserve">2. Validate Report Completeness and Accuracy</w:t>
      </w:r>
    </w:p>
    <w:p>
      <w:pPr>
        <w:spacing w:after="120"/>
      </w:pPr>
      <w:r>
        <w:rPr>
          <w:rFonts w:ascii="Times New Roman" w:cs="Times New Roman" w:eastAsia="Times New Roman" w:hAnsi="Times New Roman"/>
          <w:b/>
          <w:bCs/>
          <w:sz w:val="20"/>
          <w:szCs w:val="20"/>
        </w:rPr>
        <w:t xml:space="preserve">Validate that the project population (Delivery Hub "SDLC Project List") is generated from the EPMO system of record and accurately reflects the complete population of SDLC projects, by reconciling key project attributes (project ID, name, SDLC applicability, phase, Business Sponsor and implementation dates) to the ServiceNow release tickets.</w:t>
      </w:r>
    </w:p>
    <w:p>
      <w:pPr>
        <w:spacing w:after="60" w:before="120"/>
      </w:pPr>
      <w:r>
        <w:rPr>
          <w:rFonts w:ascii="Times New Roman" w:cs="Times New Roman" w:eastAsia="Times New Roman" w:hAnsi="Times New Roman"/>
          <w:b/>
          <w:bCs/>
          <w:sz w:val="20"/>
          <w:szCs w:val="20"/>
        </w:rPr>
        <w:t xml:space="preserve">3. Validate Population and Scope</w:t>
      </w:r>
    </w:p>
    <w:p>
      <w:pPr>
        <w:spacing w:after="120"/>
      </w:pPr>
      <w:r>
        <w:rPr>
          <w:rFonts w:ascii="Times New Roman" w:cs="Times New Roman" w:eastAsia="Times New Roman" w:hAnsi="Times New Roman"/>
          <w:b/>
          <w:bCs/>
          <w:sz w:val="20"/>
          <w:szCs w:val="20"/>
        </w:rPr>
        <w:t xml:space="preserve">Verify the population includes all in-scope SDLC (Application Development) projects and releases delivered during the testing period, and select the sample in accordance with the approved RCSA sampling methodology.</w:t>
      </w:r>
    </w:p>
    <w:p>
      <w:pPr>
        <w:spacing w:after="60" w:before="120"/>
      </w:pPr>
      <w:r>
        <w:rPr>
          <w:rFonts w:ascii="Times New Roman" w:cs="Times New Roman" w:eastAsia="Times New Roman" w:hAnsi="Times New Roman"/>
          <w:b/>
          <w:bCs/>
          <w:sz w:val="20"/>
          <w:szCs w:val="20"/>
        </w:rPr>
        <w:t xml:space="preserve">4. Verify Control Execution</w:t>
      </w:r>
    </w:p>
    <w:p>
      <w:pPr>
        <w:spacing w:after="120"/>
      </w:pPr>
      <w:r>
        <w:rPr>
          <w:rFonts w:ascii="Times New Roman" w:cs="Times New Roman" w:eastAsia="Times New Roman" w:hAnsi="Times New Roman"/>
          <w:b/>
          <w:bCs/>
          <w:sz w:val="20"/>
          <w:szCs w:val="20"/>
        </w:rPr>
        <w:t xml:space="preserve">For each sampled project/release, inspect the BRD and verify that functional (business) requirements and non-functional requirements were defined, and that the BRD was approved by the Business Sponsor before entry into the Build phase, by comparing the approval date to the Gate 4 (PTB) approval date and to the start of build, testing and implementation activities.</w:t>
      </w:r>
    </w:p>
    <w:p>
      <w:pPr>
        <w:spacing w:after="60" w:before="120"/>
      </w:pPr>
      <w:r>
        <w:rPr>
          <w:rFonts w:ascii="Times New Roman" w:cs="Times New Roman" w:eastAsia="Times New Roman" w:hAnsi="Times New Roman"/>
          <w:b/>
          <w:bCs/>
          <w:sz w:val="20"/>
          <w:szCs w:val="20"/>
        </w:rPr>
        <w:t xml:space="preserve">5. Validate Control Results</w:t>
      </w:r>
    </w:p>
    <w:p>
      <w:pPr>
        <w:spacing w:after="120"/>
      </w:pPr>
      <w:r>
        <w:rPr>
          <w:rFonts w:ascii="Times New Roman" w:cs="Times New Roman" w:eastAsia="Times New Roman" w:hAnsi="Times New Roman"/>
          <w:b/>
          <w:bCs/>
          <w:sz w:val="20"/>
          <w:szCs w:val="20"/>
        </w:rPr>
        <w:t xml:space="preserve">Verify the BRD approval was formally documented, given by the appropriate Business Sponsor or delegate, covers the final version of the BRD and was retained in the EPMO tool (Delivery Hub). Confirm any change to approved requirements was re-approved.</w:t>
      </w:r>
    </w:p>
    <w:p>
      <w:pPr>
        <w:spacing w:after="60" w:before="120"/>
      </w:pPr>
      <w:r>
        <w:rPr>
          <w:rFonts w:ascii="Times New Roman" w:cs="Times New Roman" w:eastAsia="Times New Roman" w:hAnsi="Times New Roman"/>
          <w:b/>
          <w:bCs/>
          <w:sz w:val="20"/>
          <w:szCs w:val="20"/>
        </w:rPr>
        <w:t xml:space="preserve">6. Verify Exception Handling</w:t>
      </w:r>
    </w:p>
    <w:p>
      <w:pPr>
        <w:spacing w:after="120"/>
      </w:pPr>
      <w:r>
        <w:rPr>
          <w:rFonts w:ascii="Times New Roman" w:cs="Times New Roman" w:eastAsia="Times New Roman" w:hAnsi="Times New Roman"/>
          <w:b/>
          <w:bCs/>
          <w:sz w:val="20"/>
          <w:szCs w:val="20"/>
        </w:rPr>
        <w:t xml:space="preserve">Identify any sampled project/release lacking a BRD, documented functional or non-functional requirements, or Business Sponsor approval prior to Build, and review supporting documentation for any exception or late approval.</w:t>
      </w:r>
    </w:p>
    <w:p>
      <w:pPr>
        <w:spacing w:after="60" w:before="120"/>
      </w:pPr>
      <w:r>
        <w:rPr>
          <w:rFonts w:ascii="Times New Roman" w:cs="Times New Roman" w:eastAsia="Times New Roman" w:hAnsi="Times New Roman"/>
          <w:b/>
          <w:bCs/>
          <w:sz w:val="20"/>
          <w:szCs w:val="20"/>
        </w:rPr>
        <w:t xml:space="preserve">7. Verify Escalation and Remediation</w:t>
      </w:r>
    </w:p>
    <w:p>
      <w:pPr>
        <w:spacing w:after="120"/>
      </w:pPr>
      <w:r>
        <w:rPr>
          <w:rFonts w:ascii="Times New Roman" w:cs="Times New Roman" w:eastAsia="Times New Roman" w:hAnsi="Times New Roman"/>
          <w:b/>
          <w:bCs/>
          <w:sz w:val="20"/>
          <w:szCs w:val="20"/>
        </w:rPr>
        <w:t xml:space="preserve">Verify identified exceptions were escalated in accordance with the EPMO standard and that remediation actions, compensating controls or risk acceptances were documented and approved in the EPMO tool.</w:t>
      </w:r>
    </w:p>
    <w:p>
      <w:pPr>
        <w:spacing w:after="60" w:before="120"/>
      </w:pPr>
      <w:r>
        <w:rPr>
          <w:rFonts w:ascii="Times New Roman" w:cs="Times New Roman" w:eastAsia="Times New Roman" w:hAnsi="Times New Roman"/>
          <w:b/>
          <w:bCs/>
          <w:sz w:val="20"/>
          <w:szCs w:val="20"/>
        </w:rPr>
        <w:t xml:space="preserve">8. Assess Risk Mitigation</w:t>
      </w:r>
    </w:p>
    <w:p>
      <w:pPr>
        <w:spacing w:after="120"/>
      </w:pPr>
      <w:r>
        <w:rPr>
          <w:rFonts w:ascii="Times New Roman" w:cs="Times New Roman" w:eastAsia="Times New Roman" w:hAnsi="Times New Roman"/>
          <w:b/>
          <w:bCs/>
          <w:sz w:val="20"/>
          <w:szCs w:val="20"/>
        </w:rPr>
        <w:t xml:space="preserve">Assess whether documented requirements and Business Sponsor approvals completed before the Build phase collectively mitigate the risk of incomplete or unauthorized requirements entering development (BSI.IT.23.R4).</w:t>
      </w:r>
    </w:p>
    <w:p>
      <w:pPr>
        <w:spacing w:after="60" w:before="120"/>
      </w:pPr>
      <w:r>
        <w:rPr>
          <w:rFonts w:ascii="Times New Roman" w:cs="Times New Roman" w:eastAsia="Times New Roman" w:hAnsi="Times New Roman"/>
          <w:b/>
          <w:bCs/>
          <w:sz w:val="20"/>
          <w:szCs w:val="20"/>
        </w:rPr>
        <w:t xml:space="preserve">9. Summarize Testing Coverage</w:t>
      </w:r>
    </w:p>
    <w:p>
      <w:pPr>
        <w:spacing w:after="120"/>
      </w:pPr>
      <w:r>
        <w:rPr>
          <w:rFonts w:ascii="Times New Roman" w:cs="Times New Roman" w:eastAsia="Times New Roman" w:hAnsi="Times New Roman"/>
          <w:b/>
          <w:bCs/>
          <w:sz w:val="20"/>
          <w:szCs w:val="20"/>
        </w:rPr>
        <w:t xml:space="preserve">Document the population reviewed, sample selected, projects/releases tested, attributes evaluated, exceptions identified and related remediation activities, and conclude on the operating effectiveness of the control.</w:t>
      </w:r>
    </w:p>
    <w:p>
      <w:pPr>
        <w:pBdr>
          <w:bottom w:val="single" w:color="999999" w:sz="6" w:space="4"/>
        </w:pBdr>
        <w:spacing w:after="120" w:before="360"/>
      </w:pPr>
      <w:r>
        <w:rPr>
          <w:rFonts w:ascii="Times New Roman" w:cs="Times New Roman" w:eastAsia="Times New Roman" w:hAnsi="Times New Roman"/>
          <w:b/>
          <w:bCs/>
          <w:sz w:val="24"/>
          <w:szCs w:val="24"/>
        </w:rPr>
        <w:t xml:space="preserve">Execution of the testing procedures</w:t>
      </w:r>
    </w:p>
    <w:p>
      <w:pPr>
        <w:spacing w:after="100" w:before="240"/>
      </w:pPr>
      <w:r>
        <w:rPr>
          <w:rFonts w:ascii="Times New Roman" w:cs="Times New Roman" w:eastAsia="Times New Roman" w:hAnsi="Times New Roman"/>
          <w:b/>
          <w:bCs/>
          <w:sz w:val="20"/>
          <w:szCs w:val="20"/>
        </w:rPr>
        <w:t xml:space="preserve">1. IT RCSA </w:t>
      </w:r>
      <w:r>
        <w:rPr>
          <w:rFonts w:ascii="Times New Roman" w:cs="Times New Roman" w:eastAsia="Times New Roman" w:hAnsi="Times New Roman"/>
          <w:sz w:val="20"/>
          <w:szCs w:val="20"/>
        </w:rPr>
        <w:t xml:space="preserve">obtained the following evidence from the PMO for the period September 1, 2025 through August 31, 2026:</w:t>
      </w:r>
    </w:p>
    <w:p>
      <w:pPr>
        <w:pStyle w:val="ListParagraph"/>
        <w:numPr>
          <w:ilvl w:val="0"/>
          <w:numId w:val="2"/>
        </w:numPr>
        <w:spacing w:after="60"/>
      </w:pPr>
      <w:r>
        <w:rPr>
          <w:rFonts w:ascii="Times New Roman" w:cs="Times New Roman" w:eastAsia="Times New Roman" w:hAnsi="Times New Roman"/>
          <w:b/>
          <w:bCs/>
          <w:sz w:val="20"/>
          <w:szCs w:val="20"/>
        </w:rPr>
        <w:t xml:space="preserve">Project population: </w:t>
      </w:r>
      <w:r>
        <w:rPr>
          <w:rFonts w:ascii="Times New Roman" w:cs="Times New Roman" w:eastAsia="Times New Roman" w:hAnsi="Times New Roman"/>
          <w:sz w:val="20"/>
          <w:szCs w:val="20"/>
        </w:rPr>
        <w:t xml:space="preserve">the Delivery Hub "SDLC Project List" export, containing 100 BSI change initiatives. Two projects are flagged as SDLC: DH 3263 ALCO – Security Lending and DH 3264 Derivatives Non-Deliverable Forwards (NDF). Each project was delivered in two releases.</w:t>
      </w:r>
    </w:p>
    <w:p>
      <w:pPr>
        <w:pStyle w:val="ListParagraph"/>
        <w:numPr>
          <w:ilvl w:val="0"/>
          <w:numId w:val="2"/>
        </w:numPr>
        <w:spacing w:after="60"/>
      </w:pPr>
      <w:r>
        <w:rPr>
          <w:rFonts w:ascii="Times New Roman" w:cs="Times New Roman" w:eastAsia="Times New Roman" w:hAnsi="Times New Roman"/>
          <w:b/>
          <w:bCs/>
          <w:sz w:val="20"/>
          <w:szCs w:val="20"/>
        </w:rPr>
        <w:t xml:space="preserve">Business Requirements Documents (BRDs): </w:t>
      </w:r>
      <w:r>
        <w:rPr>
          <w:rFonts w:ascii="Times New Roman" w:cs="Times New Roman" w:eastAsia="Times New Roman" w:hAnsi="Times New Roman"/>
          <w:sz w:val="20"/>
          <w:szCs w:val="20"/>
        </w:rPr>
        <w:t xml:space="preserve">one BRD for each of the four releases.</w:t>
      </w:r>
    </w:p>
    <w:p>
      <w:pPr>
        <w:pStyle w:val="ListParagraph"/>
        <w:numPr>
          <w:ilvl w:val="0"/>
          <w:numId w:val="2"/>
        </w:numPr>
        <w:spacing w:after="60"/>
      </w:pPr>
      <w:r>
        <w:rPr>
          <w:rFonts w:ascii="Times New Roman" w:cs="Times New Roman" w:eastAsia="Times New Roman" w:hAnsi="Times New Roman"/>
          <w:b/>
          <w:bCs/>
          <w:sz w:val="20"/>
          <w:szCs w:val="20"/>
        </w:rPr>
        <w:t xml:space="preserve">Business Sponsor approvals: </w:t>
      </w:r>
      <w:r>
        <w:rPr>
          <w:rFonts w:ascii="Times New Roman" w:cs="Times New Roman" w:eastAsia="Times New Roman" w:hAnsi="Times New Roman"/>
          <w:sz w:val="20"/>
          <w:szCs w:val="20"/>
        </w:rPr>
        <w:t xml:space="preserve">the approval e-mails from Ted Fernandez (Treasury – Business Sponsor) attached to each BRD.</w:t>
      </w:r>
    </w:p>
    <w:p>
      <w:pPr>
        <w:pStyle w:val="ListParagraph"/>
        <w:numPr>
          <w:ilvl w:val="0"/>
          <w:numId w:val="2"/>
        </w:numPr>
        <w:spacing w:after="60"/>
      </w:pPr>
      <w:r>
        <w:rPr>
          <w:rFonts w:ascii="Times New Roman" w:cs="Times New Roman" w:eastAsia="Times New Roman" w:hAnsi="Times New Roman"/>
          <w:b/>
          <w:bCs/>
          <w:sz w:val="20"/>
          <w:szCs w:val="20"/>
        </w:rPr>
        <w:t xml:space="preserve">Gate 4 (Prepare to Build) approvals: </w:t>
      </w:r>
      <w:r>
        <w:rPr>
          <w:rFonts w:ascii="Times New Roman" w:cs="Times New Roman" w:eastAsia="Times New Roman" w:hAnsi="Times New Roman"/>
          <w:sz w:val="20"/>
          <w:szCs w:val="20"/>
        </w:rPr>
        <w:t xml:space="preserve">Delivery Hub approval records for both NDF releases. The records for the two Security Lending releases were requested but not provided.</w:t>
      </w:r>
    </w:p>
    <w:p>
      <w:pPr>
        <w:pStyle w:val="ListParagraph"/>
        <w:numPr>
          <w:ilvl w:val="0"/>
          <w:numId w:val="2"/>
        </w:numPr>
        <w:spacing w:after="60"/>
      </w:pPr>
      <w:r>
        <w:rPr>
          <w:rFonts w:ascii="Times New Roman" w:cs="Times New Roman" w:eastAsia="Times New Roman" w:hAnsi="Times New Roman"/>
          <w:b/>
          <w:bCs/>
          <w:sz w:val="20"/>
          <w:szCs w:val="20"/>
        </w:rPr>
        <w:t xml:space="preserve">SDLC process map: </w:t>
      </w:r>
      <w:r>
        <w:rPr>
          <w:rFonts w:ascii="Times New Roman" w:cs="Times New Roman" w:eastAsia="Times New Roman" w:hAnsi="Times New Roman"/>
          <w:sz w:val="20"/>
          <w:szCs w:val="20"/>
        </w:rPr>
        <w:t xml:space="preserve">the 2026 BSI SDLC process map, which includes this control in step 1.1 "Business requirements are defined".</w:t>
      </w:r>
    </w:p>
    <w:p>
      <w:pPr>
        <w:spacing w:after="6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Partially completed. </w:t>
      </w:r>
      <w:r>
        <w:rPr>
          <w:rFonts w:ascii="Times New Roman" w:cs="Times New Roman" w:eastAsia="Times New Roman" w:hAnsi="Times New Roman"/>
          <w:sz w:val="20"/>
          <w:szCs w:val="20"/>
        </w:rPr>
        <w:t xml:space="preserve">All evidence was obtained except the Gate 4 approvals for Security Lending and the earlier (phase 1) approval mentioned in the Security Lending Release 1 approval e-mail (Open Item OI-01).</w:t>
      </w:r>
    </w:p>
    <w:p>
      <w:pPr>
        <w:spacing w:after="20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BSI.IT.23.C1.01 – BSI.IT.23.C1.12</w:t>
      </w:r>
    </w:p>
    <w:p>
      <w:pPr>
        <w:spacing w:after="100" w:before="240"/>
      </w:pPr>
      <w:r>
        <w:rPr>
          <w:rFonts w:ascii="Times New Roman" w:cs="Times New Roman" w:eastAsia="Times New Roman" w:hAnsi="Times New Roman"/>
          <w:b/>
          <w:bCs/>
          <w:sz w:val="20"/>
          <w:szCs w:val="20"/>
        </w:rPr>
        <w:t xml:space="preserve">2. IT RCSA </w:t>
      </w:r>
      <w:r>
        <w:rPr>
          <w:rFonts w:ascii="Times New Roman" w:cs="Times New Roman" w:eastAsia="Times New Roman" w:hAnsi="Times New Roman"/>
          <w:sz w:val="20"/>
          <w:szCs w:val="20"/>
        </w:rPr>
        <w:t xml:space="preserve">validated the completeness and accuracy of the project population:</w:t>
      </w:r>
    </w:p>
    <w:p>
      <w:pPr>
        <w:pStyle w:val="ListParagraph"/>
        <w:numPr>
          <w:ilvl w:val="0"/>
          <w:numId w:val="3"/>
        </w:numPr>
        <w:spacing w:after="60"/>
      </w:pPr>
      <w:r>
        <w:rPr>
          <w:rFonts w:ascii="Times New Roman" w:cs="Times New Roman" w:eastAsia="Times New Roman" w:hAnsi="Times New Roman"/>
          <w:b/>
          <w:bCs/>
          <w:sz w:val="20"/>
          <w:szCs w:val="20"/>
        </w:rPr>
        <w:t xml:space="preserve">Record count. </w:t>
      </w:r>
      <w:r>
        <w:rPr>
          <w:rFonts w:ascii="Times New Roman" w:cs="Times New Roman" w:eastAsia="Times New Roman" w:hAnsi="Times New Roman"/>
          <w:sz w:val="20"/>
          <w:szCs w:val="20"/>
        </w:rPr>
        <w:t xml:space="preserve">The export contains 100 records: 74 IT projects, 24 non-IT projects and 2 without a type. Of these, 2 are flagged SDLC "Yes", 6 "No" and 92 are blank.</w:t>
      </w:r>
    </w:p>
    <w:p>
      <w:pPr>
        <w:pStyle w:val="ListParagraph"/>
        <w:numPr>
          <w:ilvl w:val="0"/>
          <w:numId w:val="3"/>
        </w:numPr>
        <w:spacing w:after="60"/>
      </w:pPr>
      <w:r>
        <w:rPr>
          <w:rFonts w:ascii="Times New Roman" w:cs="Times New Roman" w:eastAsia="Times New Roman" w:hAnsi="Times New Roman"/>
          <w:b/>
          <w:bCs/>
          <w:sz w:val="20"/>
          <w:szCs w:val="20"/>
        </w:rPr>
        <w:t xml:space="preserve">Accuracy. </w:t>
      </w:r>
      <w:r>
        <w:rPr>
          <w:rFonts w:ascii="Times New Roman" w:cs="Times New Roman" w:eastAsia="Times New Roman" w:hAnsi="Times New Roman"/>
          <w:sz w:val="20"/>
          <w:szCs w:val="20"/>
        </w:rPr>
        <w:t xml:space="preserve">IT RCSA traced the two SDLC projects to their ServiceNow release tickets. The project ID, name, system (T24), Business Sponsor (Ted Fernandez), phase (Closed) and close date (09/02/2026) agreed with the tickets and with the BRDs. No differences were noted.</w:t>
      </w:r>
    </w:p>
    <w:p>
      <w:pPr>
        <w:pStyle w:val="ListParagraph"/>
        <w:numPr>
          <w:ilvl w:val="0"/>
          <w:numId w:val="3"/>
        </w:numPr>
        <w:spacing w:after="60"/>
      </w:pPr>
      <w:r>
        <w:rPr>
          <w:rFonts w:ascii="Times New Roman" w:cs="Times New Roman" w:eastAsia="Times New Roman" w:hAnsi="Times New Roman"/>
          <w:b/>
          <w:bCs/>
          <w:sz w:val="20"/>
          <w:szCs w:val="20"/>
        </w:rPr>
        <w:t xml:space="preserve">Completeness. </w:t>
      </w:r>
      <w:r>
        <w:rPr>
          <w:rFonts w:ascii="Times New Roman" w:cs="Times New Roman" w:eastAsia="Times New Roman" w:hAnsi="Times New Roman"/>
          <w:sz w:val="20"/>
          <w:szCs w:val="20"/>
        </w:rPr>
        <w:t xml:space="preserve">IT RCSA reviewed the other closed IT projects. Six projects flagged "No" by the PMO were accepted as non-development projects. Two projects (3512 Discretionary Portfolio Mandate and 3625 Alternative Investments 2025) have a blank SDLC flag with no explanation. In addition, no independent list of production releases was provided to confirm the population is complete.</w:t>
      </w:r>
    </w:p>
    <w:p>
      <w:pPr>
        <w:spacing w:after="6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Pass (accuracy) / Pending (completeness). </w:t>
      </w:r>
      <w:r>
        <w:rPr>
          <w:rFonts w:ascii="Times New Roman" w:cs="Times New Roman" w:eastAsia="Times New Roman" w:hAnsi="Times New Roman"/>
          <w:sz w:val="20"/>
          <w:szCs w:val="20"/>
        </w:rPr>
        <w:t xml:space="preserve">The population is accurate. Completeness will be concluded once the production release list and the PMO explanation for projects 3512 and 3625 are received (Open Item OI-03).</w:t>
      </w:r>
    </w:p>
    <w:p>
      <w:pPr>
        <w:spacing w:after="20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BSI.IT.23.C1.02; ServiceNow release tickets (BSI.IT.23.C25 cross-reference)</w:t>
      </w:r>
    </w:p>
    <w:p>
      <w:pPr>
        <w:spacing w:after="100" w:before="240"/>
      </w:pPr>
      <w:r>
        <w:rPr>
          <w:rFonts w:ascii="Times New Roman" w:cs="Times New Roman" w:eastAsia="Times New Roman" w:hAnsi="Times New Roman"/>
          <w:b/>
          <w:bCs/>
          <w:sz w:val="20"/>
          <w:szCs w:val="20"/>
        </w:rPr>
        <w:t xml:space="preserve">3. IT RCSA </w:t>
      </w:r>
      <w:r>
        <w:rPr>
          <w:rFonts w:ascii="Times New Roman" w:cs="Times New Roman" w:eastAsia="Times New Roman" w:hAnsi="Times New Roman"/>
          <w:sz w:val="20"/>
          <w:szCs w:val="20"/>
        </w:rPr>
        <w:t xml:space="preserve">confirmed the testing scope and selected the sample:</w:t>
      </w:r>
    </w:p>
    <w:p>
      <w:pPr>
        <w:pStyle w:val="ListParagraph"/>
        <w:numPr>
          <w:ilvl w:val="0"/>
          <w:numId w:val="2"/>
        </w:numPr>
        <w:spacing w:after="60"/>
      </w:pPr>
      <w:r>
        <w:rPr>
          <w:rFonts w:ascii="Times New Roman" w:cs="Times New Roman" w:eastAsia="Times New Roman" w:hAnsi="Times New Roman"/>
          <w:sz w:val="20"/>
          <w:szCs w:val="20"/>
        </w:rPr>
        <w:t xml:space="preserve">The control applies only to application development projects, which are the projects flagged as SDLC in Delivery Hub. Both projects involve developing or customizing systems and are in scope.</w:t>
      </w:r>
    </w:p>
    <w:p>
      <w:pPr>
        <w:pStyle w:val="ListParagraph"/>
        <w:numPr>
          <w:ilvl w:val="0"/>
          <w:numId w:val="2"/>
        </w:numPr>
        <w:spacing w:after="60"/>
      </w:pPr>
      <w:r>
        <w:rPr>
          <w:rFonts w:ascii="Times New Roman" w:cs="Times New Roman" w:eastAsia="Times New Roman" w:hAnsi="Times New Roman"/>
          <w:sz w:val="20"/>
          <w:szCs w:val="20"/>
        </w:rPr>
        <w:t xml:space="preserve">As the control is manual and performed "in every operation", and the population is only 2 projects, IT RCSA tested 100% of the population: 2 projects and 4 releases.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600"/>
        <w:gridCol w:w="3660"/>
        <w:gridCol w:w="180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Sample</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Project</w:t>
            </w:r>
          </w:p>
        </w:tc>
        <w:tc>
          <w:tcPr>
            <w:tcW w:type="dxa" w:w="36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Release scope</w:t>
            </w:r>
          </w:p>
        </w:tc>
        <w:tc>
          <w:tcPr>
            <w:tcW w:type="dxa" w:w="1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Production date</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1 – R01</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DH 3263 Security Lending</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New Appian workflow for client Opt-Out / Opt-In, integrated with T24</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03/13/2026</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1 – R02</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DH 3263 Security Lending</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T24 enhancements: fiscal report, dashboard, accruals, accounting categories, notional control</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06/26/2026</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2 – R01</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DH 3264 Derivatives NDF</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New NDF module in T24, integrated with Murex, Medea, 360 and DTCC reporting</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01/28/2026</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2 – R02</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DH 3264 Derivatives NDF</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NDF enhancements: pre-trade checks, tax withholding, reconciliation, annual report</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05/08/2026</w:t>
            </w:r>
          </w:p>
        </w:tc>
      </w:tr>
    </w:tbl>
    <w:p>
      <w:pPr>
        <w:spacing w:after="6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Pass. </w:t>
      </w:r>
      <w:r>
        <w:rPr>
          <w:rFonts w:ascii="Times New Roman" w:cs="Times New Roman" w:eastAsia="Times New Roman" w:hAnsi="Times New Roman"/>
          <w:sz w:val="20"/>
          <w:szCs w:val="20"/>
        </w:rPr>
        <w:t xml:space="preserve">The sample covers all in-scope projects and releases in the review period.</w:t>
      </w:r>
    </w:p>
    <w:p>
      <w:pPr>
        <w:spacing w:after="20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BSI.IT.23.C1.01, BSI.IT.23.C1.02</w:t>
      </w:r>
    </w:p>
    <w:p>
      <w:pPr>
        <w:spacing w:after="100" w:before="240"/>
      </w:pPr>
      <w:r>
        <w:rPr>
          <w:rFonts w:ascii="Times New Roman" w:cs="Times New Roman" w:eastAsia="Times New Roman" w:hAnsi="Times New Roman"/>
          <w:b/>
          <w:bCs/>
          <w:sz w:val="20"/>
          <w:szCs w:val="20"/>
        </w:rPr>
        <w:t xml:space="preserve">4. IT RCSA </w:t>
      </w:r>
      <w:r>
        <w:rPr>
          <w:rFonts w:ascii="Times New Roman" w:cs="Times New Roman" w:eastAsia="Times New Roman" w:hAnsi="Times New Roman"/>
          <w:sz w:val="20"/>
          <w:szCs w:val="20"/>
        </w:rPr>
        <w:t xml:space="preserve">inspected the BRD for each release and compared the Business Sponsor approval date with the start of the Build phase (Gate 4 approval and build / testing dates).</w:t>
      </w:r>
    </w:p>
    <w:p>
      <w:pPr>
        <w:spacing w:after="60" w:before="120"/>
      </w:pPr>
      <w:r>
        <w:rPr>
          <w:rFonts w:ascii="Times New Roman" w:cs="Times New Roman" w:eastAsia="Times New Roman" w:hAnsi="Times New Roman"/>
          <w:b/>
          <w:bCs/>
          <w:sz w:val="20"/>
          <w:szCs w:val="20"/>
        </w:rPr>
        <w:t xml:space="preserve">Sample 1 – DH 3263 Security Lending</w:t>
      </w:r>
    </w:p>
    <w:p>
      <w:pPr>
        <w:pStyle w:val="ListParagraph"/>
        <w:numPr>
          <w:ilvl w:val="0"/>
          <w:numId w:val="2"/>
        </w:numPr>
        <w:spacing w:after="60"/>
      </w:pPr>
      <w:r>
        <w:rPr>
          <w:rFonts w:ascii="Times New Roman" w:cs="Times New Roman" w:eastAsia="Times New Roman" w:hAnsi="Times New Roman"/>
          <w:b/>
          <w:bCs/>
          <w:sz w:val="20"/>
          <w:szCs w:val="20"/>
        </w:rPr>
        <w:t xml:space="preserve">Release 1: </w:t>
      </w:r>
      <w:r>
        <w:rPr>
          <w:rFonts w:ascii="Times New Roman" w:cs="Times New Roman" w:eastAsia="Times New Roman" w:hAnsi="Times New Roman"/>
          <w:sz w:val="20"/>
          <w:szCs w:val="20"/>
        </w:rPr>
        <w:t xml:space="preserve">The BRD defines six functional requirements (Opt-Out form, signing process, back-office validation, automatic T24 updates, notifications and process history) and security requirements. Ted Fernandez approved the BRD by e-mail on 02/06/2026. However, the release ticket shows build documents and testing activities in December 2025, before the approval. The Gate 4 approval was not provided. Approval before Build is not evidenced.</w:t>
      </w:r>
    </w:p>
    <w:p>
      <w:pPr>
        <w:pStyle w:val="ListParagraph"/>
        <w:numPr>
          <w:ilvl w:val="0"/>
          <w:numId w:val="2"/>
        </w:numPr>
        <w:spacing w:after="60"/>
      </w:pPr>
      <w:r>
        <w:rPr>
          <w:rFonts w:ascii="Times New Roman" w:cs="Times New Roman" w:eastAsia="Times New Roman" w:hAnsi="Times New Roman"/>
          <w:b/>
          <w:bCs/>
          <w:sz w:val="20"/>
          <w:szCs w:val="20"/>
        </w:rPr>
        <w:t xml:space="preserve">Release 2: </w:t>
      </w:r>
      <w:r>
        <w:rPr>
          <w:rFonts w:ascii="Times New Roman" w:cs="Times New Roman" w:eastAsia="Times New Roman" w:hAnsi="Times New Roman"/>
          <w:sz w:val="20"/>
          <w:szCs w:val="20"/>
        </w:rPr>
        <w:t xml:space="preserve">The BRD defines five functional requirements and security requirements (security testing, penetration test and firewall check). Ted Fernandez approved the BRD by e-mail on 04/29/2026, before testing (06/10/2026) and production (06/26/2026). The Gate 4 approval was not provided.</w:t>
      </w:r>
    </w:p>
    <w:p>
      <w:pPr>
        <w:spacing w:after="60" w:before="120"/>
      </w:pPr>
      <w:r>
        <w:rPr>
          <w:rFonts w:ascii="Times New Roman" w:cs="Times New Roman" w:eastAsia="Times New Roman" w:hAnsi="Times New Roman"/>
          <w:b/>
          <w:bCs/>
          <w:sz w:val="20"/>
          <w:szCs w:val="20"/>
        </w:rPr>
        <w:t xml:space="preserve">Sample 2 – DH 3264 Derivatives NDF</w:t>
      </w:r>
    </w:p>
    <w:p>
      <w:pPr>
        <w:pStyle w:val="ListParagraph"/>
        <w:numPr>
          <w:ilvl w:val="0"/>
          <w:numId w:val="2"/>
        </w:numPr>
        <w:spacing w:after="60"/>
      </w:pPr>
      <w:r>
        <w:rPr>
          <w:rFonts w:ascii="Times New Roman" w:cs="Times New Roman" w:eastAsia="Times New Roman" w:hAnsi="Times New Roman"/>
          <w:b/>
          <w:bCs/>
          <w:sz w:val="20"/>
          <w:szCs w:val="20"/>
        </w:rPr>
        <w:t xml:space="preserve">Release 1: </w:t>
      </w:r>
      <w:r>
        <w:rPr>
          <w:rFonts w:ascii="Times New Roman" w:cs="Times New Roman" w:eastAsia="Times New Roman" w:hAnsi="Times New Roman"/>
          <w:sz w:val="20"/>
          <w:szCs w:val="20"/>
        </w:rPr>
        <w:t xml:space="preserve">The BRD defines ten functional requirements (NDF set-up, trade checks, confirmations, integrations and regulatory reporting) and non-functional requirements (security, audit log, backup and recovery, availability). Ted Fernandez approved the BRD on 10/23/2025. Gate 4 was approved on 11/04/2025. The BRD was approved before Build.</w:t>
      </w:r>
    </w:p>
    <w:p>
      <w:pPr>
        <w:pStyle w:val="ListParagraph"/>
        <w:numPr>
          <w:ilvl w:val="0"/>
          <w:numId w:val="2"/>
        </w:numPr>
        <w:spacing w:after="60"/>
      </w:pPr>
      <w:r>
        <w:rPr>
          <w:rFonts w:ascii="Times New Roman" w:cs="Times New Roman" w:eastAsia="Times New Roman" w:hAnsi="Times New Roman"/>
          <w:b/>
          <w:bCs/>
          <w:sz w:val="20"/>
          <w:szCs w:val="20"/>
        </w:rPr>
        <w:t xml:space="preserve">Release 2: </w:t>
      </w:r>
      <w:r>
        <w:rPr>
          <w:rFonts w:ascii="Times New Roman" w:cs="Times New Roman" w:eastAsia="Times New Roman" w:hAnsi="Times New Roman"/>
          <w:sz w:val="20"/>
          <w:szCs w:val="20"/>
        </w:rPr>
        <w:t xml:space="preserve">The BRD defines four functional requirements and non-functional requirements (security, backup and recovery, availability). Ted Fernandez approved the BRD on 12/02/2025. Gate 4 was approved on 03/10/2026. The BRD was approved before Build.</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000"/>
        <w:gridCol w:w="1900"/>
        <w:gridCol w:w="1900"/>
        <w:gridCol w:w="226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Release</w:t>
            </w:r>
          </w:p>
        </w:tc>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Requirements defined</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Sponsor approval</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Gate 4 approval</w:t>
            </w:r>
          </w:p>
        </w:tc>
        <w:tc>
          <w:tcPr>
            <w:tcW w:type="dxa" w:w="22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Approved before Build</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SL R01</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Yes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02/06/2026</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Not provided</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Not evidenced</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SL R02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Yes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04/29/2026</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Not provided</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Pending</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NDF R01</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Yes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10/23/2025</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11/04/2025</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Yes</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NDF R02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Yes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12/02/2025</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03/10/2026</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Yes</w:t>
            </w:r>
          </w:p>
        </w:tc>
      </w:tr>
    </w:tbl>
    <w:p>
      <w:pPr>
        <w:spacing w:after="6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Pass (NDF) / Pending (Security Lending). </w:t>
      </w:r>
      <w:r>
        <w:rPr>
          <w:rFonts w:ascii="Times New Roman" w:cs="Times New Roman" w:eastAsia="Times New Roman" w:hAnsi="Times New Roman"/>
          <w:sz w:val="20"/>
          <w:szCs w:val="20"/>
        </w:rPr>
        <w:t xml:space="preserve">All four BRDs include functional and non-functional requirements. Both NDF BRDs were approved before Build. Approval before Build for Security Lending is pending (Open Item OI-01).</w:t>
      </w:r>
    </w:p>
    <w:p>
      <w:pPr>
        <w:spacing w:after="20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BSI.IT.23.C1.03 – BSI.IT.23.C1.12; ServiceNow release tickets (BSI.IT.23.C25 cross-reference)</w:t>
      </w:r>
    </w:p>
    <w:p>
      <w:pPr>
        <w:spacing w:after="100" w:before="240"/>
      </w:pPr>
      <w:r>
        <w:rPr>
          <w:rFonts w:ascii="Times New Roman" w:cs="Times New Roman" w:eastAsia="Times New Roman" w:hAnsi="Times New Roman"/>
          <w:b/>
          <w:bCs/>
          <w:sz w:val="20"/>
          <w:szCs w:val="20"/>
        </w:rPr>
        <w:t xml:space="preserve">5. IT RCSA </w:t>
      </w:r>
      <w:r>
        <w:rPr>
          <w:rFonts w:ascii="Times New Roman" w:cs="Times New Roman" w:eastAsia="Times New Roman" w:hAnsi="Times New Roman"/>
          <w:sz w:val="20"/>
          <w:szCs w:val="20"/>
        </w:rPr>
        <w:t xml:space="preserve">validated the approval evidence for each release:</w:t>
      </w:r>
    </w:p>
    <w:p>
      <w:pPr>
        <w:pStyle w:val="ListParagraph"/>
        <w:numPr>
          <w:ilvl w:val="0"/>
          <w:numId w:val="2"/>
        </w:numPr>
        <w:spacing w:after="60"/>
      </w:pPr>
      <w:r>
        <w:rPr>
          <w:rFonts w:ascii="Times New Roman" w:cs="Times New Roman" w:eastAsia="Times New Roman" w:hAnsi="Times New Roman"/>
          <w:sz w:val="20"/>
          <w:szCs w:val="20"/>
        </w:rPr>
        <w:t xml:space="preserve">All approvals were given by Ted Fernandez, who is the Business Sponsor recorded in Delivery Hub for both projects.</w:t>
      </w:r>
    </w:p>
    <w:p>
      <w:pPr>
        <w:pStyle w:val="ListParagraph"/>
        <w:numPr>
          <w:ilvl w:val="0"/>
          <w:numId w:val="2"/>
        </w:numPr>
        <w:spacing w:after="60"/>
      </w:pPr>
      <w:r>
        <w:rPr>
          <w:rFonts w:ascii="Times New Roman" w:cs="Times New Roman" w:eastAsia="Times New Roman" w:hAnsi="Times New Roman"/>
          <w:sz w:val="20"/>
          <w:szCs w:val="20"/>
        </w:rPr>
        <w:t xml:space="preserve">Each approval is an e-mail reply from the sponsor to the Project Manager's request and is recorded in the BRD approval table.</w:t>
      </w:r>
    </w:p>
    <w:p>
      <w:pPr>
        <w:pStyle w:val="ListParagraph"/>
        <w:numPr>
          <w:ilvl w:val="0"/>
          <w:numId w:val="2"/>
        </w:numPr>
        <w:spacing w:after="60"/>
      </w:pPr>
      <w:r>
        <w:rPr>
          <w:rFonts w:ascii="Times New Roman" w:cs="Times New Roman" w:eastAsia="Times New Roman" w:hAnsi="Times New Roman"/>
          <w:sz w:val="20"/>
          <w:szCs w:val="20"/>
        </w:rPr>
        <w:t xml:space="preserve">The approvals relate to the final version of each BRD. The Security Lending BRDs were not renumbered to version 1.0 after approval, as the template requires (Observation OBS-02).</w:t>
      </w:r>
    </w:p>
    <w:p>
      <w:pPr>
        <w:pStyle w:val="ListParagraph"/>
        <w:numPr>
          <w:ilvl w:val="0"/>
          <w:numId w:val="2"/>
        </w:numPr>
        <w:spacing w:after="60"/>
      </w:pPr>
      <w:r>
        <w:rPr>
          <w:rFonts w:ascii="Times New Roman" w:cs="Times New Roman" w:eastAsia="Times New Roman" w:hAnsi="Times New Roman"/>
          <w:sz w:val="20"/>
          <w:szCs w:val="20"/>
        </w:rPr>
        <w:t xml:space="preserve">The BRDs with the approvals attached are stored in Delivery Hub as part of the Gate 4 review.</w:t>
      </w:r>
    </w:p>
    <w:p>
      <w:pPr>
        <w:pStyle w:val="ListParagraph"/>
        <w:numPr>
          <w:ilvl w:val="0"/>
          <w:numId w:val="2"/>
        </w:numPr>
        <w:spacing w:after="60"/>
      </w:pPr>
      <w:r>
        <w:rPr>
          <w:rFonts w:ascii="Times New Roman" w:cs="Times New Roman" w:eastAsia="Times New Roman" w:hAnsi="Times New Roman"/>
          <w:sz w:val="20"/>
          <w:szCs w:val="20"/>
        </w:rPr>
        <w:t xml:space="preserve">New scope for Release 2 of each project was documented in a new BRD and approved separately. No unapproved changes were noted.</w:t>
      </w:r>
    </w:p>
    <w:p>
      <w:pPr>
        <w:spacing w:after="6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Pass. </w:t>
      </w:r>
      <w:r>
        <w:rPr>
          <w:rFonts w:ascii="Times New Roman" w:cs="Times New Roman" w:eastAsia="Times New Roman" w:hAnsi="Times New Roman"/>
          <w:sz w:val="20"/>
          <w:szCs w:val="20"/>
        </w:rPr>
        <w:t xml:space="preserve">Approvals were documented, given by the correct Business Sponsor and stored in Delivery Hub.</w:t>
      </w:r>
    </w:p>
    <w:p>
      <w:pPr>
        <w:spacing w:after="20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BSI.IT.23.C1.02, C1.03, C1.04, C1.05, C1.06, C1.07, C1.08, C1.09, C1.10, C1.11, C1.12</w:t>
      </w:r>
    </w:p>
    <w:p>
      <w:pPr>
        <w:spacing w:after="100" w:before="240"/>
      </w:pPr>
      <w:r>
        <w:rPr>
          <w:rFonts w:ascii="Times New Roman" w:cs="Times New Roman" w:eastAsia="Times New Roman" w:hAnsi="Times New Roman"/>
          <w:b/>
          <w:bCs/>
          <w:sz w:val="20"/>
          <w:szCs w:val="20"/>
        </w:rPr>
        <w:t xml:space="preserve">6. IT RCSA </w:t>
      </w:r>
      <w:r>
        <w:rPr>
          <w:rFonts w:ascii="Times New Roman" w:cs="Times New Roman" w:eastAsia="Times New Roman" w:hAnsi="Times New Roman"/>
          <w:sz w:val="20"/>
          <w:szCs w:val="20"/>
        </w:rPr>
        <w:t xml:space="preserve">reviewed the results to identify any exceptions:</w:t>
      </w:r>
    </w:p>
    <w:p>
      <w:pPr>
        <w:pStyle w:val="ListParagraph"/>
        <w:numPr>
          <w:ilvl w:val="0"/>
          <w:numId w:val="2"/>
        </w:numPr>
        <w:spacing w:after="60"/>
      </w:pPr>
      <w:r>
        <w:rPr>
          <w:rFonts w:ascii="Times New Roman" w:cs="Times New Roman" w:eastAsia="Times New Roman" w:hAnsi="Times New Roman"/>
          <w:sz w:val="20"/>
          <w:szCs w:val="20"/>
        </w:rPr>
        <w:t xml:space="preserve">All four releases have a BRD with requirements and a Business Sponsor approval.</w:t>
      </w:r>
    </w:p>
    <w:p>
      <w:pPr>
        <w:pStyle w:val="ListParagraph"/>
        <w:numPr>
          <w:ilvl w:val="0"/>
          <w:numId w:val="2"/>
        </w:numPr>
        <w:spacing w:after="60"/>
      </w:pPr>
      <w:r>
        <w:rPr>
          <w:rFonts w:ascii="Times New Roman" w:cs="Times New Roman" w:eastAsia="Times New Roman" w:hAnsi="Times New Roman"/>
          <w:sz w:val="20"/>
          <w:szCs w:val="20"/>
        </w:rPr>
        <w:t xml:space="preserve">One potential exception was noted: for Security Lending Release 1, the BRD was approved after build activities had started. The approval e-mail says the documents were approved in an earlier phase, but this was not evidenced.</w:t>
      </w:r>
    </w:p>
    <w:p>
      <w:pPr>
        <w:pStyle w:val="ListParagraph"/>
        <w:numPr>
          <w:ilvl w:val="0"/>
          <w:numId w:val="2"/>
        </w:numPr>
        <w:spacing w:after="60"/>
      </w:pPr>
      <w:r>
        <w:rPr>
          <w:rFonts w:ascii="Times New Roman" w:cs="Times New Roman" w:eastAsia="Times New Roman" w:hAnsi="Times New Roman"/>
          <w:sz w:val="20"/>
          <w:szCs w:val="20"/>
        </w:rPr>
        <w:t xml:space="preserve">No other exceptions were noted.</w:t>
      </w:r>
    </w:p>
    <w:p>
      <w:pPr>
        <w:spacing w:after="6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Pending. </w:t>
      </w:r>
      <w:r>
        <w:rPr>
          <w:rFonts w:ascii="Times New Roman" w:cs="Times New Roman" w:eastAsia="Times New Roman" w:hAnsi="Times New Roman"/>
          <w:sz w:val="20"/>
          <w:szCs w:val="20"/>
        </w:rPr>
        <w:t xml:space="preserve">If approval before Build cannot be evidenced for Security Lending Release 1, the sample will be concluded as a Fail and the control rating reassessed (Open Item OI-01).</w:t>
      </w:r>
    </w:p>
    <w:p>
      <w:pPr>
        <w:spacing w:after="20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BSI.IT.23.C1.03, BSI.IT.23.C1.04; release ticket RLSE1271544 (BSI.IT.23.C25.03)</w:t>
      </w:r>
    </w:p>
    <w:p>
      <w:pPr>
        <w:spacing w:after="100" w:before="240"/>
      </w:pPr>
      <w:r>
        <w:rPr>
          <w:rFonts w:ascii="Times New Roman" w:cs="Times New Roman" w:eastAsia="Times New Roman" w:hAnsi="Times New Roman"/>
          <w:b/>
          <w:bCs/>
          <w:sz w:val="20"/>
          <w:szCs w:val="20"/>
        </w:rPr>
        <w:t xml:space="preserve">7. IT RCSA </w:t>
      </w:r>
      <w:r>
        <w:rPr>
          <w:rFonts w:ascii="Times New Roman" w:cs="Times New Roman" w:eastAsia="Times New Roman" w:hAnsi="Times New Roman"/>
          <w:sz w:val="20"/>
          <w:szCs w:val="20"/>
        </w:rPr>
        <w:t xml:space="preserve">reviewed whether the potential exception was escalated and resolved:</w:t>
      </w:r>
    </w:p>
    <w:p>
      <w:pPr>
        <w:pStyle w:val="ListParagraph"/>
        <w:numPr>
          <w:ilvl w:val="0"/>
          <w:numId w:val="2"/>
        </w:numPr>
        <w:spacing w:after="60"/>
      </w:pPr>
      <w:r>
        <w:rPr>
          <w:rFonts w:ascii="Times New Roman" w:cs="Times New Roman" w:eastAsia="Times New Roman" w:hAnsi="Times New Roman"/>
          <w:sz w:val="20"/>
          <w:szCs w:val="20"/>
        </w:rPr>
        <w:t xml:space="preserve">Per the control, exceptions must be escalated following the EPMO standard and recorded in Delivery Hub. Project status is also reported monthly to management through the Technology Working Group.</w:t>
      </w:r>
    </w:p>
    <w:p>
      <w:pPr>
        <w:pStyle w:val="ListParagraph"/>
        <w:numPr>
          <w:ilvl w:val="0"/>
          <w:numId w:val="2"/>
        </w:numPr>
        <w:spacing w:after="60"/>
      </w:pPr>
      <w:r>
        <w:rPr>
          <w:rFonts w:ascii="Times New Roman" w:cs="Times New Roman" w:eastAsia="Times New Roman" w:hAnsi="Times New Roman"/>
          <w:sz w:val="20"/>
          <w:szCs w:val="20"/>
        </w:rPr>
        <w:t xml:space="preserve">No escalation, exception approval or risk acceptance was provided for Security Lending Release 1. This was requested from the PMO.</w:t>
      </w:r>
    </w:p>
    <w:p>
      <w:pPr>
        <w:pStyle w:val="ListParagraph"/>
        <w:numPr>
          <w:ilvl w:val="0"/>
          <w:numId w:val="2"/>
        </w:numPr>
        <w:spacing w:after="60"/>
      </w:pPr>
      <w:r>
        <w:rPr>
          <w:rFonts w:ascii="Times New Roman" w:cs="Times New Roman" w:eastAsia="Times New Roman" w:hAnsi="Times New Roman"/>
          <w:sz w:val="20"/>
          <w:szCs w:val="20"/>
        </w:rPr>
        <w:t xml:space="preserve">Not applicable for the NDF project, as no exceptions were noted.</w:t>
      </w:r>
    </w:p>
    <w:p>
      <w:pPr>
        <w:spacing w:after="6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Pending. </w:t>
      </w:r>
      <w:r>
        <w:rPr>
          <w:rFonts w:ascii="Times New Roman" w:cs="Times New Roman" w:eastAsia="Times New Roman" w:hAnsi="Times New Roman"/>
          <w:sz w:val="20"/>
          <w:szCs w:val="20"/>
        </w:rPr>
        <w:t xml:space="preserve">To be concluded once the PMO response is received.</w:t>
      </w:r>
    </w:p>
    <w:p>
      <w:pPr>
        <w:spacing w:after="20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BSI.IT.23.C1.01, BSI.IT.23.C1.04</w:t>
      </w:r>
    </w:p>
    <w:p>
      <w:pPr>
        <w:spacing w:after="100" w:before="240"/>
      </w:pPr>
      <w:r>
        <w:rPr>
          <w:rFonts w:ascii="Times New Roman" w:cs="Times New Roman" w:eastAsia="Times New Roman" w:hAnsi="Times New Roman"/>
          <w:b/>
          <w:bCs/>
          <w:sz w:val="20"/>
          <w:szCs w:val="20"/>
        </w:rPr>
        <w:t xml:space="preserve">8. IT RCSA </w:t>
      </w:r>
      <w:r>
        <w:rPr>
          <w:rFonts w:ascii="Times New Roman" w:cs="Times New Roman" w:eastAsia="Times New Roman" w:hAnsi="Times New Roman"/>
          <w:sz w:val="20"/>
          <w:szCs w:val="20"/>
        </w:rPr>
        <w:t xml:space="preserve">assessed whether the control reduces the risk of business requirements not being properly defined and documented:</w:t>
      </w:r>
    </w:p>
    <w:p>
      <w:pPr>
        <w:pStyle w:val="ListParagraph"/>
        <w:numPr>
          <w:ilvl w:val="0"/>
          <w:numId w:val="2"/>
        </w:numPr>
        <w:spacing w:after="60"/>
      </w:pPr>
      <w:r>
        <w:rPr>
          <w:rFonts w:ascii="Times New Roman" w:cs="Times New Roman" w:eastAsia="Times New Roman" w:hAnsi="Times New Roman"/>
          <w:b/>
          <w:bCs/>
          <w:sz w:val="20"/>
          <w:szCs w:val="20"/>
        </w:rPr>
        <w:t xml:space="preserve">NDF: </w:t>
      </w:r>
      <w:r>
        <w:rPr>
          <w:rFonts w:ascii="Times New Roman" w:cs="Times New Roman" w:eastAsia="Times New Roman" w:hAnsi="Times New Roman"/>
          <w:sz w:val="20"/>
          <w:szCs w:val="20"/>
        </w:rPr>
        <w:t xml:space="preserve">requirements were defined and approved by the Business Sponsor before Build for both releases. The control mitigated the risk.</w:t>
      </w:r>
    </w:p>
    <w:p>
      <w:pPr>
        <w:pStyle w:val="ListParagraph"/>
        <w:numPr>
          <w:ilvl w:val="0"/>
          <w:numId w:val="2"/>
        </w:numPr>
        <w:spacing w:after="60"/>
      </w:pPr>
      <w:r>
        <w:rPr>
          <w:rFonts w:ascii="Times New Roman" w:cs="Times New Roman" w:eastAsia="Times New Roman" w:hAnsi="Times New Roman"/>
          <w:b/>
          <w:bCs/>
          <w:sz w:val="20"/>
          <w:szCs w:val="20"/>
        </w:rPr>
        <w:t xml:space="preserve">Security Lending: </w:t>
      </w:r>
      <w:r>
        <w:rPr>
          <w:rFonts w:ascii="Times New Roman" w:cs="Times New Roman" w:eastAsia="Times New Roman" w:hAnsi="Times New Roman"/>
          <w:sz w:val="20"/>
          <w:szCs w:val="20"/>
        </w:rPr>
        <w:t xml:space="preserve">requirements were defined and approved, but approval before Build is not evidenced for Release 1. The conclusion is pending.</w:t>
      </w:r>
    </w:p>
    <w:p>
      <w:pPr>
        <w:spacing w:after="6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Pass (NDF) / Preliminary (Security Lending). </w:t>
      </w:r>
      <w:r>
        <w:rPr>
          <w:rFonts w:ascii="Times New Roman" w:cs="Times New Roman" w:eastAsia="Times New Roman" w:hAnsi="Times New Roman"/>
          <w:sz w:val="20"/>
          <w:szCs w:val="20"/>
        </w:rPr>
        <w:t xml:space="preserve">The control operates as designed for NDF; the Security Lending conclusion depends on Open Item OI-01.</w:t>
      </w:r>
    </w:p>
    <w:p>
      <w:pPr>
        <w:spacing w:after="20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BSI.IT.23.C1.03 – BSI.IT.23.C1.12</w:t>
      </w:r>
    </w:p>
    <w:p>
      <w:pPr>
        <w:spacing w:after="100" w:before="240"/>
      </w:pPr>
      <w:r>
        <w:rPr>
          <w:rFonts w:ascii="Times New Roman" w:cs="Times New Roman" w:eastAsia="Times New Roman" w:hAnsi="Times New Roman"/>
          <w:b/>
          <w:bCs/>
          <w:sz w:val="20"/>
          <w:szCs w:val="20"/>
        </w:rPr>
        <w:t xml:space="preserve">9. Summarize Testing Coverage</w:t>
      </w:r>
    </w:p>
    <w:p>
      <w:pPr>
        <w:spacing w:after="100"/>
      </w:pPr>
      <w:r>
        <w:rPr>
          <w:rFonts w:ascii="Times New Roman" w:cs="Times New Roman" w:eastAsia="Times New Roman" w:hAnsi="Times New Roman"/>
          <w:sz w:val="20"/>
          <w:szCs w:val="20"/>
        </w:rPr>
        <w:t xml:space="preserve">IT RCSA tested the Business Requirement control for the period September 1, 2025 through August 31, 2026:</w:t>
      </w:r>
    </w:p>
    <w:p>
      <w:pPr>
        <w:pStyle w:val="ListParagraph"/>
        <w:numPr>
          <w:ilvl w:val="0"/>
          <w:numId w:val="2"/>
        </w:numPr>
        <w:spacing w:after="60"/>
      </w:pPr>
      <w:r>
        <w:rPr>
          <w:rFonts w:ascii="Times New Roman" w:cs="Times New Roman" w:eastAsia="Times New Roman" w:hAnsi="Times New Roman"/>
          <w:b/>
          <w:bCs/>
          <w:sz w:val="20"/>
          <w:szCs w:val="20"/>
        </w:rPr>
        <w:t xml:space="preserve">Population: </w:t>
      </w:r>
      <w:r>
        <w:rPr>
          <w:rFonts w:ascii="Times New Roman" w:cs="Times New Roman" w:eastAsia="Times New Roman" w:hAnsi="Times New Roman"/>
          <w:sz w:val="20"/>
          <w:szCs w:val="20"/>
        </w:rPr>
        <w:t xml:space="preserve">100 change initiatives in Delivery Hub, of which 2 SDLC projects (4 releases).</w:t>
      </w:r>
    </w:p>
    <w:p>
      <w:pPr>
        <w:pStyle w:val="ListParagraph"/>
        <w:numPr>
          <w:ilvl w:val="0"/>
          <w:numId w:val="2"/>
        </w:numPr>
        <w:spacing w:after="60"/>
      </w:pPr>
      <w:r>
        <w:rPr>
          <w:rFonts w:ascii="Times New Roman" w:cs="Times New Roman" w:eastAsia="Times New Roman" w:hAnsi="Times New Roman"/>
          <w:b/>
          <w:bCs/>
          <w:sz w:val="20"/>
          <w:szCs w:val="20"/>
        </w:rPr>
        <w:t xml:space="preserve">Sample: </w:t>
      </w:r>
      <w:r>
        <w:rPr>
          <w:rFonts w:ascii="Times New Roman" w:cs="Times New Roman" w:eastAsia="Times New Roman" w:hAnsi="Times New Roman"/>
          <w:sz w:val="20"/>
          <w:szCs w:val="20"/>
        </w:rPr>
        <w:t xml:space="preserve">2 of 2 projects (100%) and all 4 releases.</w:t>
      </w:r>
    </w:p>
    <w:p>
      <w:pPr>
        <w:pStyle w:val="ListParagraph"/>
        <w:numPr>
          <w:ilvl w:val="0"/>
          <w:numId w:val="2"/>
        </w:numPr>
        <w:spacing w:after="60"/>
      </w:pPr>
      <w:r>
        <w:rPr>
          <w:rFonts w:ascii="Times New Roman" w:cs="Times New Roman" w:eastAsia="Times New Roman" w:hAnsi="Times New Roman"/>
          <w:b/>
          <w:bCs/>
          <w:sz w:val="20"/>
          <w:szCs w:val="20"/>
        </w:rPr>
        <w:t xml:space="preserve">Attribute 1 – Functional and non-functional requirements defined in the BRD: </w:t>
      </w:r>
      <w:r>
        <w:rPr>
          <w:rFonts w:ascii="Times New Roman" w:cs="Times New Roman" w:eastAsia="Times New Roman" w:hAnsi="Times New Roman"/>
          <w:sz w:val="20"/>
          <w:szCs w:val="20"/>
        </w:rPr>
        <w:t xml:space="preserve">4 of 4 Pass.</w:t>
      </w:r>
    </w:p>
    <w:p>
      <w:pPr>
        <w:pStyle w:val="ListParagraph"/>
        <w:numPr>
          <w:ilvl w:val="0"/>
          <w:numId w:val="2"/>
        </w:numPr>
        <w:spacing w:after="60"/>
      </w:pPr>
      <w:r>
        <w:rPr>
          <w:rFonts w:ascii="Times New Roman" w:cs="Times New Roman" w:eastAsia="Times New Roman" w:hAnsi="Times New Roman"/>
          <w:b/>
          <w:bCs/>
          <w:sz w:val="20"/>
          <w:szCs w:val="20"/>
        </w:rPr>
        <w:t xml:space="preserve">Attribute 2 – BRD approved by the Business Sponsor before Build: </w:t>
      </w:r>
      <w:r>
        <w:rPr>
          <w:rFonts w:ascii="Times New Roman" w:cs="Times New Roman" w:eastAsia="Times New Roman" w:hAnsi="Times New Roman"/>
          <w:sz w:val="20"/>
          <w:szCs w:val="20"/>
        </w:rPr>
        <w:t xml:space="preserve">NDF 2 of 2 Pass; Security Lending pending.</w:t>
      </w:r>
    </w:p>
    <w:p>
      <w:pPr>
        <w:pStyle w:val="ListParagraph"/>
        <w:numPr>
          <w:ilvl w:val="0"/>
          <w:numId w:val="2"/>
        </w:numPr>
        <w:spacing w:after="60"/>
      </w:pPr>
      <w:r>
        <w:rPr>
          <w:rFonts w:ascii="Times New Roman" w:cs="Times New Roman" w:eastAsia="Times New Roman" w:hAnsi="Times New Roman"/>
          <w:b/>
          <w:bCs/>
          <w:sz w:val="20"/>
          <w:szCs w:val="20"/>
        </w:rPr>
        <w:t xml:space="preserve">Exceptions: </w:t>
      </w:r>
      <w:r>
        <w:rPr>
          <w:rFonts w:ascii="Times New Roman" w:cs="Times New Roman" w:eastAsia="Times New Roman" w:hAnsi="Times New Roman"/>
          <w:sz w:val="20"/>
          <w:szCs w:val="20"/>
        </w:rPr>
        <w:t xml:space="preserve">none confirmed; 1 potential exception under follow-up.</w:t>
      </w:r>
    </w:p>
    <w:p>
      <w:pPr>
        <w:pStyle w:val="ListParagraph"/>
        <w:numPr>
          <w:ilvl w:val="0"/>
          <w:numId w:val="2"/>
        </w:numPr>
        <w:spacing w:after="60"/>
      </w:pPr>
      <w:r>
        <w:rPr>
          <w:rFonts w:ascii="Times New Roman" w:cs="Times New Roman" w:eastAsia="Times New Roman" w:hAnsi="Times New Roman"/>
          <w:b/>
          <w:bCs/>
          <w:sz w:val="20"/>
          <w:szCs w:val="20"/>
        </w:rPr>
        <w:t xml:space="preserve">Ratings: </w:t>
      </w:r>
      <w:r>
        <w:rPr>
          <w:rFonts w:ascii="Times New Roman" w:cs="Times New Roman" w:eastAsia="Times New Roman" w:hAnsi="Times New Roman"/>
          <w:sz w:val="20"/>
          <w:szCs w:val="20"/>
        </w:rPr>
        <w:t xml:space="preserve">Design – Satisfactory. Performance – Pending (preliminary Satisfactory for NDF).</w:t>
      </w:r>
    </w:p>
    <w:p>
      <w:pPr>
        <w:spacing w:after="6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Completed – pending open items. </w:t>
      </w:r>
      <w:r>
        <w:rPr>
          <w:rFonts w:ascii="Times New Roman" w:cs="Times New Roman" w:eastAsia="Times New Roman" w:hAnsi="Times New Roman"/>
          <w:sz w:val="20"/>
          <w:szCs w:val="20"/>
        </w:rPr>
        <w:t xml:space="preserve">Testing coverage was sufficient. The final rating will be concluded when Open Items OI-01 and OI-03 are closed.</w:t>
      </w:r>
    </w:p>
    <w:p>
      <w:pPr>
        <w:spacing w:after="20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BSI.IT.23.C1.02 – BSI.IT.23.C1.12; Workpaper tab Control Performance Assessment</w:t>
      </w:r>
    </w:p>
    <w:p>
      <w:pPr>
        <w:spacing w:after="100" w:before="240"/>
      </w:pPr>
      <w:r>
        <w:rPr>
          <w:rFonts w:ascii="Times New Roman" w:cs="Times New Roman" w:eastAsia="Times New Roman" w:hAnsi="Times New Roman"/>
          <w:b/>
          <w:bCs/>
          <w:sz w:val="20"/>
          <w:szCs w:val="20"/>
        </w:rPr>
        <w:t xml:space="preserve">Additional attribute testing</w:t>
      </w:r>
    </w:p>
    <w:p>
      <w:pPr>
        <w:spacing w:after="100"/>
      </w:pPr>
      <w:r>
        <w:rPr>
          <w:rFonts w:ascii="Times New Roman" w:cs="Times New Roman" w:eastAsia="Times New Roman" w:hAnsi="Times New Roman"/>
          <w:b/>
          <w:bCs/>
          <w:sz w:val="20"/>
          <w:szCs w:val="20"/>
        </w:rPr>
        <w:t xml:space="preserve">Was evidence of the BRD and Business Sponsor approval kept in Delivery Hub?</w:t>
      </w:r>
    </w:p>
    <w:p>
      <w:pPr>
        <w:spacing w:after="100"/>
      </w:pPr>
      <w:r>
        <w:rPr>
          <w:rFonts w:ascii="Times New Roman" w:cs="Times New Roman" w:eastAsia="Times New Roman" w:hAnsi="Times New Roman"/>
          <w:sz w:val="20"/>
          <w:szCs w:val="20"/>
        </w:rPr>
        <w:t xml:space="preserve">IT RCSA confirmed that each BRD has the sponsor approval e-mail attached and that the NDF Gate 4 approvals are recorded in Delivery Hub. The evidence was provided by the PMO, as access to Delivery Hub is restricted.</w:t>
      </w:r>
    </w:p>
    <w:p>
      <w:pPr>
        <w:spacing w:after="6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Pass (NDF) / Pending (Security Lending). </w:t>
      </w:r>
      <w:r>
        <w:rPr>
          <w:rFonts w:ascii="Times New Roman" w:cs="Times New Roman" w:eastAsia="Times New Roman" w:hAnsi="Times New Roman"/>
          <w:sz w:val="20"/>
          <w:szCs w:val="20"/>
        </w:rPr>
        <w:t xml:space="preserve">BRDs and approvals were kept for all releases; Gate 4 records for Security Lending are pending.</w:t>
      </w:r>
    </w:p>
    <w:p>
      <w:pPr>
        <w:spacing w:after="20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BSI.IT.23.C1.03, C1.05, C1.07, C1.09, C1.10, C1.12</w:t>
      </w:r>
    </w:p>
    <w:p>
      <w:pPr>
        <w:spacing w:after="100" w:before="240"/>
      </w:pPr>
      <w:r>
        <w:rPr>
          <w:rFonts w:ascii="Times New Roman" w:cs="Times New Roman" w:eastAsia="Times New Roman" w:hAnsi="Times New Roman"/>
          <w:b/>
          <w:bCs/>
          <w:sz w:val="20"/>
          <w:szCs w:val="20"/>
        </w:rPr>
        <w:t xml:space="preserve">Open items and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860"/>
        <w:gridCol w:w="2500"/>
      </w:tblGrid>
      <w:tr>
        <w:trPr>
          <w:tblHeader/>
        </w:trPr>
        <w:tc>
          <w:tcPr>
            <w:tcW w:type="dxa" w:w="1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Ref</w:t>
            </w:r>
          </w:p>
        </w:tc>
        <w:tc>
          <w:tcPr>
            <w:tcW w:type="dxa" w:w="58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Description</w:t>
            </w:r>
          </w:p>
        </w:tc>
        <w:tc>
          <w:tcPr>
            <w:tcW w:type="dxa" w:w="2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Action</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OI-01</w:t>
            </w:r>
          </w:p>
        </w:tc>
        <w:tc>
          <w:tcPr>
            <w:tcW w:type="dxa" w:w="5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Gate 4 approvals for Security Lending Releases 1 and 2 not provided. Release 1 BRD approved after build activities started.</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Obtain from PMO. If not evidenced, Sample 1 fails.</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OI-03</w:t>
            </w:r>
          </w:p>
        </w:tc>
        <w:tc>
          <w:tcPr>
            <w:tcW w:type="dxa" w:w="5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No independent production release list provided. Projects 3512 and 3625 have a blank SDLC flag.</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Obtain release list and PMO explanation.</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OBS-01</w:t>
            </w:r>
          </w:p>
        </w:tc>
        <w:tc>
          <w:tcPr>
            <w:tcW w:type="dxa" w:w="5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Security Lending BRDs only include security non-functional requirements; other sections are marked "NA".</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Share with control owner.</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OBS-02</w:t>
            </w:r>
          </w:p>
        </w:tc>
        <w:tc>
          <w:tcPr>
            <w:tcW w:type="dxa" w:w="5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Security Lending BRDs were not renumbered to version 1.0 after approval.</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Share with control owner.</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OBS-03</w:t>
            </w:r>
          </w:p>
        </w:tc>
        <w:tc>
          <w:tcPr>
            <w:tcW w:type="dxa" w:w="5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The 2026 SDLC process map is still in draft, and no 2026 walkthrough was held.</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Management to finalize; confirm no process changes.</w:t>
            </w:r>
          </w:p>
        </w:tc>
      </w:tr>
    </w:tbl>
    <w:p>
      <w:pPr>
        <w:spacing w:after="100" w:before="240"/>
      </w:pPr>
      <w:r>
        <w:rPr>
          <w:rFonts w:ascii="Times New Roman" w:cs="Times New Roman" w:eastAsia="Times New Roman" w:hAnsi="Times New Roman"/>
          <w:b/>
          <w:bCs/>
          <w:sz w:val="20"/>
          <w:szCs w:val="20"/>
        </w:rPr>
        <w:t xml:space="preserve">Evidence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Ref</w:t>
            </w:r>
          </w:p>
        </w:tc>
        <w:tc>
          <w:tcPr>
            <w:tcW w:type="dxa" w:w="80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Document</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C1.01</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ybl1l_x5yy3xetdzaemq3">
              <w:r>
                <w:rPr>
                  <w:rStyle w:val="Hyperlink"/>
                  <w:rFonts w:ascii="Times New Roman" w:cs="Times New Roman" w:eastAsia="Times New Roman" w:hAnsi="Times New Roman"/>
                  <w:b w:val="false"/>
                  <w:bCs w:val="false"/>
                  <w:color w:val="0563C1"/>
                  <w:sz w:val="18"/>
                  <w:szCs w:val="18"/>
                  <w:u w:val="single"/>
                </w:rPr>
                <w:t xml:space="preserve">2026 PM_Systems Development Life Cycle (BSI)_v1.pdf</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C1.02</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b3w9glzhtpmtogxqqxe6q">
              <w:r>
                <w:rPr>
                  <w:rStyle w:val="Hyperlink"/>
                  <w:rFonts w:ascii="Times New Roman" w:cs="Times New Roman" w:eastAsia="Times New Roman" w:hAnsi="Times New Roman"/>
                  <w:b w:val="false"/>
                  <w:bCs w:val="false"/>
                  <w:color w:val="0563C1"/>
                  <w:sz w:val="18"/>
                  <w:szCs w:val="18"/>
                  <w:u w:val="single"/>
                </w:rPr>
                <w:t xml:space="preserve">SDLC Project List (population).xlsx</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C1.03</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h14x5z4ysonr_odm0savj">
              <w:r>
                <w:rPr>
                  <w:rStyle w:val="Hyperlink"/>
                  <w:rFonts w:ascii="Times New Roman" w:cs="Times New Roman" w:eastAsia="Times New Roman" w:hAnsi="Times New Roman"/>
                  <w:b w:val="false"/>
                  <w:bCs w:val="false"/>
                  <w:color w:val="0563C1"/>
                  <w:sz w:val="18"/>
                  <w:szCs w:val="18"/>
                  <w:u w:val="single"/>
                </w:rPr>
                <w:t xml:space="preserve">Security Lending R01 - 3263 SECLENDING Business Requirements Document FINAL.docx</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C1.04</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suovln9noih12nhyt9ghd">
              <w:r>
                <w:rPr>
                  <w:rStyle w:val="Hyperlink"/>
                  <w:rFonts w:ascii="Times New Roman" w:cs="Times New Roman" w:eastAsia="Times New Roman" w:hAnsi="Times New Roman"/>
                  <w:b w:val="false"/>
                  <w:bCs w:val="false"/>
                  <w:color w:val="0563C1"/>
                  <w:sz w:val="18"/>
                  <w:szCs w:val="18"/>
                  <w:u w:val="single"/>
                </w:rPr>
                <w:t xml:space="preserve">Security Lending R01 - Sponsor Approval email 02-06-2026 (extracted from C1.03).msg</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C1.05</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kwye4abygv_s52runwg9a">
              <w:r>
                <w:rPr>
                  <w:rStyle w:val="Hyperlink"/>
                  <w:rFonts w:ascii="Times New Roman" w:cs="Times New Roman" w:eastAsia="Times New Roman" w:hAnsi="Times New Roman"/>
                  <w:b w:val="false"/>
                  <w:bCs w:val="false"/>
                  <w:color w:val="0563C1"/>
                  <w:sz w:val="18"/>
                  <w:szCs w:val="18"/>
                  <w:u w:val="single"/>
                </w:rPr>
                <w:t xml:space="preserve">Security Lending R02 - 3263 Business Requirements FINAL.docx</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C1.06</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tqwfhmoo0cx86htxiikyj">
              <w:r>
                <w:rPr>
                  <w:rStyle w:val="Hyperlink"/>
                  <w:rFonts w:ascii="Times New Roman" w:cs="Times New Roman" w:eastAsia="Times New Roman" w:hAnsi="Times New Roman"/>
                  <w:b w:val="false"/>
                  <w:bCs w:val="false"/>
                  <w:color w:val="0563C1"/>
                  <w:sz w:val="18"/>
                  <w:szCs w:val="18"/>
                  <w:u w:val="single"/>
                </w:rPr>
                <w:t xml:space="preserve">Security Lending R02 - Sponsor Approval email 04-29-2026 (extracted from C1.05).msg</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C1.07</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2bjpis9uvayi4ee-dsnpd">
              <w:r>
                <w:rPr>
                  <w:rStyle w:val="Hyperlink"/>
                  <w:rFonts w:ascii="Times New Roman" w:cs="Times New Roman" w:eastAsia="Times New Roman" w:hAnsi="Times New Roman"/>
                  <w:b w:val="false"/>
                  <w:bCs w:val="false"/>
                  <w:color w:val="0563C1"/>
                  <w:sz w:val="18"/>
                  <w:szCs w:val="18"/>
                  <w:u w:val="single"/>
                </w:rPr>
                <w:t xml:space="preserve">NDF R01 - DH 3264 Business Requirements Document_final.docx</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C1.08</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eh1dg92ijcvtb02rrmbnp">
              <w:r>
                <w:rPr>
                  <w:rStyle w:val="Hyperlink"/>
                  <w:rFonts w:ascii="Times New Roman" w:cs="Times New Roman" w:eastAsia="Times New Roman" w:hAnsi="Times New Roman"/>
                  <w:b w:val="false"/>
                  <w:bCs w:val="false"/>
                  <w:color w:val="0563C1"/>
                  <w:sz w:val="18"/>
                  <w:szCs w:val="18"/>
                  <w:u w:val="single"/>
                </w:rPr>
                <w:t xml:space="preserve">NDF R01 - BRD Sponsor Sign-off email 10-23-2025 (extracted from C1.07).msg</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C1.09</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1swjakyko-spm6hv50yyf">
              <w:r>
                <w:rPr>
                  <w:rStyle w:val="Hyperlink"/>
                  <w:rFonts w:ascii="Times New Roman" w:cs="Times New Roman" w:eastAsia="Times New Roman" w:hAnsi="Times New Roman"/>
                  <w:b w:val="false"/>
                  <w:bCs w:val="false"/>
                  <w:color w:val="0563C1"/>
                  <w:sz w:val="18"/>
                  <w:szCs w:val="18"/>
                  <w:u w:val="single"/>
                </w:rPr>
                <w:t xml:space="preserve">NDF R01 - Delivery Hub Gate 4 (PTB) approval 11-04-2025.pdf</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C1.10</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ifs4ra59lyonsk3hq5qzy">
              <w:r>
                <w:rPr>
                  <w:rStyle w:val="Hyperlink"/>
                  <w:rFonts w:ascii="Times New Roman" w:cs="Times New Roman" w:eastAsia="Times New Roman" w:hAnsi="Times New Roman"/>
                  <w:b w:val="false"/>
                  <w:bCs w:val="false"/>
                  <w:color w:val="0563C1"/>
                  <w:sz w:val="18"/>
                  <w:szCs w:val="18"/>
                  <w:u w:val="single"/>
                </w:rPr>
                <w:t xml:space="preserve">NDF R02 - DH 3264 RL2 Business Requirements Document_final.docx</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C1.11</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shn3i8i8vq0nzqj9u2nri">
              <w:r>
                <w:rPr>
                  <w:rStyle w:val="Hyperlink"/>
                  <w:rFonts w:ascii="Times New Roman" w:cs="Times New Roman" w:eastAsia="Times New Roman" w:hAnsi="Times New Roman"/>
                  <w:b w:val="false"/>
                  <w:bCs w:val="false"/>
                  <w:color w:val="0563C1"/>
                  <w:sz w:val="18"/>
                  <w:szCs w:val="18"/>
                  <w:u w:val="single"/>
                </w:rPr>
                <w:t xml:space="preserve">NDF R02 - BRD Sponsor Sign-off email 12-02-2025 (extracted from C1.10).msg</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C1.12</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p0e-qf29gmayfsy4cjrma">
              <w:r>
                <w:rPr>
                  <w:rStyle w:val="Hyperlink"/>
                  <w:rFonts w:ascii="Times New Roman" w:cs="Times New Roman" w:eastAsia="Times New Roman" w:hAnsi="Times New Roman"/>
                  <w:b w:val="false"/>
                  <w:bCs w:val="false"/>
                  <w:color w:val="0563C1"/>
                  <w:sz w:val="18"/>
                  <w:szCs w:val="18"/>
                  <w:u w:val="single"/>
                </w:rPr>
                <w:t xml:space="preserve">NDF R02 - Delivery Hub Gate 4 (PTB) approval 03-10-2026.pdf</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Workpaper</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bb-alqglej-mwtvqadmkt">
              <w:r>
                <w:rPr>
                  <w:rStyle w:val="Hyperlink"/>
                  <w:rFonts w:ascii="Times New Roman" w:cs="Times New Roman" w:eastAsia="Times New Roman" w:hAnsi="Times New Roman"/>
                  <w:b w:val="false"/>
                  <w:bCs w:val="false"/>
                  <w:color w:val="0563C1"/>
                  <w:sz w:val="18"/>
                  <w:szCs w:val="18"/>
                  <w:u w:val="single"/>
                </w:rPr>
                <w:t xml:space="preserve">WP 2026 BSI.IT.23.C1 Business Requirement (tabs Control Design Assessment, Control Performance Assessment, New Test Script)</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C25 (cross-ref)</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ServiceNow release tickets RLSE1271544, RLSE1370716, RLSE1270306, RLSE1329424 (BSI.IT.23.C25 workpaper)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16"/>
        <w:szCs w:val="16"/>
      </w:rPr>
      <w:t xml:space="preserve">BSI.IT.23.C1 Business Requirement – Testing Procedures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o"/>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bl1l_x5yy3xetdzaemq3" Type="http://schemas.openxmlformats.org/officeDocument/2006/relationships/hyperlink" Target="Evidence/BSI.IT.23.C1.01%20-%202026%20PM_Systems%20Development%20Life%20Cycle%20(BSI)_v1.pdf" TargetMode="External"/><Relationship Id="rIdb3w9glzhtpmtogxqqxe6q" Type="http://schemas.openxmlformats.org/officeDocument/2006/relationships/hyperlink" Target="Evidence/BSI.IT.23.C1.02%20-%20SDLC%20Project%20List%20(population).xlsx" TargetMode="External"/><Relationship Id="rIdh14x5z4ysonr_odm0savj" Type="http://schemas.openxmlformats.org/officeDocument/2006/relationships/hyperlink" Target="Evidence/BSI.IT.23.C1.03%20-%20Security%20Lending%20R01%20-%203263%20SECLENDING%20Business%20Requirements%20Document%20FINAL.docx" TargetMode="External"/><Relationship Id="rIdsuovln9noih12nhyt9ghd" Type="http://schemas.openxmlformats.org/officeDocument/2006/relationships/hyperlink" Target="Evidence/BSI.IT.23.C1.04%20-%20Security%20Lending%20R01%20-%20Sponsor%20Approval%20email%2002-06-2026%20(extracted%20from%20C1.03).msg" TargetMode="External"/><Relationship Id="rIdkwye4abygv_s52runwg9a" Type="http://schemas.openxmlformats.org/officeDocument/2006/relationships/hyperlink" Target="Evidence/BSI.IT.23.C1.05%20-%20Security%20Lending%20R02%20-%203263%20Business%20Requirements%20FINAL.docx" TargetMode="External"/><Relationship Id="rIdtqwfhmoo0cx86htxiikyj" Type="http://schemas.openxmlformats.org/officeDocument/2006/relationships/hyperlink" Target="Evidence/BSI.IT.23.C1.06%20-%20Security%20Lending%20R02%20-%20Sponsor%20Approval%20email%2004-29-2026%20(extracted%20from%20C1.05).msg" TargetMode="External"/><Relationship Id="rId2bjpis9uvayi4ee-dsnpd" Type="http://schemas.openxmlformats.org/officeDocument/2006/relationships/hyperlink" Target="Evidence/BSI.IT.23.C1.07%20-%20NDF%20R01%20-%20DH%203264%20Business%20Requirements%20Document_final.docx" TargetMode="External"/><Relationship Id="rIdeh1dg92ijcvtb02rrmbnp" Type="http://schemas.openxmlformats.org/officeDocument/2006/relationships/hyperlink" Target="Evidence/BSI.IT.23.C1.08%20-%20NDF%20R01%20-%20BRD%20Sponsor%20Sign-off%20email%2010-23-2025%20(extracted%20from%20C1.07).msg" TargetMode="External"/><Relationship Id="rId1swjakyko-spm6hv50yyf" Type="http://schemas.openxmlformats.org/officeDocument/2006/relationships/hyperlink" Target="Evidence/BSI.IT.23.C1.09%20-%20NDF%20R01%20-%20Delivery%20Hub%20Gate%204%20(PTB)%20approval%2011-04-2025.pdf" TargetMode="External"/><Relationship Id="rIdifs4ra59lyonsk3hq5qzy" Type="http://schemas.openxmlformats.org/officeDocument/2006/relationships/hyperlink" Target="Evidence/BSI.IT.23.C1.10%20-%20NDF%20R02%20-%20DH%203264%20RL2%20Business%20Requirements%20Document_final.docx" TargetMode="External"/><Relationship Id="rIdshn3i8i8vq0nzqj9u2nri" Type="http://schemas.openxmlformats.org/officeDocument/2006/relationships/hyperlink" Target="Evidence/BSI.IT.23.C1.11%20-%20NDF%20R02%20-%20BRD%20Sponsor%20Sign-off%20email%2012-02-2025%20(extracted%20from%20C1.10).msg" TargetMode="External"/><Relationship Id="rIdp0e-qf29gmayfsy4cjrma" Type="http://schemas.openxmlformats.org/officeDocument/2006/relationships/hyperlink" Target="Evidence/BSI.IT.23.C1.12%20-%20NDF%20R02%20-%20Delivery%20Hub%20Gate%204%20(PTB)%20approval%2003-10-2026.pdf" TargetMode="External"/><Relationship Id="rIdbb-alqglej-mwtvqadmkt" Type="http://schemas.openxmlformats.org/officeDocument/2006/relationships/hyperlink" Target="WP%202026%20BSI.IT.23.C1%20Business%20Requirement.xlsm"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BSI.IT.23.C1 Business Requirement – Testing Procedures</dc:title>
  <dc:creator>IT RCSA</dc:creator>
  <cp:lastModifiedBy>Un-named</cp:lastModifiedBy>
  <cp:revision>1</cp:revision>
  <dcterms:created xsi:type="dcterms:W3CDTF">2026-10-23T19:52:16.591Z</dcterms:created>
  <dcterms:modified xsi:type="dcterms:W3CDTF">2026-10-23T19:52:16.592Z</dcterms:modified>
</cp:coreProperties>
</file>

<file path=docProps/custom.xml><?xml version="1.0" encoding="utf-8"?>
<Properties xmlns="http://schemas.openxmlformats.org/officeDocument/2006/custom-properties" xmlns:vt="http://schemas.openxmlformats.org/officeDocument/2006/docPropsVTypes"/>
</file>