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ptos Display" w:cs="Aptos Display" w:eastAsia="Aptos Display" w:hAnsi="Aptos Display"/>
          <w:b/>
          <w:bCs/>
          <w:color w:val="17365D"/>
          <w:sz w:val="52"/>
          <w:szCs w:val="52"/>
        </w:rPr>
        <w:t xml:space="preserve">IT RCSA Audit Documentation</w:t>
      </w:r>
    </w:p>
    <w:p>
      <w:pPr>
        <w:spacing w:after="60"/>
      </w:pPr>
      <w:r>
        <w:rPr>
          <w:rFonts w:ascii="Aptos" w:cs="Aptos" w:eastAsia="Aptos" w:hAnsi="Aptos"/>
          <w:b/>
          <w:bCs/>
          <w:color w:val="0078D4"/>
          <w:sz w:val="34"/>
          <w:szCs w:val="34"/>
        </w:rPr>
        <w:t xml:space="preserve">Business Requirement – BSI.IT.23.C1</w:t>
      </w:r>
    </w:p>
    <w:p>
      <w:pPr>
        <w:spacing w:after="160"/>
      </w:pPr>
      <w:r>
        <w:rPr>
          <w:rFonts w:ascii="Aptos" w:cs="Aptos" w:eastAsia="Aptos" w:hAnsi="Aptos"/>
          <w:i/>
          <w:iCs/>
          <w:color w:val="475569"/>
          <w:sz w:val="20"/>
          <w:szCs w:val="20"/>
        </w:rPr>
        <w:t xml:space="preserve">Design Assessment, Walkthrough and Sample of One (DH 3264 – Derivatives NDF, Release 01)</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408"/>
        <w:gridCol w:w="3408"/>
        <w:gridCol w:w="3408"/>
      </w:tblGrid>
      <w:tr>
        <w:tc>
          <w:tcPr>
            <w:tcW w:type="dxa" w:w="3408"/>
            <w:tcBorders>
              <w:top w:val="none" w:color="FFFFFF" w:sz="0"/>
              <w:left w:val="none" w:color="FFFFFF" w:sz="0"/>
              <w:bottom w:val="none" w:color="FFFFFF" w:sz="0"/>
              <w:right w:val="none" w:color="FFFFFF" w:sz="0"/>
            </w:tcBorders>
            <w:shd w:fill="EAF4FB" w:color="auto" w:val="clear"/>
            <w:tcMar>
              <w:top w:type="dxa" w:w="80"/>
              <w:left w:type="dxa" w:w="100"/>
              <w:bottom w:type="dxa" w:w="0"/>
              <w:right w:type="dxa" w:w="100"/>
            </w:tcMar>
          </w:tcPr>
          <w:p>
            <w:pPr>
              <w:spacing w:after="0"/>
              <w:jc w:val="center"/>
            </w:pPr>
            <w:r>
              <w:rPr>
                <w:rFonts w:ascii="Aptos" w:cs="Aptos" w:eastAsia="Aptos" w:hAnsi="Aptos"/>
                <w:b/>
                <w:bCs/>
                <w:color w:val="475569"/>
                <w:sz w:val="14"/>
                <w:szCs w:val="14"/>
              </w:rPr>
              <w:t xml:space="preserve">DESIGN RATING</w:t>
            </w:r>
          </w:p>
        </w:tc>
        <w:tc>
          <w:tcPr>
            <w:tcW w:type="dxa" w:w="3408"/>
            <w:tcBorders>
              <w:top w:val="none" w:color="FFFFFF" w:sz="0"/>
              <w:left w:val="none" w:color="FFFFFF" w:sz="0"/>
              <w:bottom w:val="none" w:color="FFFFFF" w:sz="0"/>
              <w:right w:val="none" w:color="FFFFFF" w:sz="0"/>
            </w:tcBorders>
            <w:shd w:fill="EAF4FB" w:color="auto" w:val="clear"/>
            <w:tcMar>
              <w:top w:type="dxa" w:w="80"/>
              <w:left w:type="dxa" w:w="100"/>
              <w:bottom w:type="dxa" w:w="0"/>
              <w:right w:type="dxa" w:w="100"/>
            </w:tcMar>
          </w:tcPr>
          <w:p>
            <w:pPr>
              <w:spacing w:after="0"/>
              <w:jc w:val="center"/>
            </w:pPr>
            <w:r>
              <w:rPr>
                <w:rFonts w:ascii="Aptos" w:cs="Aptos" w:eastAsia="Aptos" w:hAnsi="Aptos"/>
                <w:b/>
                <w:bCs/>
                <w:color w:val="475569"/>
                <w:sz w:val="14"/>
                <w:szCs w:val="14"/>
              </w:rPr>
              <w:t xml:space="preserve">SAMPLE 3264 R01</w:t>
            </w:r>
          </w:p>
        </w:tc>
        <w:tc>
          <w:tcPr>
            <w:tcW w:type="dxa" w:w="3408"/>
            <w:tcBorders>
              <w:top w:val="none" w:color="FFFFFF" w:sz="0"/>
              <w:left w:val="none" w:color="FFFFFF" w:sz="0"/>
              <w:bottom w:val="none" w:color="FFFFFF" w:sz="0"/>
              <w:right w:val="none" w:color="FFFFFF" w:sz="0"/>
            </w:tcBorders>
            <w:shd w:fill="EAF4FB" w:color="auto" w:val="clear"/>
            <w:tcMar>
              <w:top w:type="dxa" w:w="80"/>
              <w:left w:type="dxa" w:w="100"/>
              <w:bottom w:type="dxa" w:w="0"/>
              <w:right w:type="dxa" w:w="100"/>
            </w:tcMar>
          </w:tcPr>
          <w:p>
            <w:pPr>
              <w:spacing w:after="0"/>
              <w:jc w:val="center"/>
            </w:pPr>
            <w:r>
              <w:rPr>
                <w:rFonts w:ascii="Aptos" w:cs="Aptos" w:eastAsia="Aptos" w:hAnsi="Aptos"/>
                <w:b/>
                <w:bCs/>
                <w:color w:val="475569"/>
                <w:sz w:val="14"/>
                <w:szCs w:val="14"/>
              </w:rPr>
              <w:t xml:space="preserve">OBSERVATIONS</w:t>
            </w:r>
          </w:p>
        </w:tc>
      </w:tr>
      <w:tr>
        <w:tc>
          <w:tcPr>
            <w:tcW w:type="dxa" w:w="3408"/>
            <w:tcBorders>
              <w:top w:val="none" w:color="FFFFFF" w:sz="0"/>
              <w:left w:val="none" w:color="FFFFFF" w:sz="0"/>
              <w:bottom w:val="none" w:color="FFFFFF" w:sz="0"/>
              <w:right w:val="none" w:color="FFFFFF" w:sz="0"/>
            </w:tcBorders>
            <w:shd w:fill="EAF4FB" w:color="auto" w:val="clear"/>
            <w:tcMar>
              <w:top w:type="dxa" w:w="0"/>
              <w:left w:type="dxa" w:w="100"/>
              <w:bottom w:type="dxa" w:w="80"/>
              <w:right w:type="dxa" w:w="100"/>
            </w:tcMar>
          </w:tcPr>
          <w:p>
            <w:pPr>
              <w:spacing w:after="0"/>
              <w:jc w:val="center"/>
            </w:pPr>
            <w:r>
              <w:rPr>
                <w:rFonts w:ascii="Aptos" w:cs="Aptos" w:eastAsia="Aptos" w:hAnsi="Aptos"/>
                <w:b/>
                <w:bCs/>
                <w:color w:val="107C41"/>
                <w:sz w:val="26"/>
                <w:szCs w:val="26"/>
              </w:rPr>
              <w:t xml:space="preserve">SATISFACTORY</w:t>
            </w:r>
          </w:p>
        </w:tc>
        <w:tc>
          <w:tcPr>
            <w:tcW w:type="dxa" w:w="3408"/>
            <w:tcBorders>
              <w:top w:val="none" w:color="FFFFFF" w:sz="0"/>
              <w:left w:val="none" w:color="FFFFFF" w:sz="0"/>
              <w:bottom w:val="none" w:color="FFFFFF" w:sz="0"/>
              <w:right w:val="none" w:color="FFFFFF" w:sz="0"/>
            </w:tcBorders>
            <w:shd w:fill="EAF4FB" w:color="auto" w:val="clear"/>
            <w:tcMar>
              <w:top w:type="dxa" w:w="0"/>
              <w:left w:type="dxa" w:w="100"/>
              <w:bottom w:type="dxa" w:w="80"/>
              <w:right w:type="dxa" w:w="100"/>
            </w:tcMar>
          </w:tcPr>
          <w:p>
            <w:pPr>
              <w:spacing w:after="0"/>
              <w:jc w:val="center"/>
            </w:pPr>
            <w:r>
              <w:rPr>
                <w:rFonts w:ascii="Aptos" w:cs="Aptos" w:eastAsia="Aptos" w:hAnsi="Aptos"/>
                <w:b/>
                <w:bCs/>
                <w:color w:val="107C41"/>
                <w:sz w:val="26"/>
                <w:szCs w:val="26"/>
              </w:rPr>
              <w:t xml:space="preserve">PASS</w:t>
            </w:r>
          </w:p>
        </w:tc>
        <w:tc>
          <w:tcPr>
            <w:tcW w:type="dxa" w:w="3408"/>
            <w:tcBorders>
              <w:top w:val="none" w:color="FFFFFF" w:sz="0"/>
              <w:left w:val="none" w:color="FFFFFF" w:sz="0"/>
              <w:bottom w:val="none" w:color="FFFFFF" w:sz="0"/>
              <w:right w:val="none" w:color="FFFFFF" w:sz="0"/>
            </w:tcBorders>
            <w:shd w:fill="EAF4FB" w:color="auto" w:val="clear"/>
            <w:tcMar>
              <w:top w:type="dxa" w:w="0"/>
              <w:left w:type="dxa" w:w="100"/>
              <w:bottom w:type="dxa" w:w="80"/>
              <w:right w:type="dxa" w:w="100"/>
            </w:tcMar>
          </w:tcPr>
          <w:p>
            <w:pPr>
              <w:spacing w:after="0"/>
              <w:jc w:val="center"/>
            </w:pPr>
            <w:r>
              <w:rPr>
                <w:rFonts w:ascii="Aptos" w:cs="Aptos" w:eastAsia="Aptos" w:hAnsi="Aptos"/>
                <w:b/>
                <w:bCs/>
                <w:color w:val="B45309"/>
                <w:sz w:val="26"/>
                <w:szCs w:val="26"/>
              </w:rPr>
              <w:t xml:space="preserve">OI-01, OI-03</w:t>
            </w:r>
          </w:p>
        </w:tc>
      </w:tr>
    </w:tbl>
    <w:p>
      <w:pPr>
        <w:spacing w:after="60" w:before="0" w:line="276"/>
      </w:pPr>
      <w:r>
        <w:rPr>
          <w:rFonts w:ascii="Aptos" w:cs="Aptos" w:eastAsia="Aptos" w:hAnsi="Aptos"/>
          <w:color w:val="1F1F1F"/>
          <w:sz w:val="19"/>
          <w:szCs w:val="19"/>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7224"/>
      </w:tblGrid>
      <w:tr>
        <w:tc>
          <w:tcPr>
            <w:tcW w:type="dxa" w:w="3000"/>
            <w:tcBorders>
              <w:top w:val="single" w:color="D9DEE5" w:sz="4"/>
              <w:left w:val="single" w:color="D9DEE5" w:sz="4"/>
              <w:bottom w:val="single" w:color="D9DEE5" w:sz="4"/>
              <w:right w:val="single" w:color="D9DEE5" w:sz="4"/>
            </w:tcBorders>
            <w:shd w:fill="F1F5F9" w:color="auto" w:val="clear"/>
            <w:tcMar>
              <w:top w:type="dxa" w:w="60"/>
              <w:left w:type="dxa" w:w="100"/>
              <w:bottom w:type="dxa" w:w="60"/>
              <w:right w:type="dxa" w:w="100"/>
            </w:tcMar>
            <w:vAlign w:val="center"/>
          </w:tcPr>
          <w:p>
            <w:pPr>
              <w:spacing w:after="0"/>
            </w:pPr>
            <w:r>
              <w:rPr>
                <w:rFonts w:ascii="Aptos" w:cs="Aptos" w:eastAsia="Aptos" w:hAnsi="Aptos"/>
                <w:b/>
                <w:bCs/>
                <w:color w:val="1F1F1F"/>
                <w:sz w:val="16"/>
                <w:szCs w:val="16"/>
              </w:rPr>
              <w:t xml:space="preserve">Control</w:t>
            </w:r>
          </w:p>
        </w:tc>
        <w:tc>
          <w:tcPr>
            <w:tcW w:type="dxa" w:w="7224"/>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BSI.IT.23.C1 – Business Requirement (Heracles ID 50696247) – Key, Manual, In every operation</w:t>
            </w:r>
          </w:p>
        </w:tc>
      </w:tr>
      <w:tr>
        <w:tc>
          <w:tcPr>
            <w:tcW w:type="dxa" w:w="3000"/>
            <w:tcBorders>
              <w:top w:val="single" w:color="D9DEE5" w:sz="4"/>
              <w:left w:val="single" w:color="D9DEE5" w:sz="4"/>
              <w:bottom w:val="single" w:color="D9DEE5" w:sz="4"/>
              <w:right w:val="single" w:color="D9DEE5" w:sz="4"/>
            </w:tcBorders>
            <w:shd w:fill="F1F5F9" w:color="auto" w:val="clear"/>
            <w:tcMar>
              <w:top w:type="dxa" w:w="60"/>
              <w:left w:type="dxa" w:w="100"/>
              <w:bottom w:type="dxa" w:w="60"/>
              <w:right w:type="dxa" w:w="100"/>
            </w:tcMar>
            <w:vAlign w:val="center"/>
          </w:tcPr>
          <w:p>
            <w:pPr>
              <w:spacing w:after="0"/>
            </w:pPr>
            <w:r>
              <w:rPr>
                <w:rFonts w:ascii="Aptos" w:cs="Aptos" w:eastAsia="Aptos" w:hAnsi="Aptos"/>
                <w:b/>
                <w:bCs/>
                <w:color w:val="1F1F1F"/>
                <w:sz w:val="16"/>
                <w:szCs w:val="16"/>
              </w:rPr>
              <w:t xml:space="preserve">Review period</w:t>
            </w:r>
          </w:p>
        </w:tc>
        <w:tc>
          <w:tcPr>
            <w:tcW w:type="dxa" w:w="7224"/>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09/01/2025 – 08/31/2026</w:t>
            </w:r>
          </w:p>
        </w:tc>
      </w:tr>
      <w:tr>
        <w:tc>
          <w:tcPr>
            <w:tcW w:type="dxa" w:w="3000"/>
            <w:tcBorders>
              <w:top w:val="single" w:color="D9DEE5" w:sz="4"/>
              <w:left w:val="single" w:color="D9DEE5" w:sz="4"/>
              <w:bottom w:val="single" w:color="D9DEE5" w:sz="4"/>
              <w:right w:val="single" w:color="D9DEE5" w:sz="4"/>
            </w:tcBorders>
            <w:shd w:fill="F1F5F9" w:color="auto" w:val="clear"/>
            <w:tcMar>
              <w:top w:type="dxa" w:w="60"/>
              <w:left w:type="dxa" w:w="100"/>
              <w:bottom w:type="dxa" w:w="60"/>
              <w:right w:type="dxa" w:w="100"/>
            </w:tcMar>
            <w:vAlign w:val="center"/>
          </w:tcPr>
          <w:p>
            <w:pPr>
              <w:spacing w:after="0"/>
            </w:pPr>
            <w:r>
              <w:rPr>
                <w:rFonts w:ascii="Aptos" w:cs="Aptos" w:eastAsia="Aptos" w:hAnsi="Aptos"/>
                <w:b/>
                <w:bCs/>
                <w:color w:val="1F1F1F"/>
                <w:sz w:val="16"/>
                <w:szCs w:val="16"/>
              </w:rPr>
              <w:t xml:space="preserve">Walkthrough</w:t>
            </w:r>
          </w:p>
        </w:tc>
        <w:tc>
          <w:tcPr>
            <w:tcW w:type="dxa" w:w="7224"/>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08/13/2025 – Jose Luis Martinez Avial, Systems Development Director (prior cycle). 2026 confirmation with the control owner pending.</w:t>
            </w:r>
          </w:p>
        </w:tc>
      </w:tr>
      <w:tr>
        <w:tc>
          <w:tcPr>
            <w:tcW w:type="dxa" w:w="3000"/>
            <w:tcBorders>
              <w:top w:val="single" w:color="D9DEE5" w:sz="4"/>
              <w:left w:val="single" w:color="D9DEE5" w:sz="4"/>
              <w:bottom w:val="single" w:color="D9DEE5" w:sz="4"/>
              <w:right w:val="single" w:color="D9DEE5" w:sz="4"/>
            </w:tcBorders>
            <w:shd w:fill="F1F5F9" w:color="auto" w:val="clear"/>
            <w:tcMar>
              <w:top w:type="dxa" w:w="60"/>
              <w:left w:type="dxa" w:w="100"/>
              <w:bottom w:type="dxa" w:w="60"/>
              <w:right w:type="dxa" w:w="100"/>
            </w:tcMar>
            <w:vAlign w:val="center"/>
          </w:tcPr>
          <w:p>
            <w:pPr>
              <w:spacing w:after="0"/>
            </w:pPr>
            <w:r>
              <w:rPr>
                <w:rFonts w:ascii="Aptos" w:cs="Aptos" w:eastAsia="Aptos" w:hAnsi="Aptos"/>
                <w:b/>
                <w:bCs/>
                <w:color w:val="1F1F1F"/>
                <w:sz w:val="16"/>
                <w:szCs w:val="16"/>
              </w:rPr>
              <w:t xml:space="preserve">Sample of one</w:t>
            </w:r>
          </w:p>
        </w:tc>
        <w:tc>
          <w:tcPr>
            <w:tcW w:type="dxa" w:w="7224"/>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DH 3264 – Derivatives Non-Deliverable Forwards (NDF), Release 01 – RLSE1270306, production 01/28/2026</w:t>
            </w:r>
          </w:p>
        </w:tc>
      </w:tr>
      <w:tr>
        <w:tc>
          <w:tcPr>
            <w:tcW w:type="dxa" w:w="3000"/>
            <w:tcBorders>
              <w:top w:val="single" w:color="D9DEE5" w:sz="4"/>
              <w:left w:val="single" w:color="D9DEE5" w:sz="4"/>
              <w:bottom w:val="single" w:color="D9DEE5" w:sz="4"/>
              <w:right w:val="single" w:color="D9DEE5" w:sz="4"/>
            </w:tcBorders>
            <w:shd w:fill="F1F5F9" w:color="auto" w:val="clear"/>
            <w:tcMar>
              <w:top w:type="dxa" w:w="60"/>
              <w:left w:type="dxa" w:w="100"/>
              <w:bottom w:type="dxa" w:w="60"/>
              <w:right w:type="dxa" w:w="100"/>
            </w:tcMar>
            <w:vAlign w:val="center"/>
          </w:tcPr>
          <w:p>
            <w:pPr>
              <w:spacing w:after="0"/>
            </w:pPr>
            <w:r>
              <w:rPr>
                <w:rFonts w:ascii="Aptos" w:cs="Aptos" w:eastAsia="Aptos" w:hAnsi="Aptos"/>
                <w:b/>
                <w:bCs/>
                <w:color w:val="1F1F1F"/>
                <w:sz w:val="16"/>
                <w:szCs w:val="16"/>
              </w:rPr>
              <w:t xml:space="preserve">Evidence folder</w:t>
            </w:r>
          </w:p>
        </w:tc>
        <w:tc>
          <w:tcPr>
            <w:tcW w:type="dxa" w:w="7224"/>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BSI.IT.23.C1 Business Requirement/Evidence (BSI.IT.23.C1.01 – C1.12)</w:t>
            </w:r>
          </w:p>
        </w:tc>
      </w:tr>
    </w:tbl>
    <w:p>
      <w:pPr>
        <w:pStyle w:val="Heading1"/>
        <w:spacing w:after="120" w:before="240"/>
      </w:pPr>
      <w:r>
        <w:rPr>
          <w:rFonts w:ascii="Aptos" w:cs="Aptos" w:eastAsia="Aptos" w:hAnsi="Aptos"/>
          <w:b/>
          <w:bCs/>
          <w:color w:val="17365D"/>
          <w:sz w:val="30"/>
          <w:szCs w:val="30"/>
        </w:rPr>
        <w:t xml:space="preserve">1. Design Effectiveness Summary</w:t>
      </w:r>
    </w:p>
    <w:p>
      <w:pPr>
        <w:spacing w:after="120" w:before="0" w:line="276"/>
      </w:pPr>
      <w:r>
        <w:rPr>
          <w:rFonts w:ascii="Aptos" w:cs="Aptos" w:eastAsia="Aptos" w:hAnsi="Aptos"/>
          <w:color w:val="1F1F1F"/>
          <w:sz w:val="19"/>
          <w:szCs w:val="19"/>
        </w:rPr>
        <w:t xml:space="preserve">The control design is effective. The control is designed with an "In every operation" frequency, which is appropriate because every project that develops a new internal system, customizes a vendor product or upgrades an existing system must have its Business Requirements Document (BRD) approved before it can pass Gate 4 – Prepare to Build (PTB) in Delivery Hub. The nature of the control is manual: the Project Manager drafts the BRD on the US PMO template, the Business Sponsor approves it by e-mail, and the approval is attached to the BRD and uploaded to Delivery Hub for the Gate 4 disposition (Refer to BSI.IT.23.C1.07 – C1.09). The control is formally documented in the 2026 SDLC process map, step 1.1 "Business requirements are defined" (Refer to BSI.IT.23.C1.01). The 2026 control statement adds that exceptions are escalated following the EPMO standard and evidence is stored in the EPMO tool (Delivery Hub). The information supporting execution is moderately reliable: approvals are manual e-mails and some BRD sections are completed with "NA". Overall Rating: Satisfactory.</w:t>
      </w:r>
    </w:p>
    <w:p>
      <w:pPr>
        <w:spacing w:after="120" w:before="0" w:line="276"/>
      </w:pPr>
      <w:r>
        <w:rPr>
          <w:rFonts w:ascii="Aptos" w:cs="Aptos" w:eastAsia="Aptos" w:hAnsi="Aptos"/>
          <w:color w:val="1F1F1F"/>
          <w:sz w:val="19"/>
          <w:szCs w:val="19"/>
        </w:rPr>
        <w:t xml:space="preserve">Note: the 2026 process map is still in Draft status (Date Approved / Approved By blank) and should be finalized by management.</w:t>
      </w:r>
    </w:p>
    <w:p>
      <w:pPr>
        <w:pStyle w:val="Heading1"/>
        <w:spacing w:after="120" w:before="240"/>
      </w:pPr>
      <w:r>
        <w:rPr>
          <w:rFonts w:ascii="Aptos" w:cs="Aptos" w:eastAsia="Aptos" w:hAnsi="Aptos"/>
          <w:b/>
          <w:bCs/>
          <w:color w:val="17365D"/>
          <w:sz w:val="30"/>
          <w:szCs w:val="30"/>
        </w:rPr>
        <w:t xml:space="preserve">2. WT Summary</w:t>
      </w:r>
    </w:p>
    <w:p>
      <w:pPr>
        <w:spacing w:after="120" w:before="0" w:line="276"/>
      </w:pPr>
      <w:r>
        <w:rPr>
          <w:rFonts w:ascii="Aptos" w:cs="Aptos" w:eastAsia="Aptos" w:hAnsi="Aptos"/>
          <w:color w:val="1F1F1F"/>
          <w:sz w:val="19"/>
          <w:szCs w:val="19"/>
        </w:rPr>
        <w:t xml:space="preserve">No 2026 walkthrough meeting was held for this cycle. The design understanding below is based on the walkthrough performed by IT RCSA on 08/13/2025 with Jose Luis Martinez Avial (Systems Development Director) and on the 2026 SDLC process map "2026 PM_Systems Development Life Cycle (BSI)_v1" (version 2.0, Draft, 05/20/2026; Process Owner: Jose Luis Martinez; BCO: Elizabeth Noda), which shows no change to the control. IT RCSA should confirm with the control owner that the process remained unchanged during the 2026 testing period.</w:t>
      </w:r>
    </w:p>
    <w:p>
      <w:pPr>
        <w:spacing w:after="120" w:before="0" w:line="276"/>
      </w:pPr>
      <w:r>
        <w:rPr>
          <w:rFonts w:ascii="Aptos" w:cs="Aptos" w:eastAsia="Aptos" w:hAnsi="Aptos"/>
          <w:color w:val="1F1F1F"/>
          <w:sz w:val="19"/>
          <w:szCs w:val="19"/>
        </w:rPr>
        <w:t xml:space="preserve">The SDLC process applies only to Application Development projects. The 2026 population is the Delivery Hub "SDLC Project List": 2 projects flagged SDLC = Yes – DH 3263 ALCO – Security Lending and DH 3264 Derivatives Non-Deliverable Forwards (NDF), each delivered in two releases. Both projects were tested in full in the workpaper; this document traces one sample end to end.</w:t>
      </w:r>
    </w:p>
    <w:p>
      <w:pPr>
        <w:spacing w:after="120" w:before="0" w:line="276"/>
      </w:pPr>
      <w:r>
        <w:rPr>
          <w:rFonts w:ascii="Aptos" w:cs="Aptos" w:eastAsia="Aptos" w:hAnsi="Aptos"/>
          <w:color w:val="1F1F1F"/>
          <w:sz w:val="19"/>
          <w:szCs w:val="19"/>
        </w:rPr>
        <w:t xml:space="preserve">Per the 2026 process map the SDLC has three phases – 1.0 Define, 2.0 Build and 3.0 Run &amp; Evolve. During Define, the Line of Business defines the business requirements and the Project Manager documents them in the BRD, which contains:</w:t>
      </w:r>
    </w:p>
    <w:p>
      <w:pPr>
        <w:pStyle w:val="ListParagraph"/>
        <w:numPr>
          <w:ilvl w:val="0"/>
          <w:numId w:val="2"/>
        </w:numPr>
        <w:spacing w:after="40"/>
      </w:pPr>
      <w:r>
        <w:rPr>
          <w:rFonts w:ascii="Aptos" w:cs="Aptos" w:eastAsia="Aptos" w:hAnsi="Aptos"/>
          <w:color w:val="1F1F1F"/>
          <w:sz w:val="17"/>
          <w:szCs w:val="17"/>
        </w:rPr>
        <w:t xml:space="preserve">Functional requirements: the business requirements (BR #) with scope ID, MoSCoW priority and phase.</w:t>
      </w:r>
    </w:p>
    <w:p>
      <w:pPr>
        <w:pStyle w:val="ListParagraph"/>
        <w:numPr>
          <w:ilvl w:val="0"/>
          <w:numId w:val="2"/>
        </w:numPr>
        <w:spacing w:after="40"/>
      </w:pPr>
      <w:r>
        <w:rPr>
          <w:rFonts w:ascii="Aptos" w:cs="Aptos" w:eastAsia="Aptos" w:hAnsi="Aptos"/>
          <w:color w:val="1F1F1F"/>
          <w:sz w:val="17"/>
          <w:szCs w:val="17"/>
        </w:rPr>
        <w:t xml:space="preserve">Non-functional requirements: Security, Data Governance, Auditability, Ease of Usability, Performance, Scalability, Reliability, Maintainability, Backup and Recovery, Availability.</w:t>
      </w:r>
    </w:p>
    <w:p>
      <w:pPr>
        <w:pStyle w:val="ListParagraph"/>
        <w:numPr>
          <w:ilvl w:val="0"/>
          <w:numId w:val="2"/>
        </w:numPr>
        <w:spacing w:after="40"/>
      </w:pPr>
      <w:r>
        <w:rPr>
          <w:rFonts w:ascii="Aptos" w:cs="Aptos" w:eastAsia="Aptos" w:hAnsi="Aptos"/>
          <w:color w:val="1F1F1F"/>
          <w:sz w:val="17"/>
          <w:szCs w:val="17"/>
        </w:rPr>
        <w:t xml:space="preserve">Approvers table (Business Sponsor and approval date), contributors, peer review (not applicable – BSI has no BA CoE role) and revision history.</w:t>
      </w:r>
    </w:p>
    <w:p>
      <w:pPr>
        <w:spacing w:after="120" w:before="0" w:line="276"/>
      </w:pPr>
      <w:r>
        <w:rPr>
          <w:rFonts w:ascii="Aptos" w:cs="Aptos" w:eastAsia="Aptos" w:hAnsi="Aptos"/>
          <w:color w:val="1F1F1F"/>
          <w:sz w:val="19"/>
          <w:szCs w:val="19"/>
        </w:rPr>
        <w:t xml:space="preserve">The Project Manager e-mails the final BRD to the Business Sponsor requesting sign-off, stating that the document and sign-off will be uploaded to Delivery Hub for the Gate 4 disposition. Once signed off, the approval e-mail is embedded in the BRD, and the Gate 4 (PTB) meeting records the disposition and approval date with the area approvals (AML, Operations, Compliance, ISEC, FinCom, ORM, ERM, Technology, BCO, PMO, CDO, etc.). Build starts only after Gate 4. A new release with new scope requires a new BRD and a new Gate 4.</w:t>
      </w:r>
    </w:p>
    <w:p>
      <w:pPr>
        <w:spacing w:after="120" w:before="0" w:line="276"/>
      </w:pPr>
      <w:r>
        <w:rPr>
          <w:rFonts w:ascii="Aptos" w:cs="Aptos" w:eastAsia="Aptos" w:hAnsi="Aptos"/>
          <w:color w:val="1F1F1F"/>
          <w:sz w:val="19"/>
          <w:szCs w:val="19"/>
        </w:rPr>
        <w:t xml:space="preserve">Sample of one: DH 3264 Release 01 was traced end to end – population (BSI.IT.23.C1.02), BRD v1.0 (C1.07), Business Sponsor sign-off e-mail of 10/23/2025 (C1.08), Gate 4 (PTB) approval of 11/04/2025 (C1.09) and the production release RLSE1270306 of 01/28/2026 (C25.08). Results are in Section 3.</w:t>
      </w:r>
    </w:p>
    <w:p>
      <w:pPr>
        <w:spacing w:after="120" w:before="0" w:line="276"/>
      </w:pPr>
      <w:r>
        <w:rPr>
          <w:rFonts w:ascii="Aptos" w:cs="Aptos" w:eastAsia="Aptos" w:hAnsi="Aptos"/>
          <w:color w:val="1F1F1F"/>
          <w:sz w:val="19"/>
          <w:szCs w:val="19"/>
        </w:rPr>
        <w:t xml:space="preserve">Based on our understanding of the process, the control appears to be designed appropriately and implemented as described, and it is adequate to mitigate the risk of insufficient identification and documentation of business and functional requirements (BSI.IT.23.R4 Lack of Design Phase).</w:t>
      </w:r>
    </w:p>
    <w:p>
      <w:pPr>
        <w:pStyle w:val="Heading1"/>
        <w:spacing w:after="120" w:before="240"/>
      </w:pPr>
      <w:r>
        <w:rPr>
          <w:rFonts w:ascii="Aptos" w:cs="Aptos" w:eastAsia="Aptos" w:hAnsi="Aptos"/>
          <w:b/>
          <w:bCs/>
          <w:color w:val="17365D"/>
          <w:sz w:val="30"/>
          <w:szCs w:val="30"/>
        </w:rPr>
        <w:t xml:space="preserve">3. Sample of One – DH 3264 Derivatives NDF (Release 01)</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2700"/>
        <w:gridCol w:w="1624"/>
      </w:tblGrid>
      <w:tr>
        <w:trPr>
          <w:tblHeader/>
        </w:trPr>
        <w:tc>
          <w:tcPr>
            <w:tcW w:type="dxa" w:w="2500"/>
            <w:tcBorders>
              <w:top w:val="single" w:color="D9DEE5" w:sz="4"/>
              <w:left w:val="single" w:color="D9DEE5" w:sz="4"/>
              <w:bottom w:val="single" w:color="D9DEE5" w:sz="4"/>
              <w:right w:val="single" w:color="D9DEE5" w:sz="4"/>
            </w:tcBorders>
            <w:shd w:fill="17365D" w:color="auto" w:val="clear"/>
            <w:tcMar>
              <w:top w:type="dxa" w:w="60"/>
              <w:left w:type="dxa" w:w="100"/>
              <w:bottom w:type="dxa" w:w="60"/>
              <w:right w:type="dxa" w:w="100"/>
            </w:tcMar>
            <w:vAlign w:val="center"/>
          </w:tcPr>
          <w:p>
            <w:pPr>
              <w:spacing w:after="0"/>
              <w:jc w:val="center"/>
            </w:pPr>
            <w:r>
              <w:rPr>
                <w:rFonts w:ascii="Aptos" w:cs="Aptos" w:eastAsia="Aptos" w:hAnsi="Aptos"/>
                <w:b/>
                <w:bCs/>
                <w:color w:val="FFFFFF"/>
                <w:sz w:val="16"/>
                <w:szCs w:val="16"/>
              </w:rPr>
              <w:t xml:space="preserve">Workpaper column</w:t>
            </w:r>
          </w:p>
        </w:tc>
        <w:tc>
          <w:tcPr>
            <w:tcW w:type="dxa" w:w="3400"/>
            <w:tcBorders>
              <w:top w:val="single" w:color="D9DEE5" w:sz="4"/>
              <w:left w:val="single" w:color="D9DEE5" w:sz="4"/>
              <w:bottom w:val="single" w:color="D9DEE5" w:sz="4"/>
              <w:right w:val="single" w:color="D9DEE5" w:sz="4"/>
            </w:tcBorders>
            <w:shd w:fill="17365D" w:color="auto" w:val="clear"/>
            <w:tcMar>
              <w:top w:type="dxa" w:w="60"/>
              <w:left w:type="dxa" w:w="100"/>
              <w:bottom w:type="dxa" w:w="60"/>
              <w:right w:type="dxa" w:w="100"/>
            </w:tcMar>
            <w:vAlign w:val="center"/>
          </w:tcPr>
          <w:p>
            <w:pPr>
              <w:spacing w:after="0"/>
              <w:jc w:val="center"/>
            </w:pPr>
            <w:r>
              <w:rPr>
                <w:rFonts w:ascii="Aptos" w:cs="Aptos" w:eastAsia="Aptos" w:hAnsi="Aptos"/>
                <w:b/>
                <w:bCs/>
                <w:color w:val="FFFFFF"/>
                <w:sz w:val="16"/>
                <w:szCs w:val="16"/>
              </w:rPr>
              <w:t xml:space="preserve">Value / conclusion</w:t>
            </w:r>
          </w:p>
        </w:tc>
        <w:tc>
          <w:tcPr>
            <w:tcW w:type="dxa" w:w="2700"/>
            <w:tcBorders>
              <w:top w:val="single" w:color="D9DEE5" w:sz="4"/>
              <w:left w:val="single" w:color="D9DEE5" w:sz="4"/>
              <w:bottom w:val="single" w:color="D9DEE5" w:sz="4"/>
              <w:right w:val="single" w:color="D9DEE5" w:sz="4"/>
            </w:tcBorders>
            <w:shd w:fill="17365D" w:color="auto" w:val="clear"/>
            <w:tcMar>
              <w:top w:type="dxa" w:w="60"/>
              <w:left w:type="dxa" w:w="100"/>
              <w:bottom w:type="dxa" w:w="60"/>
              <w:right w:type="dxa" w:w="100"/>
            </w:tcMar>
            <w:vAlign w:val="center"/>
          </w:tcPr>
          <w:p>
            <w:pPr>
              <w:spacing w:after="0"/>
              <w:jc w:val="center"/>
            </w:pPr>
            <w:r>
              <w:rPr>
                <w:rFonts w:ascii="Aptos" w:cs="Aptos" w:eastAsia="Aptos" w:hAnsi="Aptos"/>
                <w:b/>
                <w:bCs/>
                <w:color w:val="FFFFFF"/>
                <w:sz w:val="16"/>
                <w:szCs w:val="16"/>
              </w:rPr>
              <w:t xml:space="preserve">Evidence reference</w:t>
            </w:r>
          </w:p>
        </w:tc>
        <w:tc>
          <w:tcPr>
            <w:tcW w:type="dxa" w:w="1624"/>
            <w:tcBorders>
              <w:top w:val="single" w:color="D9DEE5" w:sz="4"/>
              <w:left w:val="single" w:color="D9DEE5" w:sz="4"/>
              <w:bottom w:val="single" w:color="D9DEE5" w:sz="4"/>
              <w:right w:val="single" w:color="D9DEE5" w:sz="4"/>
            </w:tcBorders>
            <w:shd w:fill="17365D" w:color="auto" w:val="clear"/>
            <w:tcMar>
              <w:top w:type="dxa" w:w="60"/>
              <w:left w:type="dxa" w:w="100"/>
              <w:bottom w:type="dxa" w:w="60"/>
              <w:right w:type="dxa" w:w="100"/>
            </w:tcMar>
            <w:vAlign w:val="center"/>
          </w:tcPr>
          <w:p>
            <w:pPr>
              <w:spacing w:after="0"/>
              <w:jc w:val="center"/>
            </w:pPr>
            <w:r>
              <w:rPr>
                <w:rFonts w:ascii="Aptos" w:cs="Aptos" w:eastAsia="Aptos" w:hAnsi="Aptos"/>
                <w:b/>
                <w:bCs/>
                <w:color w:val="FFFFFF"/>
                <w:sz w:val="16"/>
                <w:szCs w:val="16"/>
              </w:rPr>
              <w:t xml:space="preserve">Result</w:t>
            </w:r>
          </w:p>
        </w:tc>
      </w:tr>
      <w:tr>
        <w:tc>
          <w:tcPr>
            <w:tcW w:type="dxa" w:w="25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Sample ID</w:t>
            </w:r>
          </w:p>
        </w:tc>
        <w:tc>
          <w:tcPr>
            <w:tcW w:type="dxa" w:w="34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2 (CPA row 54)</w:t>
            </w:r>
          </w:p>
        </w:tc>
        <w:tc>
          <w:tcPr>
            <w:tcW w:type="dxa" w:w="27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jc w:val="center"/>
            </w:pPr>
            <w:r>
              <w:rPr>
                <w:rFonts w:ascii="Aptos" w:cs="Aptos" w:eastAsia="Aptos" w:hAnsi="Aptos"/>
                <w:b w:val="false"/>
                <w:bCs w:val="false"/>
                <w:color w:val="1F1F1F"/>
                <w:sz w:val="16"/>
                <w:szCs w:val="16"/>
              </w:rPr>
              <w:t xml:space="preserve">Workpaper CPA tab</w:t>
            </w:r>
          </w:p>
        </w:tc>
        <w:tc>
          <w:tcPr>
            <w:tcW w:type="dxa" w:w="1624"/>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bCs/>
                <w:color w:val="107C41"/>
                <w:sz w:val="16"/>
                <w:szCs w:val="16"/>
              </w:rPr>
              <w:t xml:space="preserve">Pass</w:t>
            </w:r>
          </w:p>
        </w:tc>
      </w:tr>
      <w:tr>
        <w:tc>
          <w:tcPr>
            <w:tcW w:type="dxa" w:w="25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Project ID / Name</w:t>
            </w:r>
          </w:p>
        </w:tc>
        <w:tc>
          <w:tcPr>
            <w:tcW w:type="dxa" w:w="34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3264 – Derivatives Non-Deliverable Forwards NDF (DH 3264 Derivatives OTC Customer Phase 1); PM Domingo Megia Planet</w:t>
            </w:r>
          </w:p>
        </w:tc>
        <w:tc>
          <w:tcPr>
            <w:tcW w:type="dxa" w:w="27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jc w:val="center"/>
            </w:pPr>
            <w:r>
              <w:rPr>
                <w:rFonts w:ascii="Aptos" w:cs="Aptos" w:eastAsia="Aptos" w:hAnsi="Aptos"/>
                <w:b w:val="false"/>
                <w:bCs w:val="false"/>
                <w:color w:val="1F1F1F"/>
                <w:sz w:val="16"/>
                <w:szCs w:val="16"/>
              </w:rPr>
              <w:t xml:space="preserve">C1.02; C1.07</w:t>
            </w:r>
          </w:p>
        </w:tc>
        <w:tc>
          <w:tcPr>
            <w:tcW w:type="dxa" w:w="1624"/>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bCs/>
                <w:color w:val="107C41"/>
                <w:sz w:val="16"/>
                <w:szCs w:val="16"/>
              </w:rPr>
              <w:t xml:space="preserve">Pass</w:t>
            </w:r>
          </w:p>
        </w:tc>
      </w:tr>
      <w:tr>
        <w:tc>
          <w:tcPr>
            <w:tcW w:type="dxa" w:w="25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Release</w:t>
            </w:r>
          </w:p>
        </w:tc>
        <w:tc>
          <w:tcPr>
            <w:tcW w:type="dxa" w:w="34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R01 – RLSE1270306 / CHG002670462, production 01/28/2026</w:t>
            </w:r>
          </w:p>
        </w:tc>
        <w:tc>
          <w:tcPr>
            <w:tcW w:type="dxa" w:w="27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jc w:val="center"/>
            </w:pPr>
            <w:r>
              <w:rPr>
                <w:rFonts w:ascii="Aptos" w:cs="Aptos" w:eastAsia="Aptos" w:hAnsi="Aptos"/>
                <w:b w:val="false"/>
                <w:bCs w:val="false"/>
                <w:color w:val="1F1F1F"/>
                <w:sz w:val="16"/>
                <w:szCs w:val="16"/>
              </w:rPr>
              <w:t xml:space="preserve">C25.08 (p.1-3)</w:t>
            </w:r>
          </w:p>
        </w:tc>
        <w:tc>
          <w:tcPr>
            <w:tcW w:type="dxa" w:w="1624"/>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bCs/>
                <w:color w:val="107C41"/>
                <w:sz w:val="16"/>
                <w:szCs w:val="16"/>
              </w:rPr>
              <w:t xml:space="preserve">Pass</w:t>
            </w:r>
          </w:p>
        </w:tc>
      </w:tr>
      <w:tr>
        <w:tc>
          <w:tcPr>
            <w:tcW w:type="dxa" w:w="25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BRD defined</w:t>
            </w:r>
          </w:p>
        </w:tc>
        <w:tc>
          <w:tcPr>
            <w:tcW w:type="dxa" w:w="34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BRD v1.0 "Final version" 09/10/2025, US PMO template</w:t>
            </w:r>
          </w:p>
        </w:tc>
        <w:tc>
          <w:tcPr>
            <w:tcW w:type="dxa" w:w="27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jc w:val="center"/>
            </w:pPr>
            <w:r>
              <w:rPr>
                <w:rFonts w:ascii="Aptos" w:cs="Aptos" w:eastAsia="Aptos" w:hAnsi="Aptos"/>
                <w:b w:val="false"/>
                <w:bCs w:val="false"/>
                <w:color w:val="1F1F1F"/>
                <w:sz w:val="16"/>
                <w:szCs w:val="16"/>
              </w:rPr>
              <w:t xml:space="preserve">C1.07</w:t>
            </w:r>
          </w:p>
        </w:tc>
        <w:tc>
          <w:tcPr>
            <w:tcW w:type="dxa" w:w="1624"/>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bCs/>
                <w:color w:val="107C41"/>
                <w:sz w:val="16"/>
                <w:szCs w:val="16"/>
              </w:rPr>
              <w:t xml:space="preserve">Pass</w:t>
            </w:r>
          </w:p>
        </w:tc>
      </w:tr>
      <w:tr>
        <w:tc>
          <w:tcPr>
            <w:tcW w:type="dxa" w:w="25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Functional requirements</w:t>
            </w:r>
          </w:p>
        </w:tc>
        <w:tc>
          <w:tcPr>
            <w:tcW w:type="dxa" w:w="34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BR 1 – BR 10: T24 NDF module set-up, pre/post-trade checks, confirmations, middle office, Murex / Medea / 360 integration, Dodd-Frank DTCC reporting, reconciliations</w:t>
            </w:r>
          </w:p>
        </w:tc>
        <w:tc>
          <w:tcPr>
            <w:tcW w:type="dxa" w:w="27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jc w:val="center"/>
            </w:pPr>
            <w:r>
              <w:rPr>
                <w:rFonts w:ascii="Aptos" w:cs="Aptos" w:eastAsia="Aptos" w:hAnsi="Aptos"/>
                <w:b w:val="false"/>
                <w:bCs w:val="false"/>
                <w:color w:val="1F1F1F"/>
                <w:sz w:val="16"/>
                <w:szCs w:val="16"/>
              </w:rPr>
              <w:t xml:space="preserve">C1.07 §3.1</w:t>
            </w:r>
          </w:p>
        </w:tc>
        <w:tc>
          <w:tcPr>
            <w:tcW w:type="dxa" w:w="1624"/>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bCs/>
                <w:color w:val="107C41"/>
                <w:sz w:val="16"/>
                <w:szCs w:val="16"/>
              </w:rPr>
              <w:t xml:space="preserve">Pass</w:t>
            </w:r>
          </w:p>
        </w:tc>
      </w:tr>
      <w:tr>
        <w:tc>
          <w:tcPr>
            <w:tcW w:type="dxa" w:w="25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Non-functional requirements</w:t>
            </w:r>
          </w:p>
        </w:tc>
        <w:tc>
          <w:tcPr>
            <w:tcW w:type="dxa" w:w="34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Security (ISAR SAT-4161), Auditability (audit log of NDF orders/trades), Backup &amp; Recovery (RTO 0-8h, RPO 0-4h), Availability</w:t>
            </w:r>
          </w:p>
        </w:tc>
        <w:tc>
          <w:tcPr>
            <w:tcW w:type="dxa" w:w="27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jc w:val="center"/>
            </w:pPr>
            <w:r>
              <w:rPr>
                <w:rFonts w:ascii="Aptos" w:cs="Aptos" w:eastAsia="Aptos" w:hAnsi="Aptos"/>
                <w:b w:val="false"/>
                <w:bCs w:val="false"/>
                <w:color w:val="1F1F1F"/>
                <w:sz w:val="16"/>
                <w:szCs w:val="16"/>
              </w:rPr>
              <w:t xml:space="preserve">C1.07 §4</w:t>
            </w:r>
          </w:p>
        </w:tc>
        <w:tc>
          <w:tcPr>
            <w:tcW w:type="dxa" w:w="1624"/>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bCs/>
                <w:color w:val="107C41"/>
                <w:sz w:val="16"/>
                <w:szCs w:val="16"/>
              </w:rPr>
              <w:t xml:space="preserve">Pass</w:t>
            </w:r>
          </w:p>
        </w:tc>
      </w:tr>
      <w:tr>
        <w:tc>
          <w:tcPr>
            <w:tcW w:type="dxa" w:w="25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Business Sponsor</w:t>
            </w:r>
          </w:p>
        </w:tc>
        <w:tc>
          <w:tcPr>
            <w:tcW w:type="dxa" w:w="34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Ted Fernandez, Treasury – Business Owner (= Change Sponsor in Delivery Hub)</w:t>
            </w:r>
          </w:p>
        </w:tc>
        <w:tc>
          <w:tcPr>
            <w:tcW w:type="dxa" w:w="27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jc w:val="center"/>
            </w:pPr>
            <w:r>
              <w:rPr>
                <w:rFonts w:ascii="Aptos" w:cs="Aptos" w:eastAsia="Aptos" w:hAnsi="Aptos"/>
                <w:b w:val="false"/>
                <w:bCs w:val="false"/>
                <w:color w:val="1F1F1F"/>
                <w:sz w:val="16"/>
                <w:szCs w:val="16"/>
              </w:rPr>
              <w:t xml:space="preserve">C1.07 Approvers; C1.02</w:t>
            </w:r>
          </w:p>
        </w:tc>
        <w:tc>
          <w:tcPr>
            <w:tcW w:type="dxa" w:w="1624"/>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bCs/>
                <w:color w:val="107C41"/>
                <w:sz w:val="16"/>
                <w:szCs w:val="16"/>
              </w:rPr>
              <w:t xml:space="preserve">Pass</w:t>
            </w:r>
          </w:p>
        </w:tc>
      </w:tr>
      <w:tr>
        <w:tc>
          <w:tcPr>
            <w:tcW w:type="dxa" w:w="25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Business Sponsor approval</w:t>
            </w:r>
          </w:p>
        </w:tc>
        <w:tc>
          <w:tcPr>
            <w:tcW w:type="dxa" w:w="34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E-mail "Consider this my signoff" – 10/23/2025</w:t>
            </w:r>
          </w:p>
        </w:tc>
        <w:tc>
          <w:tcPr>
            <w:tcW w:type="dxa" w:w="27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jc w:val="center"/>
            </w:pPr>
            <w:r>
              <w:rPr>
                <w:rFonts w:ascii="Aptos" w:cs="Aptos" w:eastAsia="Aptos" w:hAnsi="Aptos"/>
                <w:b w:val="false"/>
                <w:bCs w:val="false"/>
                <w:color w:val="1F1F1F"/>
                <w:sz w:val="16"/>
                <w:szCs w:val="16"/>
              </w:rPr>
              <w:t xml:space="preserve">C1.08</w:t>
            </w:r>
          </w:p>
        </w:tc>
        <w:tc>
          <w:tcPr>
            <w:tcW w:type="dxa" w:w="1624"/>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bCs/>
                <w:color w:val="107C41"/>
                <w:sz w:val="16"/>
                <w:szCs w:val="16"/>
              </w:rPr>
              <w:t xml:space="preserve">Pass</w:t>
            </w:r>
          </w:p>
        </w:tc>
      </w:tr>
      <w:tr>
        <w:tc>
          <w:tcPr>
            <w:tcW w:type="dxa" w:w="25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Gate 4 (PTB) disposition</w:t>
            </w:r>
          </w:p>
        </w:tc>
        <w:tc>
          <w:tcPr>
            <w:tcW w:type="dxa" w:w="34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Meeting 10/31/2025, disposition Approved, approval date 11/04/2025</w:t>
            </w:r>
          </w:p>
        </w:tc>
        <w:tc>
          <w:tcPr>
            <w:tcW w:type="dxa" w:w="27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jc w:val="center"/>
            </w:pPr>
            <w:r>
              <w:rPr>
                <w:rFonts w:ascii="Aptos" w:cs="Aptos" w:eastAsia="Aptos" w:hAnsi="Aptos"/>
                <w:b w:val="false"/>
                <w:bCs w:val="false"/>
                <w:color w:val="1F1F1F"/>
                <w:sz w:val="16"/>
                <w:szCs w:val="16"/>
              </w:rPr>
              <w:t xml:space="preserve">C1.09</w:t>
            </w:r>
          </w:p>
        </w:tc>
        <w:tc>
          <w:tcPr>
            <w:tcW w:type="dxa" w:w="1624"/>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bCs/>
                <w:color w:val="107C41"/>
                <w:sz w:val="16"/>
                <w:szCs w:val="16"/>
              </w:rPr>
              <w:t xml:space="preserve">Pass</w:t>
            </w:r>
          </w:p>
        </w:tc>
      </w:tr>
      <w:tr>
        <w:tc>
          <w:tcPr>
            <w:tcW w:type="dxa" w:w="25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Approved prior to Build</w:t>
            </w:r>
          </w:p>
        </w:tc>
        <w:tc>
          <w:tcPr>
            <w:tcW w:type="dxa" w:w="34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10/23/2025 approval → 11/04/2025 Gate 4 → SIT/UAT 01/2026 → production 01/28/2026</w:t>
            </w:r>
          </w:p>
        </w:tc>
        <w:tc>
          <w:tcPr>
            <w:tcW w:type="dxa" w:w="27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jc w:val="center"/>
            </w:pPr>
            <w:r>
              <w:rPr>
                <w:rFonts w:ascii="Aptos" w:cs="Aptos" w:eastAsia="Aptos" w:hAnsi="Aptos"/>
                <w:b w:val="false"/>
                <w:bCs w:val="false"/>
                <w:color w:val="1F1F1F"/>
                <w:sz w:val="16"/>
                <w:szCs w:val="16"/>
              </w:rPr>
              <w:t xml:space="preserve">C1.08; C1.09; C25.08</w:t>
            </w:r>
          </w:p>
        </w:tc>
        <w:tc>
          <w:tcPr>
            <w:tcW w:type="dxa" w:w="1624"/>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bCs/>
                <w:color w:val="107C41"/>
                <w:sz w:val="16"/>
                <w:szCs w:val="16"/>
              </w:rPr>
              <w:t xml:space="preserve">Pass</w:t>
            </w:r>
          </w:p>
        </w:tc>
      </w:tr>
      <w:tr>
        <w:tc>
          <w:tcPr>
            <w:tcW w:type="dxa" w:w="25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Evidence stored in EPMO tool</w:t>
            </w:r>
          </w:p>
        </w:tc>
        <w:tc>
          <w:tcPr>
            <w:tcW w:type="dxa" w:w="34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BRD with embedded sign-off uploaded to Delivery Hub for Gate 4</w:t>
            </w:r>
          </w:p>
        </w:tc>
        <w:tc>
          <w:tcPr>
            <w:tcW w:type="dxa" w:w="27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jc w:val="center"/>
            </w:pPr>
            <w:r>
              <w:rPr>
                <w:rFonts w:ascii="Aptos" w:cs="Aptos" w:eastAsia="Aptos" w:hAnsi="Aptos"/>
                <w:b w:val="false"/>
                <w:bCs w:val="false"/>
                <w:color w:val="1F1F1F"/>
                <w:sz w:val="16"/>
                <w:szCs w:val="16"/>
              </w:rPr>
              <w:t xml:space="preserve">C1.07; C1.09</w:t>
            </w:r>
          </w:p>
        </w:tc>
        <w:tc>
          <w:tcPr>
            <w:tcW w:type="dxa" w:w="1624"/>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bCs/>
                <w:color w:val="107C41"/>
                <w:sz w:val="16"/>
                <w:szCs w:val="16"/>
              </w:rPr>
              <w:t xml:space="preserve">Pass</w:t>
            </w:r>
          </w:p>
        </w:tc>
      </w:tr>
    </w:tbl>
    <w:p>
      <w:pPr>
        <w:spacing w:after="120" w:before="160" w:line="276"/>
      </w:pPr>
      <w:r>
        <w:rPr>
          <w:rFonts w:ascii="Aptos" w:cs="Aptos" w:eastAsia="Aptos" w:hAnsi="Aptos"/>
          <w:b/>
          <w:bCs/>
          <w:color w:val="1F1F1F"/>
          <w:sz w:val="19"/>
          <w:szCs w:val="19"/>
        </w:rPr>
        <w:t xml:space="preserve">Conclusion: Sample 3264 Release 01 passed both control attributes (BRD with functional and non-functional requirements; Business Sponsor approval before Build); no exceptions were identified. At population level, the Security Lending sample remains pending (OI-01) and population completeness is pending (OI-03).</w:t>
      </w:r>
    </w:p>
    <w:p>
      <w:pPr>
        <w:spacing w:after="120" w:before="120" w:line="276"/>
      </w:pPr>
      <w:r>
        <w:rPr>
          <w:rFonts w:ascii="Aptos" w:cs="Aptos" w:eastAsia="Aptos" w:hAnsi="Aptos"/>
          <w:b/>
          <w:bCs/>
          <w:color w:val="17365D"/>
          <w:sz w:val="19"/>
          <w:szCs w:val="19"/>
        </w:rPr>
        <w:t xml:space="preserve">NewTest Script coverage (workpaper tab 'New Test Script')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4224"/>
        <w:gridCol w:w="2000"/>
      </w:tblGrid>
      <w:tr>
        <w:trPr>
          <w:tblHeader/>
        </w:trPr>
        <w:tc>
          <w:tcPr>
            <w:tcW w:type="dxa" w:w="700"/>
            <w:tcBorders>
              <w:top w:val="single" w:color="D9DEE5" w:sz="4"/>
              <w:left w:val="single" w:color="D9DEE5" w:sz="4"/>
              <w:bottom w:val="single" w:color="D9DEE5" w:sz="4"/>
              <w:right w:val="single" w:color="D9DEE5" w:sz="4"/>
            </w:tcBorders>
            <w:shd w:fill="17365D" w:color="auto" w:val="clear"/>
            <w:tcMar>
              <w:top w:type="dxa" w:w="60"/>
              <w:left w:type="dxa" w:w="100"/>
              <w:bottom w:type="dxa" w:w="60"/>
              <w:right w:type="dxa" w:w="100"/>
            </w:tcMar>
            <w:vAlign w:val="center"/>
          </w:tcPr>
          <w:p>
            <w:pPr>
              <w:spacing w:after="0"/>
              <w:jc w:val="center"/>
            </w:pPr>
            <w:r>
              <w:rPr>
                <w:rFonts w:ascii="Aptos" w:cs="Aptos" w:eastAsia="Aptos" w:hAnsi="Aptos"/>
                <w:b/>
                <w:bCs/>
                <w:color w:val="FFFFFF"/>
                <w:sz w:val="16"/>
                <w:szCs w:val="16"/>
              </w:rPr>
              <w:t xml:space="preserve">Step</w:t>
            </w:r>
          </w:p>
        </w:tc>
        <w:tc>
          <w:tcPr>
            <w:tcW w:type="dxa" w:w="3300"/>
            <w:tcBorders>
              <w:top w:val="single" w:color="D9DEE5" w:sz="4"/>
              <w:left w:val="single" w:color="D9DEE5" w:sz="4"/>
              <w:bottom w:val="single" w:color="D9DEE5" w:sz="4"/>
              <w:right w:val="single" w:color="D9DEE5" w:sz="4"/>
            </w:tcBorders>
            <w:shd w:fill="17365D" w:color="auto" w:val="clear"/>
            <w:tcMar>
              <w:top w:type="dxa" w:w="60"/>
              <w:left w:type="dxa" w:w="100"/>
              <w:bottom w:type="dxa" w:w="60"/>
              <w:right w:type="dxa" w:w="100"/>
            </w:tcMar>
            <w:vAlign w:val="center"/>
          </w:tcPr>
          <w:p>
            <w:pPr>
              <w:spacing w:after="0"/>
              <w:jc w:val="center"/>
            </w:pPr>
            <w:r>
              <w:rPr>
                <w:rFonts w:ascii="Aptos" w:cs="Aptos" w:eastAsia="Aptos" w:hAnsi="Aptos"/>
                <w:b/>
                <w:bCs/>
                <w:color w:val="FFFFFF"/>
                <w:sz w:val="16"/>
                <w:szCs w:val="16"/>
              </w:rPr>
              <w:t xml:space="preserve">Test script step</w:t>
            </w:r>
          </w:p>
        </w:tc>
        <w:tc>
          <w:tcPr>
            <w:tcW w:type="dxa" w:w="4224"/>
            <w:tcBorders>
              <w:top w:val="single" w:color="D9DEE5" w:sz="4"/>
              <w:left w:val="single" w:color="D9DEE5" w:sz="4"/>
              <w:bottom w:val="single" w:color="D9DEE5" w:sz="4"/>
              <w:right w:val="single" w:color="D9DEE5" w:sz="4"/>
            </w:tcBorders>
            <w:shd w:fill="17365D" w:color="auto" w:val="clear"/>
            <w:tcMar>
              <w:top w:type="dxa" w:w="60"/>
              <w:left w:type="dxa" w:w="100"/>
              <w:bottom w:type="dxa" w:w="60"/>
              <w:right w:type="dxa" w:w="100"/>
            </w:tcMar>
            <w:vAlign w:val="center"/>
          </w:tcPr>
          <w:p>
            <w:pPr>
              <w:spacing w:after="0"/>
              <w:jc w:val="center"/>
            </w:pPr>
            <w:r>
              <w:rPr>
                <w:rFonts w:ascii="Aptos" w:cs="Aptos" w:eastAsia="Aptos" w:hAnsi="Aptos"/>
                <w:b/>
                <w:bCs/>
                <w:color w:val="FFFFFF"/>
                <w:sz w:val="16"/>
                <w:szCs w:val="16"/>
              </w:rPr>
              <w:t xml:space="preserve">Sample of one – answer</w:t>
            </w:r>
          </w:p>
        </w:tc>
        <w:tc>
          <w:tcPr>
            <w:tcW w:type="dxa" w:w="2000"/>
            <w:tcBorders>
              <w:top w:val="single" w:color="D9DEE5" w:sz="4"/>
              <w:left w:val="single" w:color="D9DEE5" w:sz="4"/>
              <w:bottom w:val="single" w:color="D9DEE5" w:sz="4"/>
              <w:right w:val="single" w:color="D9DEE5" w:sz="4"/>
            </w:tcBorders>
            <w:shd w:fill="17365D" w:color="auto" w:val="clear"/>
            <w:tcMar>
              <w:top w:type="dxa" w:w="60"/>
              <w:left w:type="dxa" w:w="100"/>
              <w:bottom w:type="dxa" w:w="60"/>
              <w:right w:type="dxa" w:w="100"/>
            </w:tcMar>
            <w:vAlign w:val="center"/>
          </w:tcPr>
          <w:p>
            <w:pPr>
              <w:spacing w:after="0"/>
              <w:jc w:val="center"/>
            </w:pPr>
            <w:r>
              <w:rPr>
                <w:rFonts w:ascii="Aptos" w:cs="Aptos" w:eastAsia="Aptos" w:hAnsi="Aptos"/>
                <w:b/>
                <w:bCs/>
                <w:color w:val="FFFFFF"/>
                <w:sz w:val="16"/>
                <w:szCs w:val="16"/>
              </w:rPr>
              <w:t xml:space="preserve">Result</w:t>
            </w:r>
          </w:p>
        </w:tc>
      </w:tr>
      <w:tr>
        <w:tc>
          <w:tcPr>
            <w:tcW w:type="dxa" w:w="7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jc w:val="center"/>
            </w:pPr>
            <w:r>
              <w:rPr>
                <w:rFonts w:ascii="Aptos" w:cs="Aptos" w:eastAsia="Aptos" w:hAnsi="Aptos"/>
                <w:b w:val="false"/>
                <w:bCs w:val="false"/>
                <w:color w:val="1F1F1F"/>
                <w:sz w:val="16"/>
                <w:szCs w:val="16"/>
              </w:rPr>
              <w:t xml:space="preserve">1</w:t>
            </w:r>
          </w:p>
        </w:tc>
        <w:tc>
          <w:tcPr>
            <w:tcW w:type="dxa" w:w="33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Obtain Evidence</w:t>
            </w:r>
          </w:p>
        </w:tc>
        <w:tc>
          <w:tcPr>
            <w:tcW w:type="dxa" w:w="4224"/>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BRD, sponsor e-mail, Gate 4 record obtained</w:t>
            </w:r>
          </w:p>
        </w:tc>
        <w:tc>
          <w:tcPr>
            <w:tcW w:type="dxa" w:w="20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bCs/>
                <w:color w:val="107C41"/>
                <w:sz w:val="16"/>
                <w:szCs w:val="16"/>
              </w:rPr>
              <w:t xml:space="preserve">Completed</w:t>
            </w:r>
          </w:p>
        </w:tc>
      </w:tr>
      <w:tr>
        <w:tc>
          <w:tcPr>
            <w:tcW w:type="dxa" w:w="7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jc w:val="center"/>
            </w:pPr>
            <w:r>
              <w:rPr>
                <w:rFonts w:ascii="Aptos" w:cs="Aptos" w:eastAsia="Aptos" w:hAnsi="Aptos"/>
                <w:b w:val="false"/>
                <w:bCs w:val="false"/>
                <w:color w:val="1F1F1F"/>
                <w:sz w:val="16"/>
                <w:szCs w:val="16"/>
              </w:rPr>
              <w:t xml:space="preserve">2</w:t>
            </w:r>
          </w:p>
        </w:tc>
        <w:tc>
          <w:tcPr>
            <w:tcW w:type="dxa" w:w="33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Completeness &amp; Accuracy</w:t>
            </w:r>
          </w:p>
        </w:tc>
        <w:tc>
          <w:tcPr>
            <w:tcW w:type="dxa" w:w="4224"/>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3264 traced to RLSE1270306 / RLSE1329424; independent release list pending</w:t>
            </w:r>
          </w:p>
        </w:tc>
        <w:tc>
          <w:tcPr>
            <w:tcW w:type="dxa" w:w="20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bCs/>
                <w:color w:val="B45309"/>
                <w:sz w:val="16"/>
                <w:szCs w:val="16"/>
              </w:rPr>
              <w:t xml:space="preserve">Pending – OI-03</w:t>
            </w:r>
          </w:p>
        </w:tc>
      </w:tr>
      <w:tr>
        <w:tc>
          <w:tcPr>
            <w:tcW w:type="dxa" w:w="7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jc w:val="center"/>
            </w:pPr>
            <w:r>
              <w:rPr>
                <w:rFonts w:ascii="Aptos" w:cs="Aptos" w:eastAsia="Aptos" w:hAnsi="Aptos"/>
                <w:b w:val="false"/>
                <w:bCs w:val="false"/>
                <w:color w:val="1F1F1F"/>
                <w:sz w:val="16"/>
                <w:szCs w:val="16"/>
              </w:rPr>
              <w:t xml:space="preserve">3</w:t>
            </w:r>
          </w:p>
        </w:tc>
        <w:tc>
          <w:tcPr>
            <w:tcW w:type="dxa" w:w="33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Population &amp; Scope</w:t>
            </w:r>
          </w:p>
        </w:tc>
        <w:tc>
          <w:tcPr>
            <w:tcW w:type="dxa" w:w="4224"/>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T24 NDF module customization – in scope</w:t>
            </w:r>
          </w:p>
        </w:tc>
        <w:tc>
          <w:tcPr>
            <w:tcW w:type="dxa" w:w="20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bCs/>
                <w:color w:val="107C41"/>
                <w:sz w:val="16"/>
                <w:szCs w:val="16"/>
              </w:rPr>
              <w:t xml:space="preserve">Completed</w:t>
            </w:r>
          </w:p>
        </w:tc>
      </w:tr>
      <w:tr>
        <w:tc>
          <w:tcPr>
            <w:tcW w:type="dxa" w:w="7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jc w:val="center"/>
            </w:pPr>
            <w:r>
              <w:rPr>
                <w:rFonts w:ascii="Aptos" w:cs="Aptos" w:eastAsia="Aptos" w:hAnsi="Aptos"/>
                <w:b w:val="false"/>
                <w:bCs w:val="false"/>
                <w:color w:val="1F1F1F"/>
                <w:sz w:val="16"/>
                <w:szCs w:val="16"/>
              </w:rPr>
              <w:t xml:space="preserve">4</w:t>
            </w:r>
          </w:p>
        </w:tc>
        <w:tc>
          <w:tcPr>
            <w:tcW w:type="dxa" w:w="33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Control Execution</w:t>
            </w:r>
          </w:p>
        </w:tc>
        <w:tc>
          <w:tcPr>
            <w:tcW w:type="dxa" w:w="4224"/>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BRD complete; approved 10/23/2025 before Gate 4 11/04/2025</w:t>
            </w:r>
          </w:p>
        </w:tc>
        <w:tc>
          <w:tcPr>
            <w:tcW w:type="dxa" w:w="20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bCs/>
                <w:color w:val="107C41"/>
                <w:sz w:val="16"/>
                <w:szCs w:val="16"/>
              </w:rPr>
              <w:t xml:space="preserve">Pass</w:t>
            </w:r>
          </w:p>
        </w:tc>
      </w:tr>
      <w:tr>
        <w:tc>
          <w:tcPr>
            <w:tcW w:type="dxa" w:w="7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jc w:val="center"/>
            </w:pPr>
            <w:r>
              <w:rPr>
                <w:rFonts w:ascii="Aptos" w:cs="Aptos" w:eastAsia="Aptos" w:hAnsi="Aptos"/>
                <w:b w:val="false"/>
                <w:bCs w:val="false"/>
                <w:color w:val="1F1F1F"/>
                <w:sz w:val="16"/>
                <w:szCs w:val="16"/>
              </w:rPr>
              <w:t xml:space="preserve">5</w:t>
            </w:r>
          </w:p>
        </w:tc>
        <w:tc>
          <w:tcPr>
            <w:tcW w:type="dxa" w:w="33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Control Results</w:t>
            </w:r>
          </w:p>
        </w:tc>
        <w:tc>
          <w:tcPr>
            <w:tcW w:type="dxa" w:w="4224"/>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Approval by Business Sponsor on final v1.0, stored in Delivery Hub</w:t>
            </w:r>
          </w:p>
        </w:tc>
        <w:tc>
          <w:tcPr>
            <w:tcW w:type="dxa" w:w="20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bCs/>
                <w:color w:val="107C41"/>
                <w:sz w:val="16"/>
                <w:szCs w:val="16"/>
              </w:rPr>
              <w:t xml:space="preserve">Pass</w:t>
            </w:r>
          </w:p>
        </w:tc>
      </w:tr>
      <w:tr>
        <w:tc>
          <w:tcPr>
            <w:tcW w:type="dxa" w:w="7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jc w:val="center"/>
            </w:pPr>
            <w:r>
              <w:rPr>
                <w:rFonts w:ascii="Aptos" w:cs="Aptos" w:eastAsia="Aptos" w:hAnsi="Aptos"/>
                <w:b w:val="false"/>
                <w:bCs w:val="false"/>
                <w:color w:val="1F1F1F"/>
                <w:sz w:val="16"/>
                <w:szCs w:val="16"/>
              </w:rPr>
              <w:t xml:space="preserve">6</w:t>
            </w:r>
          </w:p>
        </w:tc>
        <w:tc>
          <w:tcPr>
            <w:tcW w:type="dxa" w:w="33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Exception Handling</w:t>
            </w:r>
          </w:p>
        </w:tc>
        <w:tc>
          <w:tcPr>
            <w:tcW w:type="dxa" w:w="4224"/>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No exception for this sample</w:t>
            </w:r>
          </w:p>
        </w:tc>
        <w:tc>
          <w:tcPr>
            <w:tcW w:type="dxa" w:w="20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bCs/>
                <w:color w:val="107C41"/>
                <w:sz w:val="16"/>
                <w:szCs w:val="16"/>
              </w:rPr>
              <w:t xml:space="preserve">N/A</w:t>
            </w:r>
          </w:p>
        </w:tc>
      </w:tr>
      <w:tr>
        <w:tc>
          <w:tcPr>
            <w:tcW w:type="dxa" w:w="7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jc w:val="center"/>
            </w:pPr>
            <w:r>
              <w:rPr>
                <w:rFonts w:ascii="Aptos" w:cs="Aptos" w:eastAsia="Aptos" w:hAnsi="Aptos"/>
                <w:b w:val="false"/>
                <w:bCs w:val="false"/>
                <w:color w:val="1F1F1F"/>
                <w:sz w:val="16"/>
                <w:szCs w:val="16"/>
              </w:rPr>
              <w:t xml:space="preserve">7</w:t>
            </w:r>
          </w:p>
        </w:tc>
        <w:tc>
          <w:tcPr>
            <w:tcW w:type="dxa" w:w="33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Escalation &amp; Remediation</w:t>
            </w:r>
          </w:p>
        </w:tc>
        <w:tc>
          <w:tcPr>
            <w:tcW w:type="dxa" w:w="4224"/>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No exception – not applicable</w:t>
            </w:r>
          </w:p>
        </w:tc>
        <w:tc>
          <w:tcPr>
            <w:tcW w:type="dxa" w:w="20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bCs/>
                <w:color w:val="107C41"/>
                <w:sz w:val="16"/>
                <w:szCs w:val="16"/>
              </w:rPr>
              <w:t xml:space="preserve">N/A</w:t>
            </w:r>
          </w:p>
        </w:tc>
      </w:tr>
      <w:tr>
        <w:tc>
          <w:tcPr>
            <w:tcW w:type="dxa" w:w="7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jc w:val="center"/>
            </w:pPr>
            <w:r>
              <w:rPr>
                <w:rFonts w:ascii="Aptos" w:cs="Aptos" w:eastAsia="Aptos" w:hAnsi="Aptos"/>
                <w:b w:val="false"/>
                <w:bCs w:val="false"/>
                <w:color w:val="1F1F1F"/>
                <w:sz w:val="16"/>
                <w:szCs w:val="16"/>
              </w:rPr>
              <w:t xml:space="preserve">8</w:t>
            </w:r>
          </w:p>
        </w:tc>
        <w:tc>
          <w:tcPr>
            <w:tcW w:type="dxa" w:w="33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Risk Mitigation</w:t>
            </w:r>
          </w:p>
        </w:tc>
        <w:tc>
          <w:tcPr>
            <w:tcW w:type="dxa" w:w="4224"/>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Requirements defined and approved before Build – R4 mitigated</w:t>
            </w:r>
          </w:p>
        </w:tc>
        <w:tc>
          <w:tcPr>
            <w:tcW w:type="dxa" w:w="20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bCs/>
                <w:color w:val="107C41"/>
                <w:sz w:val="16"/>
                <w:szCs w:val="16"/>
              </w:rPr>
              <w:t xml:space="preserve">Pass</w:t>
            </w:r>
          </w:p>
        </w:tc>
      </w:tr>
      <w:tr>
        <w:tc>
          <w:tcPr>
            <w:tcW w:type="dxa" w:w="7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jc w:val="center"/>
            </w:pPr>
            <w:r>
              <w:rPr>
                <w:rFonts w:ascii="Aptos" w:cs="Aptos" w:eastAsia="Aptos" w:hAnsi="Aptos"/>
                <w:b w:val="false"/>
                <w:bCs w:val="false"/>
                <w:color w:val="1F1F1F"/>
                <w:sz w:val="16"/>
                <w:szCs w:val="16"/>
              </w:rPr>
              <w:t xml:space="preserve">9</w:t>
            </w:r>
          </w:p>
        </w:tc>
        <w:tc>
          <w:tcPr>
            <w:tcW w:type="dxa" w:w="33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Testing Coverage</w:t>
            </w:r>
          </w:p>
        </w:tc>
        <w:tc>
          <w:tcPr>
            <w:tcW w:type="dxa" w:w="4224"/>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Documented in workpaper (2 projects / 4 releases)</w:t>
            </w:r>
          </w:p>
        </w:tc>
        <w:tc>
          <w:tcPr>
            <w:tcW w:type="dxa" w:w="20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bCs/>
                <w:color w:val="107C41"/>
                <w:sz w:val="16"/>
                <w:szCs w:val="16"/>
              </w:rPr>
              <w:t xml:space="preserve">Completed</w:t>
            </w:r>
          </w:p>
        </w:tc>
      </w:tr>
    </w:tbl>
    <w:p>
      <w:pPr>
        <w:spacing w:after="120" w:before="200" w:line="276"/>
      </w:pPr>
      <w:r>
        <w:rPr>
          <w:rFonts w:ascii="Aptos" w:cs="Aptos" w:eastAsia="Aptos" w:hAnsi="Aptos"/>
          <w:b/>
          <w:bCs/>
          <w:color w:val="17365D"/>
          <w:sz w:val="19"/>
          <w:szCs w:val="19"/>
        </w:rPr>
        <w:t xml:space="preserve">Evidence references (BSI.IT.23.C1 folder)</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4624"/>
      </w:tblGrid>
      <w:tr>
        <w:trPr>
          <w:tblHeader/>
        </w:trPr>
        <w:tc>
          <w:tcPr>
            <w:tcW w:type="dxa" w:w="1700"/>
            <w:tcBorders>
              <w:top w:val="single" w:color="D9DEE5" w:sz="4"/>
              <w:left w:val="single" w:color="D9DEE5" w:sz="4"/>
              <w:bottom w:val="single" w:color="D9DEE5" w:sz="4"/>
              <w:right w:val="single" w:color="D9DEE5" w:sz="4"/>
            </w:tcBorders>
            <w:shd w:fill="17365D" w:color="auto" w:val="clear"/>
            <w:tcMar>
              <w:top w:type="dxa" w:w="60"/>
              <w:left w:type="dxa" w:w="100"/>
              <w:bottom w:type="dxa" w:w="60"/>
              <w:right w:type="dxa" w:w="100"/>
            </w:tcMar>
            <w:vAlign w:val="center"/>
          </w:tcPr>
          <w:p>
            <w:pPr>
              <w:spacing w:after="0"/>
              <w:jc w:val="center"/>
            </w:pPr>
            <w:r>
              <w:rPr>
                <w:rFonts w:ascii="Aptos" w:cs="Aptos" w:eastAsia="Aptos" w:hAnsi="Aptos"/>
                <w:b/>
                <w:bCs/>
                <w:color w:val="FFFFFF"/>
                <w:sz w:val="16"/>
                <w:szCs w:val="16"/>
              </w:rPr>
              <w:t xml:space="preserve">Ref</w:t>
            </w:r>
          </w:p>
        </w:tc>
        <w:tc>
          <w:tcPr>
            <w:tcW w:type="dxa" w:w="3900"/>
            <w:tcBorders>
              <w:top w:val="single" w:color="D9DEE5" w:sz="4"/>
              <w:left w:val="single" w:color="D9DEE5" w:sz="4"/>
              <w:bottom w:val="single" w:color="D9DEE5" w:sz="4"/>
              <w:right w:val="single" w:color="D9DEE5" w:sz="4"/>
            </w:tcBorders>
            <w:shd w:fill="17365D" w:color="auto" w:val="clear"/>
            <w:tcMar>
              <w:top w:type="dxa" w:w="60"/>
              <w:left w:type="dxa" w:w="100"/>
              <w:bottom w:type="dxa" w:w="60"/>
              <w:right w:type="dxa" w:w="100"/>
            </w:tcMar>
            <w:vAlign w:val="center"/>
          </w:tcPr>
          <w:p>
            <w:pPr>
              <w:spacing w:after="0"/>
              <w:jc w:val="center"/>
            </w:pPr>
            <w:r>
              <w:rPr>
                <w:rFonts w:ascii="Aptos" w:cs="Aptos" w:eastAsia="Aptos" w:hAnsi="Aptos"/>
                <w:b/>
                <w:bCs/>
                <w:color w:val="FFFFFF"/>
                <w:sz w:val="16"/>
                <w:szCs w:val="16"/>
              </w:rPr>
              <w:t xml:space="preserve">Evidence</w:t>
            </w:r>
          </w:p>
        </w:tc>
        <w:tc>
          <w:tcPr>
            <w:tcW w:type="dxa" w:w="4624"/>
            <w:tcBorders>
              <w:top w:val="single" w:color="D9DEE5" w:sz="4"/>
              <w:left w:val="single" w:color="D9DEE5" w:sz="4"/>
              <w:bottom w:val="single" w:color="D9DEE5" w:sz="4"/>
              <w:right w:val="single" w:color="D9DEE5" w:sz="4"/>
            </w:tcBorders>
            <w:shd w:fill="17365D" w:color="auto" w:val="clear"/>
            <w:tcMar>
              <w:top w:type="dxa" w:w="60"/>
              <w:left w:type="dxa" w:w="100"/>
              <w:bottom w:type="dxa" w:w="60"/>
              <w:right w:type="dxa" w:w="100"/>
            </w:tcMar>
            <w:vAlign w:val="center"/>
          </w:tcPr>
          <w:p>
            <w:pPr>
              <w:spacing w:after="0"/>
              <w:jc w:val="center"/>
            </w:pPr>
            <w:r>
              <w:rPr>
                <w:rFonts w:ascii="Aptos" w:cs="Aptos" w:eastAsia="Aptos" w:hAnsi="Aptos"/>
                <w:b/>
                <w:bCs/>
                <w:color w:val="FFFFFF"/>
                <w:sz w:val="16"/>
                <w:szCs w:val="16"/>
              </w:rPr>
              <w:t xml:space="preserve">What it shows for 3264 R01</w:t>
            </w:r>
          </w:p>
        </w:tc>
      </w:tr>
      <w:tr>
        <w:tc>
          <w:tcPr>
            <w:tcW w:type="dxa" w:w="17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C1.01</w:t>
            </w:r>
          </w:p>
        </w:tc>
        <w:tc>
          <w:tcPr>
            <w:tcW w:type="dxa" w:w="39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2026 PM_Systems Development Life Cycle (BSI)_v1.pdf</w:t>
            </w:r>
          </w:p>
        </w:tc>
        <w:tc>
          <w:tcPr>
            <w:tcW w:type="dxa" w:w="4624"/>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Step 1.1 "Business requirements are defined" – control C1 (v2.0 Draft)</w:t>
            </w:r>
          </w:p>
        </w:tc>
      </w:tr>
      <w:tr>
        <w:tc>
          <w:tcPr>
            <w:tcW w:type="dxa" w:w="17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C1.02</w:t>
            </w:r>
          </w:p>
        </w:tc>
        <w:tc>
          <w:tcPr>
            <w:tcW w:type="dxa" w:w="39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SDLC Project List (population).xlsx</w:t>
            </w:r>
          </w:p>
        </w:tc>
        <w:tc>
          <w:tcPr>
            <w:tcW w:type="dxa" w:w="4624"/>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3264 – SDLC = Yes, T24, Closed 09/02/2026, Change Sponsor Ted Fernandez</w:t>
            </w:r>
          </w:p>
        </w:tc>
      </w:tr>
      <w:tr>
        <w:tc>
          <w:tcPr>
            <w:tcW w:type="dxa" w:w="17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C1.07</w:t>
            </w:r>
          </w:p>
        </w:tc>
        <w:tc>
          <w:tcPr>
            <w:tcW w:type="dxa" w:w="39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NDF R01 – DH 3264 Business Requirements Document_final.docx</w:t>
            </w:r>
          </w:p>
        </w:tc>
        <w:tc>
          <w:tcPr>
            <w:tcW w:type="dxa" w:w="4624"/>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BRD v1.0: BR 1-10, NFRs, Approvers table Ted Fernandez 10/23/2025 (Exhibit A2)</w:t>
            </w:r>
          </w:p>
        </w:tc>
      </w:tr>
      <w:tr>
        <w:tc>
          <w:tcPr>
            <w:tcW w:type="dxa" w:w="17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C1.08</w:t>
            </w:r>
          </w:p>
        </w:tc>
        <w:tc>
          <w:tcPr>
            <w:tcW w:type="dxa" w:w="39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NDF R01 – BRD Sponsor Sign-off email 10-23-2025.msg</w:t>
            </w:r>
          </w:p>
        </w:tc>
        <w:tc>
          <w:tcPr>
            <w:tcW w:type="dxa" w:w="4624"/>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"Consider this my signoff" – Ted Fernandez 10/23/2025 (Exhibit A3)</w:t>
            </w:r>
          </w:p>
        </w:tc>
      </w:tr>
      <w:tr>
        <w:tc>
          <w:tcPr>
            <w:tcW w:type="dxa" w:w="17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C1.09</w:t>
            </w:r>
          </w:p>
        </w:tc>
        <w:tc>
          <w:tcPr>
            <w:tcW w:type="dxa" w:w="3900"/>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NDF R01 – Delivery Hub Gate 4 (PTB) approval 11-04-2025.pdf</w:t>
            </w:r>
          </w:p>
        </w:tc>
        <w:tc>
          <w:tcPr>
            <w:tcW w:type="dxa" w:w="4624"/>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Gate PTB (4), R01, meeting 10/31/2025, Approved 11/04/2025 (Exhibit A1)</w:t>
            </w:r>
          </w:p>
        </w:tc>
      </w:tr>
      <w:tr>
        <w:tc>
          <w:tcPr>
            <w:tcW w:type="dxa" w:w="17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C25.08</w:t>
            </w:r>
          </w:p>
        </w:tc>
        <w:tc>
          <w:tcPr>
            <w:tcW w:type="dxa" w:w="3900"/>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NDF R01 – RLSE1270306 ServiceNow Release ticket.pdf</w:t>
            </w:r>
          </w:p>
        </w:tc>
        <w:tc>
          <w:tcPr>
            <w:tcW w:type="dxa" w:w="4624"/>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Production deployment 01/28/2026 – after Gate 4</w:t>
            </w:r>
          </w:p>
        </w:tc>
      </w:tr>
    </w:tbl>
    <w:p>
      <w:pPr>
        <w:pStyle w:val="Heading1"/>
        <w:spacing w:after="120" w:before="240"/>
      </w:pPr>
      <w:r>
        <w:rPr>
          <w:rFonts w:ascii="Aptos" w:cs="Aptos" w:eastAsia="Aptos" w:hAnsi="Aptos"/>
          <w:b/>
          <w:bCs/>
          <w:color w:val="17365D"/>
          <w:sz w:val="30"/>
          <w:szCs w:val="30"/>
        </w:rPr>
        <w:t xml:space="preserve">Appendix A – 3264 R01 Evidence</w:t>
      </w:r>
    </w:p>
    <w:p>
      <w:pPr>
        <w:keepNext/>
        <w:spacing w:after="80" w:before="160" w:line="276"/>
      </w:pPr>
      <w:r>
        <w:rPr>
          <w:rFonts w:ascii="Aptos" w:cs="Aptos" w:eastAsia="Aptos" w:hAnsi="Aptos"/>
          <w:b/>
          <w:bCs/>
          <w:color w:val="1F1F1F"/>
          <w:sz w:val="19"/>
          <w:szCs w:val="19"/>
        </w:rPr>
        <w:t xml:space="preserve">Exhibit A1: Delivery Hub "BSI Gate approvals (Waterfall)" – Project 3264, Gate PTB (4), Release R01</w:t>
      </w:r>
    </w:p>
    <w:p>
      <w:pPr>
        <w:spacing w:after="60"/>
        <w:jc w:val="center"/>
      </w:pPr>
      <w:r>
        <w:drawing>
          <wp:inline distT="0" distB="0" distL="0" distR="0">
            <wp:extent cx="5943600" cy="3257550"/>
            <wp:effectExtent t="0" r="0" b="0" l="0"/>
            <wp:docPr id="1" name="c1_gate4.png" descr="c1_gate4.png" title="c1_gat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257550"/>
                    </a:xfrm>
                    <a:prstGeom prst="rect">
                      <a:avLst/>
                    </a:prstGeom>
                  </pic:spPr>
                </pic:pic>
              </a:graphicData>
            </a:graphic>
          </wp:inline>
        </w:drawing>
      </w:r>
    </w:p>
    <w:p>
      <w:pPr>
        <w:spacing w:after="120" w:before="60" w:line="276"/>
      </w:pPr>
      <w:r>
        <w:rPr>
          <w:rFonts w:ascii="Aptos" w:cs="Aptos" w:eastAsia="Aptos" w:hAnsi="Aptos"/>
          <w:i/>
          <w:iCs/>
          <w:color w:val="475569"/>
          <w:sz w:val="16"/>
          <w:szCs w:val="16"/>
        </w:rPr>
        <w:t xml:space="preserve">Source: BSI.IT.23.C1.09 – NDF Release 01 Gate 4 approval date.pdf. Highlighting as included in the evidence provided.</w:t>
      </w:r>
    </w:p>
    <w:p>
      <w:pPr>
        <w:keepNext/>
        <w:spacing w:after="80" w:before="160" w:line="276"/>
      </w:pPr>
      <w:r>
        <w:rPr>
          <w:rFonts w:ascii="Aptos" w:cs="Aptos" w:eastAsia="Aptos" w:hAnsi="Aptos"/>
          <w:b/>
          <w:bCs/>
          <w:color w:val="1F1F1F"/>
          <w:sz w:val="19"/>
          <w:szCs w:val="19"/>
        </w:rPr>
        <w:t xml:space="preserve">Exhibit A2: BRD approvers table and revision history (BSI.IT.23.C1.07)</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7224"/>
      </w:tblGrid>
      <w:tr>
        <w:tc>
          <w:tcPr>
            <w:tcW w:type="dxa" w:w="3000"/>
            <w:tcBorders>
              <w:top w:val="single" w:color="D9DEE5" w:sz="4"/>
              <w:left w:val="single" w:color="D9DEE5" w:sz="4"/>
              <w:bottom w:val="single" w:color="D9DEE5" w:sz="4"/>
              <w:right w:val="single" w:color="D9DEE5" w:sz="4"/>
            </w:tcBorders>
            <w:shd w:fill="F1F5F9" w:color="auto" w:val="clear"/>
            <w:tcMar>
              <w:top w:type="dxa" w:w="60"/>
              <w:left w:type="dxa" w:w="100"/>
              <w:bottom w:type="dxa" w:w="60"/>
              <w:right w:type="dxa" w:w="100"/>
            </w:tcMar>
            <w:vAlign w:val="center"/>
          </w:tcPr>
          <w:p>
            <w:pPr>
              <w:spacing w:after="0"/>
            </w:pPr>
            <w:r>
              <w:rPr>
                <w:rFonts w:ascii="Aptos" w:cs="Aptos" w:eastAsia="Aptos" w:hAnsi="Aptos"/>
                <w:b/>
                <w:bCs/>
                <w:color w:val="1F1F1F"/>
                <w:sz w:val="16"/>
                <w:szCs w:val="16"/>
              </w:rPr>
              <w:t xml:space="preserve">Document</w:t>
            </w:r>
          </w:p>
        </w:tc>
        <w:tc>
          <w:tcPr>
            <w:tcW w:type="dxa" w:w="7224"/>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DH 3264 - Derivatives OTC Customer Phase 1 (NDF) – Business Requirements Document (US PMO Template)</w:t>
            </w:r>
          </w:p>
        </w:tc>
      </w:tr>
      <w:tr>
        <w:tc>
          <w:tcPr>
            <w:tcW w:type="dxa" w:w="3000"/>
            <w:tcBorders>
              <w:top w:val="single" w:color="D9DEE5" w:sz="4"/>
              <w:left w:val="single" w:color="D9DEE5" w:sz="4"/>
              <w:bottom w:val="single" w:color="D9DEE5" w:sz="4"/>
              <w:right w:val="single" w:color="D9DEE5" w:sz="4"/>
            </w:tcBorders>
            <w:shd w:fill="F1F5F9" w:color="auto" w:val="clear"/>
            <w:tcMar>
              <w:top w:type="dxa" w:w="60"/>
              <w:left w:type="dxa" w:w="100"/>
              <w:bottom w:type="dxa" w:w="60"/>
              <w:right w:type="dxa" w:w="100"/>
            </w:tcMar>
            <w:vAlign w:val="center"/>
          </w:tcPr>
          <w:p>
            <w:pPr>
              <w:spacing w:after="0"/>
            </w:pPr>
            <w:r>
              <w:rPr>
                <w:rFonts w:ascii="Aptos" w:cs="Aptos" w:eastAsia="Aptos" w:hAnsi="Aptos"/>
                <w:b/>
                <w:bCs/>
                <w:color w:val="1F1F1F"/>
                <w:sz w:val="16"/>
                <w:szCs w:val="16"/>
              </w:rPr>
              <w:t xml:space="preserve">Originated by</w:t>
            </w:r>
          </w:p>
        </w:tc>
        <w:tc>
          <w:tcPr>
            <w:tcW w:type="dxa" w:w="7224"/>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Domingo Megía (Project Manager Lead)</w:t>
            </w:r>
          </w:p>
        </w:tc>
      </w:tr>
      <w:tr>
        <w:tc>
          <w:tcPr>
            <w:tcW w:type="dxa" w:w="3000"/>
            <w:tcBorders>
              <w:top w:val="single" w:color="D9DEE5" w:sz="4"/>
              <w:left w:val="single" w:color="D9DEE5" w:sz="4"/>
              <w:bottom w:val="single" w:color="D9DEE5" w:sz="4"/>
              <w:right w:val="single" w:color="D9DEE5" w:sz="4"/>
            </w:tcBorders>
            <w:shd w:fill="F1F5F9" w:color="auto" w:val="clear"/>
            <w:tcMar>
              <w:top w:type="dxa" w:w="60"/>
              <w:left w:type="dxa" w:w="100"/>
              <w:bottom w:type="dxa" w:w="60"/>
              <w:right w:type="dxa" w:w="100"/>
            </w:tcMar>
            <w:vAlign w:val="center"/>
          </w:tcPr>
          <w:p>
            <w:pPr>
              <w:spacing w:after="0"/>
            </w:pPr>
            <w:r>
              <w:rPr>
                <w:rFonts w:ascii="Aptos" w:cs="Aptos" w:eastAsia="Aptos" w:hAnsi="Aptos"/>
                <w:b/>
                <w:bCs/>
                <w:color w:val="1F1F1F"/>
                <w:sz w:val="16"/>
                <w:szCs w:val="16"/>
              </w:rPr>
              <w:t xml:space="preserve">Approver</w:t>
            </w:r>
          </w:p>
        </w:tc>
        <w:tc>
          <w:tcPr>
            <w:tcW w:type="dxa" w:w="7224"/>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Treasury – Ted Fernandez – Treasury – Business Owner – 10/23/2025</w:t>
            </w:r>
          </w:p>
        </w:tc>
      </w:tr>
      <w:tr>
        <w:tc>
          <w:tcPr>
            <w:tcW w:type="dxa" w:w="3000"/>
            <w:tcBorders>
              <w:top w:val="single" w:color="D9DEE5" w:sz="4"/>
              <w:left w:val="single" w:color="D9DEE5" w:sz="4"/>
              <w:bottom w:val="single" w:color="D9DEE5" w:sz="4"/>
              <w:right w:val="single" w:color="D9DEE5" w:sz="4"/>
            </w:tcBorders>
            <w:shd w:fill="F1F5F9" w:color="auto" w:val="clear"/>
            <w:tcMar>
              <w:top w:type="dxa" w:w="60"/>
              <w:left w:type="dxa" w:w="100"/>
              <w:bottom w:type="dxa" w:w="60"/>
              <w:right w:type="dxa" w:w="100"/>
            </w:tcMar>
            <w:vAlign w:val="center"/>
          </w:tcPr>
          <w:p>
            <w:pPr>
              <w:spacing w:after="0"/>
            </w:pPr>
            <w:r>
              <w:rPr>
                <w:rFonts w:ascii="Aptos" w:cs="Aptos" w:eastAsia="Aptos" w:hAnsi="Aptos"/>
                <w:b/>
                <w:bCs/>
                <w:color w:val="1F1F1F"/>
                <w:sz w:val="16"/>
                <w:szCs w:val="16"/>
              </w:rPr>
              <w:t xml:space="preserve">Contributors</w:t>
            </w:r>
          </w:p>
        </w:tc>
        <w:tc>
          <w:tcPr>
            <w:tcW w:type="dxa" w:w="7224"/>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Domingo Megia (Project Manager Lead); Ricardo Valdivia (Product Owner – Treasury)</w:t>
            </w:r>
          </w:p>
        </w:tc>
      </w:tr>
      <w:tr>
        <w:tc>
          <w:tcPr>
            <w:tcW w:type="dxa" w:w="3000"/>
            <w:tcBorders>
              <w:top w:val="single" w:color="D9DEE5" w:sz="4"/>
              <w:left w:val="single" w:color="D9DEE5" w:sz="4"/>
              <w:bottom w:val="single" w:color="D9DEE5" w:sz="4"/>
              <w:right w:val="single" w:color="D9DEE5" w:sz="4"/>
            </w:tcBorders>
            <w:shd w:fill="F1F5F9" w:color="auto" w:val="clear"/>
            <w:tcMar>
              <w:top w:type="dxa" w:w="60"/>
              <w:left w:type="dxa" w:w="100"/>
              <w:bottom w:type="dxa" w:w="60"/>
              <w:right w:type="dxa" w:w="100"/>
            </w:tcMar>
            <w:vAlign w:val="center"/>
          </w:tcPr>
          <w:p>
            <w:pPr>
              <w:spacing w:after="0"/>
            </w:pPr>
            <w:r>
              <w:rPr>
                <w:rFonts w:ascii="Aptos" w:cs="Aptos" w:eastAsia="Aptos" w:hAnsi="Aptos"/>
                <w:b/>
                <w:bCs/>
                <w:color w:val="1F1F1F"/>
                <w:sz w:val="16"/>
                <w:szCs w:val="16"/>
              </w:rPr>
              <w:t xml:space="preserve">Revision history</w:t>
            </w:r>
          </w:p>
        </w:tc>
        <w:tc>
          <w:tcPr>
            <w:tcW w:type="dxa" w:w="7224"/>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1.0 – 09/10/2025 – Final version – Domingo Megia</w:t>
            </w:r>
          </w:p>
        </w:tc>
      </w:tr>
    </w:tbl>
    <w:p>
      <w:pPr>
        <w:keepNext/>
        <w:spacing w:after="80" w:before="160" w:line="276"/>
      </w:pPr>
      <w:r>
        <w:rPr>
          <w:rFonts w:ascii="Aptos" w:cs="Aptos" w:eastAsia="Aptos" w:hAnsi="Aptos"/>
          <w:b/>
          <w:bCs/>
          <w:color w:val="1F1F1F"/>
          <w:sz w:val="19"/>
          <w:szCs w:val="19"/>
        </w:rPr>
        <w:t xml:space="preserve">Exhibit A3: Business Sponsor sign-off e-mail (BSI.IT.23.C1.08)</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000"/>
        <w:gridCol w:w="7224"/>
      </w:tblGrid>
      <w:tr>
        <w:tc>
          <w:tcPr>
            <w:tcW w:type="dxa" w:w="3000"/>
            <w:tcBorders>
              <w:top w:val="single" w:color="D9DEE5" w:sz="4"/>
              <w:left w:val="single" w:color="D9DEE5" w:sz="4"/>
              <w:bottom w:val="single" w:color="D9DEE5" w:sz="4"/>
              <w:right w:val="single" w:color="D9DEE5" w:sz="4"/>
            </w:tcBorders>
            <w:shd w:fill="F1F5F9" w:color="auto" w:val="clear"/>
            <w:tcMar>
              <w:top w:type="dxa" w:w="60"/>
              <w:left w:type="dxa" w:w="100"/>
              <w:bottom w:type="dxa" w:w="60"/>
              <w:right w:type="dxa" w:w="100"/>
            </w:tcMar>
            <w:vAlign w:val="center"/>
          </w:tcPr>
          <w:p>
            <w:pPr>
              <w:spacing w:after="0"/>
            </w:pPr>
            <w:r>
              <w:rPr>
                <w:rFonts w:ascii="Aptos" w:cs="Aptos" w:eastAsia="Aptos" w:hAnsi="Aptos"/>
                <w:b/>
                <w:bCs/>
                <w:color w:val="1F1F1F"/>
                <w:sz w:val="16"/>
                <w:szCs w:val="16"/>
              </w:rPr>
              <w:t xml:space="preserve">From / Sent</w:t>
            </w:r>
          </w:p>
        </w:tc>
        <w:tc>
          <w:tcPr>
            <w:tcW w:type="dxa" w:w="7224"/>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Ted Fernandez / Thursday, October 23, 2025 13:28 UTC</w:t>
            </w:r>
          </w:p>
        </w:tc>
      </w:tr>
      <w:tr>
        <w:tc>
          <w:tcPr>
            <w:tcW w:type="dxa" w:w="3000"/>
            <w:tcBorders>
              <w:top w:val="single" w:color="D9DEE5" w:sz="4"/>
              <w:left w:val="single" w:color="D9DEE5" w:sz="4"/>
              <w:bottom w:val="single" w:color="D9DEE5" w:sz="4"/>
              <w:right w:val="single" w:color="D9DEE5" w:sz="4"/>
            </w:tcBorders>
            <w:shd w:fill="F1F5F9" w:color="auto" w:val="clear"/>
            <w:tcMar>
              <w:top w:type="dxa" w:w="60"/>
              <w:left w:type="dxa" w:w="100"/>
              <w:bottom w:type="dxa" w:w="60"/>
              <w:right w:type="dxa" w:w="100"/>
            </w:tcMar>
            <w:vAlign w:val="center"/>
          </w:tcPr>
          <w:p>
            <w:pPr>
              <w:spacing w:after="0"/>
            </w:pPr>
            <w:r>
              <w:rPr>
                <w:rFonts w:ascii="Aptos" w:cs="Aptos" w:eastAsia="Aptos" w:hAnsi="Aptos"/>
                <w:b/>
                <w:bCs/>
                <w:color w:val="1F1F1F"/>
                <w:sz w:val="16"/>
                <w:szCs w:val="16"/>
              </w:rPr>
              <w:t xml:space="preserve">To / Cc</w:t>
            </w:r>
          </w:p>
        </w:tc>
        <w:tc>
          <w:tcPr>
            <w:tcW w:type="dxa" w:w="7224"/>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Domingo Megia Planet / Ricardo Valdivia; Marcus Medeiros Carneiro Simoes</w:t>
            </w:r>
          </w:p>
        </w:tc>
      </w:tr>
      <w:tr>
        <w:tc>
          <w:tcPr>
            <w:tcW w:type="dxa" w:w="3000"/>
            <w:tcBorders>
              <w:top w:val="single" w:color="D9DEE5" w:sz="4"/>
              <w:left w:val="single" w:color="D9DEE5" w:sz="4"/>
              <w:bottom w:val="single" w:color="D9DEE5" w:sz="4"/>
              <w:right w:val="single" w:color="D9DEE5" w:sz="4"/>
            </w:tcBorders>
            <w:shd w:fill="F1F5F9" w:color="auto" w:val="clear"/>
            <w:tcMar>
              <w:top w:type="dxa" w:w="60"/>
              <w:left w:type="dxa" w:w="100"/>
              <w:bottom w:type="dxa" w:w="60"/>
              <w:right w:type="dxa" w:w="100"/>
            </w:tcMar>
            <w:vAlign w:val="center"/>
          </w:tcPr>
          <w:p>
            <w:pPr>
              <w:spacing w:after="0"/>
            </w:pPr>
            <w:r>
              <w:rPr>
                <w:rFonts w:ascii="Aptos" w:cs="Aptos" w:eastAsia="Aptos" w:hAnsi="Aptos"/>
                <w:b/>
                <w:bCs/>
                <w:color w:val="1F1F1F"/>
                <w:sz w:val="16"/>
                <w:szCs w:val="16"/>
              </w:rPr>
              <w:t xml:space="preserve">Subject</w:t>
            </w:r>
          </w:p>
        </w:tc>
        <w:tc>
          <w:tcPr>
            <w:tcW w:type="dxa" w:w="7224"/>
            <w:tcBorders>
              <w:top w:val="single" w:color="D9DEE5" w:sz="4"/>
              <w:left w:val="single" w:color="D9DEE5" w:sz="4"/>
              <w:bottom w:val="single" w:color="D9DEE5" w:sz="4"/>
              <w:right w:val="single" w:color="D9DEE5" w:sz="4"/>
            </w:tcBorders>
            <w:shd w:fill="FFFFFF"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RE: **Sign-off required* - DH 3264 - Derivatives OTC Customer Phase 1 - Business Requirements Document</w:t>
            </w:r>
          </w:p>
        </w:tc>
      </w:tr>
      <w:tr>
        <w:tc>
          <w:tcPr>
            <w:tcW w:type="dxa" w:w="3000"/>
            <w:tcBorders>
              <w:top w:val="single" w:color="D9DEE5" w:sz="4"/>
              <w:left w:val="single" w:color="D9DEE5" w:sz="4"/>
              <w:bottom w:val="single" w:color="D9DEE5" w:sz="4"/>
              <w:right w:val="single" w:color="D9DEE5" w:sz="4"/>
            </w:tcBorders>
            <w:shd w:fill="F1F5F9" w:color="auto" w:val="clear"/>
            <w:tcMar>
              <w:top w:type="dxa" w:w="60"/>
              <w:left w:type="dxa" w:w="100"/>
              <w:bottom w:type="dxa" w:w="60"/>
              <w:right w:type="dxa" w:w="100"/>
            </w:tcMar>
            <w:vAlign w:val="center"/>
          </w:tcPr>
          <w:p>
            <w:pPr>
              <w:spacing w:after="0"/>
            </w:pPr>
            <w:r>
              <w:rPr>
                <w:rFonts w:ascii="Aptos" w:cs="Aptos" w:eastAsia="Aptos" w:hAnsi="Aptos"/>
                <w:b/>
                <w:bCs/>
                <w:color w:val="1F1F1F"/>
                <w:sz w:val="16"/>
                <w:szCs w:val="16"/>
              </w:rPr>
              <w:t xml:space="preserve">Message</w:t>
            </w:r>
          </w:p>
        </w:tc>
        <w:tc>
          <w:tcPr>
            <w:tcW w:type="dxa" w:w="7224"/>
            <w:tcBorders>
              <w:top w:val="single" w:color="D9DEE5" w:sz="4"/>
              <w:left w:val="single" w:color="D9DEE5" w:sz="4"/>
              <w:bottom w:val="single" w:color="D9DEE5" w:sz="4"/>
              <w:right w:val="single" w:color="D9DEE5" w:sz="4"/>
            </w:tcBorders>
            <w:shd w:fill="F8FAFC" w:color="auto" w:val="clear"/>
            <w:tcMar>
              <w:top w:type="dxa" w:w="60"/>
              <w:left w:type="dxa" w:w="100"/>
              <w:bottom w:type="dxa" w:w="60"/>
              <w:right w:type="dxa" w:w="100"/>
            </w:tcMar>
            <w:vAlign w:val="center"/>
          </w:tcPr>
          <w:p>
            <w:pPr>
              <w:spacing w:after="0"/>
            </w:pPr>
            <w:r>
              <w:rPr>
                <w:rFonts w:ascii="Aptos" w:cs="Aptos" w:eastAsia="Aptos" w:hAnsi="Aptos"/>
                <w:b w:val="false"/>
                <w:bCs w:val="false"/>
                <w:color w:val="1F1F1F"/>
                <w:sz w:val="16"/>
                <w:szCs w:val="16"/>
              </w:rPr>
              <w:t xml:space="preserve">"Consider this my signoff" – in reply to D. Megia: "…to receive your sign-off… this document along with your sign-offs will be uploaded into Delivery Hub as part of documentation required for GATE 4 deposition."</w:t>
            </w:r>
          </w:p>
        </w:tc>
      </w:tr>
    </w:tbl>
    <w:p>
      <w:pPr>
        <w:spacing w:after="120" w:before="200" w:line="276"/>
      </w:pPr>
      <w:r>
        <w:rPr>
          <w:rFonts w:ascii="Aptos" w:cs="Aptos" w:eastAsia="Aptos" w:hAnsi="Aptos"/>
          <w:b/>
          <w:bCs/>
          <w:color w:val="1F1F1F"/>
          <w:sz w:val="19"/>
          <w:szCs w:val="19"/>
        </w:rPr>
        <w:t xml:space="preserve">Referenced workbook: </w:t>
      </w:r>
      <w:r>
        <w:rPr>
          <w:rFonts w:ascii="Aptos" w:cs="Aptos" w:eastAsia="Aptos" w:hAnsi="Aptos"/>
          <w:color w:val="1F1F1F"/>
          <w:sz w:val="19"/>
          <w:szCs w:val="19"/>
        </w:rPr>
        <w:t xml:space="preserve">WP 2026 BSI.IT.23.C1 Business Requirement.xlsm – tab "Control Performance Assessment", row 54; tab "New Test Script".</w:t>
      </w:r>
    </w:p>
    <w:sectPr>
      <w:headerReference w:type="default" r:id="rId7"/>
      <w:footerReference w:type="default" r:id="rId8"/>
      <w:pgSz w:w="12240" w:h="15840" w:orient="portrait"/>
      <w:pgMar w:top="936" w:right="1008" w:bottom="936" w:left="1008" w:header="403" w:footer="40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ptos" w:cs="Aptos" w:eastAsia="Aptos" w:hAnsi="Aptos"/>
        <w:b/>
        <w:bCs/>
        <w:color w:val="C00000"/>
        <w:sz w:val="14"/>
        <w:szCs w:val="14"/>
      </w:rPr>
      <w:t xml:space="preserve">CONFIDENTIAL  |  </w:t>
    </w:r>
    <w:r>
      <w:rPr>
        <w:rFonts w:ascii="Aptos" w:cs="Aptos" w:eastAsia="Aptos" w:hAnsi="Aptos"/>
        <w:b/>
        <w:bCs/>
        <w:color w:val="C00000"/>
        <w:sz w:val="14"/>
        <w:szCs w:val="14"/>
      </w:rPr>
      <w:t xml:space="preserve">BSI.IT.23.C1 – SAMPLE OF ONE 3264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b/>
        <w:bCs/>
        <w:color w:val="475569"/>
        <w:sz w:val="14"/>
        <w:szCs w:val="14"/>
      </w:rPr>
      <w:t xml:space="preserve">IT RCSA | SDLC – BUSINESS REQUIREMENT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ptos" w:cs="Aptos" w:eastAsia="Aptos" w:hAnsi="Aptos"/>
      <w:b/>
      <w:bCs/>
      <w:color w:val="17365D"/>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7fa35128fb52432fdcaf1c1d2474fc03333b8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 BSI.IT.23.C1</dc:title>
  <dc:creator>IT RCSA</dc:creator>
  <cp:lastModifiedBy>Un-named</cp:lastModifiedBy>
  <cp:revision>1</cp:revision>
  <dcterms:created xsi:type="dcterms:W3CDTF">2026-10-21T17:10:56.064Z</dcterms:created>
  <dcterms:modified xsi:type="dcterms:W3CDTF">2026-10-21T17:10:56.065Z</dcterms:modified>
</cp:coreProperties>
</file>

<file path=docProps/custom.xml><?xml version="1.0" encoding="utf-8"?>
<Properties xmlns="http://schemas.openxmlformats.org/officeDocument/2006/custom-properties" xmlns:vt="http://schemas.openxmlformats.org/officeDocument/2006/docPropsVTypes"/>
</file>