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ptos Display" w:cs="Aptos Display" w:eastAsia="Aptos Display" w:hAnsi="Aptos Display"/>
          <w:b/>
          <w:bCs/>
          <w:color w:val="17365D"/>
          <w:sz w:val="52"/>
          <w:szCs w:val="52"/>
        </w:rPr>
        <w:t xml:space="preserve">IT RCSA Audit Documentation</w:t>
      </w:r>
    </w:p>
    <w:p>
      <w:pPr>
        <w:spacing w:after="60"/>
      </w:pPr>
      <w:r>
        <w:rPr>
          <w:rFonts w:ascii="Aptos" w:cs="Aptos" w:eastAsia="Aptos" w:hAnsi="Aptos"/>
          <w:b/>
          <w:bCs/>
          <w:color w:val="0078D4"/>
          <w:sz w:val="34"/>
          <w:szCs w:val="34"/>
        </w:rPr>
        <w:t xml:space="preserve">Design of System – BSI.IT.23.C13</w:t>
      </w:r>
    </w:p>
    <w:p>
      <w:pPr>
        <w:spacing w:after="160"/>
      </w:pPr>
      <w:r>
        <w:rPr>
          <w:rFonts w:ascii="Aptos" w:cs="Aptos" w:eastAsia="Aptos" w:hAnsi="Aptos"/>
          <w:i/>
          <w:iCs/>
          <w:color w:val="475569"/>
          <w:sz w:val="20"/>
          <w:szCs w:val="20"/>
        </w:rPr>
        <w:t xml:space="preserve">Design Assessment, Walkthrough and Sample of One (DH 3264 – Derivatives NDF)</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08"/>
      </w:tblGrid>
      <w:tr>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DESIGN RATING</w:t>
            </w:r>
          </w:p>
        </w:tc>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SAMPLE 3264</w:t>
            </w:r>
          </w:p>
        </w:tc>
        <w:tc>
          <w:tcPr>
            <w:tcW w:type="dxa" w:w="3408"/>
            <w:tcBorders>
              <w:top w:val="none" w:color="FFFFFF" w:sz="0"/>
              <w:left w:val="none" w:color="FFFFFF" w:sz="0"/>
              <w:bottom w:val="none" w:color="FFFFFF" w:sz="0"/>
              <w:right w:val="none" w:color="FFFFFF" w:sz="0"/>
            </w:tcBorders>
            <w:shd w:fill="EAF4FB" w:color="auto" w:val="clear"/>
            <w:tcMar>
              <w:top w:type="dxa" w:w="80"/>
              <w:left w:type="dxa" w:w="100"/>
              <w:bottom w:type="dxa" w:w="0"/>
              <w:right w:type="dxa" w:w="100"/>
            </w:tcMar>
          </w:tcPr>
          <w:p>
            <w:pPr>
              <w:spacing w:after="0"/>
              <w:jc w:val="center"/>
            </w:pPr>
            <w:r>
              <w:rPr>
                <w:rFonts w:ascii="Aptos" w:cs="Aptos" w:eastAsia="Aptos" w:hAnsi="Aptos"/>
                <w:b/>
                <w:bCs/>
                <w:color w:val="475569"/>
                <w:sz w:val="14"/>
                <w:szCs w:val="14"/>
              </w:rPr>
              <w:t xml:space="preserve">OBSERVATIONS</w:t>
            </w:r>
          </w:p>
        </w:tc>
      </w:tr>
      <w:tr>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107C41"/>
                <w:sz w:val="26"/>
                <w:szCs w:val="26"/>
              </w:rPr>
              <w:t xml:space="preserve">SATISFACTORY</w:t>
            </w:r>
          </w:p>
        </w:tc>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B45309"/>
                <w:sz w:val="26"/>
                <w:szCs w:val="26"/>
              </w:rPr>
              <w:t xml:space="preserve">PENDING</w:t>
            </w:r>
          </w:p>
        </w:tc>
        <w:tc>
          <w:tcPr>
            <w:tcW w:type="dxa" w:w="3408"/>
            <w:tcBorders>
              <w:top w:val="none" w:color="FFFFFF" w:sz="0"/>
              <w:left w:val="none" w:color="FFFFFF" w:sz="0"/>
              <w:bottom w:val="none" w:color="FFFFFF" w:sz="0"/>
              <w:right w:val="none" w:color="FFFFFF" w:sz="0"/>
            </w:tcBorders>
            <w:shd w:fill="EAF4FB" w:color="auto" w:val="clear"/>
            <w:tcMar>
              <w:top w:type="dxa" w:w="0"/>
              <w:left w:type="dxa" w:w="100"/>
              <w:bottom w:type="dxa" w:w="80"/>
              <w:right w:type="dxa" w:w="100"/>
            </w:tcMar>
          </w:tcPr>
          <w:p>
            <w:pPr>
              <w:spacing w:after="0"/>
              <w:jc w:val="center"/>
            </w:pPr>
            <w:r>
              <w:rPr>
                <w:rFonts w:ascii="Aptos" w:cs="Aptos" w:eastAsia="Aptos" w:hAnsi="Aptos"/>
                <w:b/>
                <w:bCs/>
                <w:color w:val="B45309"/>
                <w:sz w:val="26"/>
                <w:szCs w:val="26"/>
              </w:rPr>
              <w:t xml:space="preserve">OI-02, OI-03</w:t>
            </w:r>
          </w:p>
        </w:tc>
      </w:tr>
    </w:tbl>
    <w:p>
      <w:pPr>
        <w:spacing w:after="60" w:before="0" w:line="276"/>
      </w:pPr>
      <w:r>
        <w:rPr>
          <w:rFonts w:ascii="Aptos" w:cs="Aptos" w:eastAsia="Aptos" w:hAnsi="Aptos"/>
          <w:color w:val="1F1F1F"/>
          <w:sz w:val="19"/>
          <w:szCs w:val="19"/>
        </w:rPr>
        <w:t xml:space="preserve"/>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Control</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BSI.IT.23.C13 – Design of System (Heracles ID 50541400) – Key, Manual, In every operation</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Review period</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09/01/2025 – 08/31/2026</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Walkthrough</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08/05/2025 – Jose Luis Martinez Avial, Systems Development Director (prior cycle). 2026 confirmation with the control owner pending.</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Sample of one</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DH 3264 – Derivatives Non-Deliverable Forwards (NDF) – Releases 01 (01/28/2026) and 02 (05/08/2026)</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Evidence folder</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BSI.IT.23.C13 Design of System/Evidence (BSI.IT.23.C13.01 – C13.04)</w:t>
            </w:r>
          </w:p>
        </w:tc>
      </w:tr>
    </w:tbl>
    <w:p>
      <w:pPr>
        <w:pStyle w:val="Heading1"/>
        <w:spacing w:after="120" w:before="240"/>
      </w:pPr>
      <w:r>
        <w:rPr>
          <w:rFonts w:ascii="Aptos" w:cs="Aptos" w:eastAsia="Aptos" w:hAnsi="Aptos"/>
          <w:b/>
          <w:bCs/>
          <w:color w:val="17365D"/>
          <w:sz w:val="30"/>
          <w:szCs w:val="30"/>
        </w:rPr>
        <w:t xml:space="preserve">1. Design Effectiveness Summary</w:t>
      </w:r>
    </w:p>
    <w:p>
      <w:pPr>
        <w:spacing w:after="120" w:before="0" w:line="276"/>
      </w:pPr>
      <w:r>
        <w:rPr>
          <w:rFonts w:ascii="Aptos" w:cs="Aptos" w:eastAsia="Aptos" w:hAnsi="Aptos"/>
          <w:color w:val="1F1F1F"/>
          <w:sz w:val="19"/>
          <w:szCs w:val="19"/>
        </w:rPr>
        <w:t xml:space="preserve">The control design is effective. The control is designed with an "In every operation" frequency, which is appropriate because every SDLC project must submit its Architecture Design artifacts to Enterprise Architecture (Architecture Review Board – ARB / ARF) and complete a Data Risk Assessment (DRA) for the Chief Data Officer (CDO) team before implementation. The nature of the control is manual: the Project Team prepares the artifacts in the Define phase, Enterprise Architecture approves the design or determines that ARB is not required, and the CDO / Data Governance team approves the DRA and any mandated data artifacts (logical and physical data models) based on the DRA rating. Evidence is stored in Delivery Hub (Refer to BSI.IT.23.C13.03 / C13.04). The control is formally documented in the 2026 SDLC process map, step 1.3 "Architecture Design is developed" (Refer to BSI.IT.23.C13.01). The information supporting execution is moderately reliable: the DRA screens show the CDO status but not the approval date. Overall Rating: Satisfactory.</w:t>
      </w:r>
    </w:p>
    <w:p>
      <w:pPr>
        <w:spacing w:after="120" w:before="0" w:line="276"/>
      </w:pPr>
      <w:r>
        <w:rPr>
          <w:rFonts w:ascii="Aptos" w:cs="Aptos" w:eastAsia="Aptos" w:hAnsi="Aptos"/>
          <w:color w:val="1F1F1F"/>
          <w:sz w:val="19"/>
          <w:szCs w:val="19"/>
        </w:rPr>
        <w:t xml:space="preserve">Note: the 2026 process map is still in Draft status and should be finalized by management.</w:t>
      </w:r>
    </w:p>
    <w:p>
      <w:pPr>
        <w:pStyle w:val="Heading1"/>
        <w:spacing w:after="120" w:before="240"/>
      </w:pPr>
      <w:r>
        <w:rPr>
          <w:rFonts w:ascii="Aptos" w:cs="Aptos" w:eastAsia="Aptos" w:hAnsi="Aptos"/>
          <w:b/>
          <w:bCs/>
          <w:color w:val="17365D"/>
          <w:sz w:val="30"/>
          <w:szCs w:val="30"/>
        </w:rPr>
        <w:t xml:space="preserve">2. WT Summary</w:t>
      </w:r>
    </w:p>
    <w:p>
      <w:pPr>
        <w:spacing w:after="120" w:before="0" w:line="276"/>
      </w:pPr>
      <w:r>
        <w:rPr>
          <w:rFonts w:ascii="Aptos" w:cs="Aptos" w:eastAsia="Aptos" w:hAnsi="Aptos"/>
          <w:color w:val="1F1F1F"/>
          <w:sz w:val="19"/>
          <w:szCs w:val="19"/>
        </w:rPr>
        <w:t xml:space="preserve">No 2026 walkthrough meeting was held for this cycle. The design understanding below is based on the walkthrough performed by IT RCSA on 08/05/2025 with Jose Luis Martinez Avial (Systems Development Director) and on the 2026 SDLC process map "2026 PM_Systems Development Life Cycle (BSI)_v1" (version 2.0, Draft, 05/20/2026; Process Owner: Jose Luis Martinez; BCO: Elizabeth Noda), which shows no change to the control. IT RCSA should confirm with the control owner that the process remained unchanged during the 2026 testing period.</w:t>
      </w:r>
    </w:p>
    <w:p>
      <w:pPr>
        <w:spacing w:after="120" w:before="0" w:line="276"/>
      </w:pPr>
      <w:r>
        <w:rPr>
          <w:rFonts w:ascii="Aptos" w:cs="Aptos" w:eastAsia="Aptos" w:hAnsi="Aptos"/>
          <w:color w:val="1F1F1F"/>
          <w:sz w:val="19"/>
          <w:szCs w:val="19"/>
        </w:rPr>
        <w:t xml:space="preserve">The SDLC process applies only to Application Development projects. The 2026 population is the Delivery Hub "SDLC Project List": 2 projects flagged SDLC = Yes – DH 3263 ALCO – Security Lending and DH 3264 Derivatives Non-Deliverable Forwards (NDF), each delivered in two releases. Both projects were tested in full in the workpaper; this document traces one sample end to end.</w:t>
      </w:r>
    </w:p>
    <w:p>
      <w:pPr>
        <w:spacing w:after="120" w:before="0" w:line="276"/>
      </w:pPr>
      <w:r>
        <w:rPr>
          <w:rFonts w:ascii="Aptos" w:cs="Aptos" w:eastAsia="Aptos" w:hAnsi="Aptos"/>
          <w:color w:val="1F1F1F"/>
          <w:sz w:val="19"/>
          <w:szCs w:val="19"/>
        </w:rPr>
        <w:t xml:space="preserve">During the Define phase the Project Team develops the Architecture Design / ISAR artifacts and submits them to Enterprise Architecture for review and approval, or for a determination that ARB / ARF is not required. In parallel, the Project Manager completes the Data Risk Assessment form in Delivery Hub, which records:</w:t>
      </w:r>
    </w:p>
    <w:p>
      <w:pPr>
        <w:pStyle w:val="ListParagraph"/>
        <w:numPr>
          <w:ilvl w:val="0"/>
          <w:numId w:val="2"/>
        </w:numPr>
        <w:spacing w:after="40"/>
      </w:pPr>
      <w:r>
        <w:rPr>
          <w:rFonts w:ascii="Aptos" w:cs="Aptos" w:eastAsia="Aptos" w:hAnsi="Aptos"/>
          <w:color w:val="1F1F1F"/>
          <w:sz w:val="17"/>
          <w:szCs w:val="17"/>
        </w:rPr>
        <w:t xml:space="preserve">Project details: Delivery Hub ID, portfolio, project type, Project Manager, IT Lead, Data Steward, Executive and Business Sponsor.</w:t>
      </w:r>
    </w:p>
    <w:p>
      <w:pPr>
        <w:pStyle w:val="ListParagraph"/>
        <w:numPr>
          <w:ilvl w:val="0"/>
          <w:numId w:val="2"/>
        </w:numPr>
        <w:spacing w:after="40"/>
      </w:pPr>
      <w:r>
        <w:rPr>
          <w:rFonts w:ascii="Aptos" w:cs="Aptos" w:eastAsia="Aptos" w:hAnsi="Aptos"/>
          <w:color w:val="1F1F1F"/>
          <w:sz w:val="17"/>
          <w:szCs w:val="17"/>
        </w:rPr>
        <w:t xml:space="preserve">Assessment questions: data impact (create / move / update / delete data), new or existing data, new flows or ETL changes, applications in scope.</w:t>
      </w:r>
    </w:p>
    <w:p>
      <w:pPr>
        <w:pStyle w:val="ListParagraph"/>
        <w:numPr>
          <w:ilvl w:val="0"/>
          <w:numId w:val="2"/>
        </w:numPr>
        <w:spacing w:after="40"/>
      </w:pPr>
      <w:r>
        <w:rPr>
          <w:rFonts w:ascii="Aptos" w:cs="Aptos" w:eastAsia="Aptos" w:hAnsi="Aptos"/>
          <w:color w:val="1F1F1F"/>
          <w:sz w:val="17"/>
          <w:szCs w:val="17"/>
        </w:rPr>
        <w:t xml:space="preserve">Nature of the data elements (existing KDE, non-KDE used in regulatory reporting), data-defect remediation, data-flow / lineage impact and impacted platforms.</w:t>
      </w:r>
    </w:p>
    <w:p>
      <w:pPr>
        <w:pStyle w:val="ListParagraph"/>
        <w:numPr>
          <w:ilvl w:val="0"/>
          <w:numId w:val="2"/>
        </w:numPr>
        <w:spacing w:after="40"/>
      </w:pPr>
      <w:r>
        <w:rPr>
          <w:rFonts w:ascii="Aptos" w:cs="Aptos" w:eastAsia="Aptos" w:hAnsi="Aptos"/>
          <w:color w:val="1F1F1F"/>
          <w:sz w:val="17"/>
          <w:szCs w:val="17"/>
        </w:rPr>
        <w:t xml:space="preserve">DRA rating (Low / Moderate / High) and CDO approval status.</w:t>
      </w:r>
    </w:p>
    <w:p>
      <w:pPr>
        <w:spacing w:after="120" w:before="0" w:line="276"/>
      </w:pPr>
      <w:r>
        <w:rPr>
          <w:rFonts w:ascii="Aptos" w:cs="Aptos" w:eastAsia="Aptos" w:hAnsi="Aptos"/>
          <w:color w:val="1F1F1F"/>
          <w:sz w:val="19"/>
          <w:szCs w:val="19"/>
        </w:rPr>
        <w:t xml:space="preserve">Based on the DRA rating, the CDO mandates additional data artifacts (logical / physical data model, lineage) that must be submitted to Data Governance for approval. Exceptions are escalated following the EPMO standard.</w:t>
      </w:r>
    </w:p>
    <w:p>
      <w:pPr>
        <w:spacing w:after="120" w:before="0" w:line="276"/>
      </w:pPr>
      <w:r>
        <w:rPr>
          <w:rFonts w:ascii="Aptos" w:cs="Aptos" w:eastAsia="Aptos" w:hAnsi="Aptos"/>
          <w:color w:val="1F1F1F"/>
          <w:sz w:val="19"/>
          <w:szCs w:val="19"/>
        </w:rPr>
        <w:t xml:space="preserve">Sample of one: DH 3264 was traced – population (BSI.IT.23.C13.02) and Data Risk Assessment rated HIGH with CDO status Approved (C13.04). Architecture Design / Enterprise Architecture evidence, the DRA approval date and the CDO-mandated data artifacts were not provided and are requested under OI-02. Results are in Section 3.</w:t>
      </w:r>
    </w:p>
    <w:p>
      <w:pPr>
        <w:spacing w:after="120" w:before="0" w:line="276"/>
      </w:pPr>
      <w:r>
        <w:rPr>
          <w:rFonts w:ascii="Aptos" w:cs="Aptos" w:eastAsia="Aptos" w:hAnsi="Aptos"/>
          <w:color w:val="1F1F1F"/>
          <w:sz w:val="19"/>
          <w:szCs w:val="19"/>
        </w:rPr>
        <w:t xml:space="preserve">Based on our understanding of the process, the control appears to be designed appropriately; operating effectiveness for the sample cannot be concluded until OI-02 is closed.</w:t>
      </w:r>
    </w:p>
    <w:p>
      <w:pPr>
        <w:pStyle w:val="Heading1"/>
        <w:spacing w:after="120" w:before="240"/>
      </w:pPr>
      <w:r>
        <w:rPr>
          <w:rFonts w:ascii="Aptos" w:cs="Aptos" w:eastAsia="Aptos" w:hAnsi="Aptos"/>
          <w:b/>
          <w:bCs/>
          <w:color w:val="17365D"/>
          <w:sz w:val="30"/>
          <w:szCs w:val="30"/>
        </w:rPr>
        <w:t xml:space="preserve">3. Sample of One – DH 3264 Derivatives NDF</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2700"/>
        <w:gridCol w:w="1624"/>
      </w:tblGrid>
      <w:tr>
        <w:trPr>
          <w:tblHeader/>
        </w:trPr>
        <w:tc>
          <w:tcPr>
            <w:tcW w:type="dxa" w:w="25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Workpaper column</w:t>
            </w:r>
          </w:p>
        </w:tc>
        <w:tc>
          <w:tcPr>
            <w:tcW w:type="dxa" w:w="34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Value / conclusion</w:t>
            </w:r>
          </w:p>
        </w:tc>
        <w:tc>
          <w:tcPr>
            <w:tcW w:type="dxa" w:w="2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Evidence reference</w:t>
            </w:r>
          </w:p>
        </w:tc>
        <w:tc>
          <w:tcPr>
            <w:tcW w:type="dxa" w:w="16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Result</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Sample ID</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2 (CPA row 54)</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Workpaper CPA tab</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Project ID / Name</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 Derivatives Non-Deliverable Forwards NDF; Project type B3P; PM Megia Planet, Domingo; IT Lead Jose Luis Martinez Avial</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C13.02; C13.04</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In scope (new system / customization)</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T24 NDF module customization with Murex, Medea, 360 and Bloomberg integrations</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C13.02; C13.04</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Architecture Design submitted to Enterprise Architecture</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Not provided</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Enterprise Architecture approval prior to implementation</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Not provided (no ARB approval or "ARB not required" determination)</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Data impact identified</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Yes – system development impacting data; existing KDE and non-KDE used in regulatory / senior management reporting; impacts existing lineage</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C13.04</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Data Risk Assessment submitted</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Delivery Hub DRA – Data Steward Miguel Menendez (BSI); Business Sponsor Ted Fernandez</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C13.04</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DRA rating / CDO approval</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HIGH – "CDO: Approved" – "Data Risk Assessment has been Approved"</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C13.04</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Pass</w:t>
            </w:r>
          </w:p>
        </w:tc>
      </w:tr>
      <w:tr>
        <w:tc>
          <w:tcPr>
            <w:tcW w:type="dxa" w:w="25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CDO approval prior to implementation (01/28/2026)</w:t>
            </w:r>
          </w:p>
        </w:tc>
        <w:tc>
          <w:tcPr>
            <w:tcW w:type="dxa" w:w="34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Approval date not shown on the screen</w:t>
            </w:r>
          </w:p>
        </w:tc>
        <w:tc>
          <w:tcPr>
            <w:tcW w:type="dxa" w:w="2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C13.04</w:t>
            </w:r>
          </w:p>
        </w:tc>
        <w:tc>
          <w:tcPr>
            <w:tcW w:type="dxa" w:w="1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25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CDO-mandated data artifacts (logical / physical model)</w:t>
            </w:r>
          </w:p>
        </w:tc>
        <w:tc>
          <w:tcPr>
            <w:tcW w:type="dxa" w:w="34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Not provided (expected for a HIGH DRA)</w:t>
            </w:r>
          </w:p>
        </w:tc>
        <w:tc>
          <w:tcPr>
            <w:tcW w:type="dxa" w:w="2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w:t>
            </w:r>
          </w:p>
        </w:tc>
        <w:tc>
          <w:tcPr>
            <w:tcW w:type="dxa" w:w="1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bl>
    <w:p>
      <w:pPr>
        <w:spacing w:after="120" w:before="160" w:line="276"/>
      </w:pPr>
      <w:r>
        <w:rPr>
          <w:rFonts w:ascii="Aptos" w:cs="Aptos" w:eastAsia="Aptos" w:hAnsi="Aptos"/>
          <w:b/>
          <w:bCs/>
          <w:color w:val="1F1F1F"/>
          <w:sz w:val="19"/>
          <w:szCs w:val="19"/>
        </w:rPr>
        <w:t xml:space="preserve">Conclusion: For sample 3264 the Data Risk Assessment was completed and approved by the CDO, but the Enterprise Architecture approval, the DRA approval date and the CDO-mandated data artifacts were not provided. The sample is Pending (OI-02); no exception is concluded until management responds.</w:t>
      </w:r>
    </w:p>
    <w:p>
      <w:pPr>
        <w:spacing w:after="120" w:before="120" w:line="276"/>
      </w:pPr>
      <w:r>
        <w:rPr>
          <w:rFonts w:ascii="Aptos" w:cs="Aptos" w:eastAsia="Aptos" w:hAnsi="Aptos"/>
          <w:b/>
          <w:bCs/>
          <w:color w:val="17365D"/>
          <w:sz w:val="19"/>
          <w:szCs w:val="19"/>
        </w:rPr>
        <w:t xml:space="preserve">NewTest Script coverage (workpaper tab 'New Test Script')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4224"/>
        <w:gridCol w:w="2000"/>
      </w:tblGrid>
      <w:tr>
        <w:trPr>
          <w:tblHeader/>
        </w:trPr>
        <w:tc>
          <w:tcPr>
            <w:tcW w:type="dxa" w:w="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Step</w:t>
            </w:r>
          </w:p>
        </w:tc>
        <w:tc>
          <w:tcPr>
            <w:tcW w:type="dxa" w:w="33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Test script step</w:t>
            </w:r>
          </w:p>
        </w:tc>
        <w:tc>
          <w:tcPr>
            <w:tcW w:type="dxa" w:w="42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Sample of one – answer</w:t>
            </w:r>
          </w:p>
        </w:tc>
        <w:tc>
          <w:tcPr>
            <w:tcW w:type="dxa" w:w="20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Result</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1</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Obtain Evidence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DRA obtained; EA approval and data models not provided</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2</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Completeness &amp; Accuracy</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traced to release tickets; independent release list pending</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OI-03</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3</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Population &amp; Scope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Customization with data impact – EA and CDO review both apply</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Completed</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4</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Control Execution</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DRA submitted &amp; CDO-approved; EA submission not evidenced</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5</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Control Results</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CDO approval documented without date; EA approval not documented</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6</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Exception Handling</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Potential exceptions: EA approval and NDF data artifacts</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7</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Escalation &amp; Remediation</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 escalation evidence provided</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Pending – OI-02</w:t>
            </w:r>
          </w:p>
        </w:tc>
      </w:tr>
      <w:tr>
        <w:tc>
          <w:tcPr>
            <w:tcW w:type="dxa" w:w="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8</w:t>
            </w:r>
          </w:p>
        </w:tc>
        <w:tc>
          <w:tcPr>
            <w:tcW w:type="dxa" w:w="33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Risk Mitigation</w:t>
            </w:r>
          </w:p>
        </w:tc>
        <w:tc>
          <w:tcPr>
            <w:tcW w:type="dxa" w:w="4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Data risk assessed; design review not evidenced</w:t>
            </w:r>
          </w:p>
        </w:tc>
        <w:tc>
          <w:tcPr>
            <w:tcW w:type="dxa" w:w="20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bCs/>
                <w:color w:val="B45309"/>
                <w:sz w:val="16"/>
                <w:szCs w:val="16"/>
              </w:rPr>
              <w:t xml:space="preserve">Not concluded</w:t>
            </w:r>
          </w:p>
        </w:tc>
      </w:tr>
      <w:tr>
        <w:tc>
          <w:tcPr>
            <w:tcW w:type="dxa" w:w="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jc w:val="center"/>
            </w:pPr>
            <w:r>
              <w:rPr>
                <w:rFonts w:ascii="Aptos" w:cs="Aptos" w:eastAsia="Aptos" w:hAnsi="Aptos"/>
                <w:b w:val="false"/>
                <w:bCs w:val="false"/>
                <w:color w:val="1F1F1F"/>
                <w:sz w:val="16"/>
                <w:szCs w:val="16"/>
              </w:rPr>
              <w:t xml:space="preserve">9</w:t>
            </w:r>
          </w:p>
        </w:tc>
        <w:tc>
          <w:tcPr>
            <w:tcW w:type="dxa" w:w="33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Testing Coverage</w:t>
            </w:r>
          </w:p>
        </w:tc>
        <w:tc>
          <w:tcPr>
            <w:tcW w:type="dxa" w:w="4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Documented in workpaper (2 projects)</w:t>
            </w:r>
          </w:p>
        </w:tc>
        <w:tc>
          <w:tcPr>
            <w:tcW w:type="dxa" w:w="20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bCs/>
                <w:color w:val="107C41"/>
                <w:sz w:val="16"/>
                <w:szCs w:val="16"/>
              </w:rPr>
              <w:t xml:space="preserve">Completed</w:t>
            </w:r>
          </w:p>
        </w:tc>
      </w:tr>
    </w:tbl>
    <w:p>
      <w:pPr>
        <w:spacing w:after="120" w:before="200" w:line="276"/>
      </w:pPr>
      <w:r>
        <w:rPr>
          <w:rFonts w:ascii="Aptos" w:cs="Aptos" w:eastAsia="Aptos" w:hAnsi="Aptos"/>
          <w:b/>
          <w:bCs/>
          <w:color w:val="17365D"/>
          <w:sz w:val="19"/>
          <w:szCs w:val="19"/>
        </w:rPr>
        <w:t xml:space="preserve">Evidence references (BSI.IT.23.C13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4624"/>
      </w:tblGrid>
      <w:tr>
        <w:trPr>
          <w:tblHeader/>
        </w:trPr>
        <w:tc>
          <w:tcPr>
            <w:tcW w:type="dxa" w:w="17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Ref</w:t>
            </w:r>
          </w:p>
        </w:tc>
        <w:tc>
          <w:tcPr>
            <w:tcW w:type="dxa" w:w="3900"/>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Evidence</w:t>
            </w:r>
          </w:p>
        </w:tc>
        <w:tc>
          <w:tcPr>
            <w:tcW w:type="dxa" w:w="4624"/>
            <w:tcBorders>
              <w:top w:val="single" w:color="D9DEE5" w:sz="4"/>
              <w:left w:val="single" w:color="D9DEE5" w:sz="4"/>
              <w:bottom w:val="single" w:color="D9DEE5" w:sz="4"/>
              <w:right w:val="single" w:color="D9DEE5" w:sz="4"/>
            </w:tcBorders>
            <w:shd w:fill="17365D" w:color="auto" w:val="clear"/>
            <w:tcMar>
              <w:top w:type="dxa" w:w="60"/>
              <w:left w:type="dxa" w:w="100"/>
              <w:bottom w:type="dxa" w:w="60"/>
              <w:right w:type="dxa" w:w="100"/>
            </w:tcMar>
            <w:vAlign w:val="center"/>
          </w:tcPr>
          <w:p>
            <w:pPr>
              <w:spacing w:after="0"/>
              <w:jc w:val="center"/>
            </w:pPr>
            <w:r>
              <w:rPr>
                <w:rFonts w:ascii="Aptos" w:cs="Aptos" w:eastAsia="Aptos" w:hAnsi="Aptos"/>
                <w:b/>
                <w:bCs/>
                <w:color w:val="FFFFFF"/>
                <w:sz w:val="16"/>
                <w:szCs w:val="16"/>
              </w:rPr>
              <w:t xml:space="preserve">What it shows for 3264</w:t>
            </w:r>
          </w:p>
        </w:tc>
      </w:tr>
      <w:tr>
        <w:tc>
          <w:tcPr>
            <w:tcW w:type="dxa" w:w="1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C13.01</w:t>
            </w:r>
          </w:p>
        </w:tc>
        <w:tc>
          <w:tcPr>
            <w:tcW w:type="dxa" w:w="39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2026 PM_Systems Development Life Cycle (BSI)_v1.pdf</w:t>
            </w:r>
          </w:p>
        </w:tc>
        <w:tc>
          <w:tcPr>
            <w:tcW w:type="dxa" w:w="4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Step 1.3 "Architecture Design is developed" – control C13 (v2.0 Draft)</w:t>
            </w:r>
          </w:p>
        </w:tc>
      </w:tr>
      <w:tr>
        <w:tc>
          <w:tcPr>
            <w:tcW w:type="dxa" w:w="1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C13.02</w:t>
            </w:r>
          </w:p>
        </w:tc>
        <w:tc>
          <w:tcPr>
            <w:tcW w:type="dxa" w:w="39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SDLC Project List (population).xlsx</w:t>
            </w:r>
          </w:p>
        </w:tc>
        <w:tc>
          <w:tcPr>
            <w:tcW w:type="dxa" w:w="4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 SDLC = Yes, T24, Closed 09/02/2026</w:t>
            </w:r>
          </w:p>
        </w:tc>
      </w:tr>
      <w:tr>
        <w:tc>
          <w:tcPr>
            <w:tcW w:type="dxa" w:w="17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C13.04</w:t>
            </w:r>
          </w:p>
        </w:tc>
        <w:tc>
          <w:tcPr>
            <w:tcW w:type="dxa" w:w="3900"/>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NDF – Data Risk Assessment (CDO Approved, High).pdf</w:t>
            </w:r>
          </w:p>
        </w:tc>
        <w:tc>
          <w:tcPr>
            <w:tcW w:type="dxa" w:w="46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DRA rating HIGH, CDO: Approved, Data Steward Miguel Menendez (Exhibit A1 / A2)</w:t>
            </w:r>
          </w:p>
        </w:tc>
      </w:tr>
      <w:tr>
        <w:tc>
          <w:tcPr>
            <w:tcW w:type="dxa" w:w="17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Not provided</w:t>
            </w:r>
          </w:p>
        </w:tc>
        <w:tc>
          <w:tcPr>
            <w:tcW w:type="dxa" w:w="3900"/>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Enterprise Architecture approval / ARB determination; DRA approval history; NDF data models</w:t>
            </w:r>
          </w:p>
        </w:tc>
        <w:tc>
          <w:tcPr>
            <w:tcW w:type="dxa" w:w="46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Requested under OI-02</w:t>
            </w:r>
          </w:p>
        </w:tc>
      </w:tr>
    </w:tbl>
    <w:p>
      <w:pPr>
        <w:pStyle w:val="Heading1"/>
        <w:spacing w:after="120" w:before="240"/>
      </w:pPr>
      <w:r>
        <w:rPr>
          <w:rFonts w:ascii="Aptos" w:cs="Aptos" w:eastAsia="Aptos" w:hAnsi="Aptos"/>
          <w:b/>
          <w:bCs/>
          <w:color w:val="17365D"/>
          <w:sz w:val="30"/>
          <w:szCs w:val="30"/>
        </w:rPr>
        <w:t xml:space="preserve">Appendix A – 3264 Evidence</w:t>
      </w:r>
    </w:p>
    <w:p>
      <w:pPr>
        <w:keepNext/>
        <w:spacing w:after="80" w:before="160" w:line="276"/>
      </w:pPr>
      <w:r>
        <w:rPr>
          <w:rFonts w:ascii="Aptos" w:cs="Aptos" w:eastAsia="Aptos" w:hAnsi="Aptos"/>
          <w:b/>
          <w:bCs/>
          <w:color w:val="1F1F1F"/>
          <w:sz w:val="19"/>
          <w:szCs w:val="19"/>
        </w:rPr>
        <w:t xml:space="preserve">Exhibit A1: Delivery Hub "Data Risk Assessment" – Project 3264 Derivatives Non-Deliverable Forwards NDF</w:t>
      </w:r>
    </w:p>
    <w:p>
      <w:pPr>
        <w:spacing w:after="60"/>
        <w:jc w:val="center"/>
      </w:pPr>
      <w:r>
        <w:drawing>
          <wp:inline distT="0" distB="0" distL="0" distR="0">
            <wp:extent cx="5943600" cy="3305175"/>
            <wp:effectExtent t="0" r="0" b="0" l="0"/>
            <wp:docPr id="1" name="c13_dra.png" descr="c13_dra.png" title="c13_d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05175"/>
                    </a:xfrm>
                    <a:prstGeom prst="rect">
                      <a:avLst/>
                    </a:prstGeom>
                  </pic:spPr>
                </pic:pic>
              </a:graphicData>
            </a:graphic>
          </wp:inline>
        </w:drawing>
      </w:r>
    </w:p>
    <w:p>
      <w:pPr>
        <w:spacing w:after="120" w:before="60" w:line="276"/>
      </w:pPr>
      <w:r>
        <w:rPr>
          <w:rFonts w:ascii="Aptos" w:cs="Aptos" w:eastAsia="Aptos" w:hAnsi="Aptos"/>
          <w:i/>
          <w:iCs/>
          <w:color w:val="475569"/>
          <w:sz w:val="16"/>
          <w:szCs w:val="16"/>
        </w:rPr>
        <w:t xml:space="preserve">Source: BSI.IT.23.C13.04 – NDF Data Risk Assesement.pdf.</w:t>
      </w:r>
    </w:p>
    <w:p>
      <w:pPr>
        <w:keepNext/>
        <w:spacing w:after="80" w:before="160" w:line="276"/>
      </w:pPr>
      <w:r>
        <w:rPr>
          <w:rFonts w:ascii="Aptos" w:cs="Aptos" w:eastAsia="Aptos" w:hAnsi="Aptos"/>
          <w:b/>
          <w:bCs/>
          <w:color w:val="1F1F1F"/>
          <w:sz w:val="19"/>
          <w:szCs w:val="19"/>
        </w:rPr>
        <w:t xml:space="preserve">Exhibit A2: Key DRA fields (BSI.IT.23.C13.04)</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Project / Portfolio / Type</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3264 Derivatives Non-Deliverable Forwards NDF / BSI_Treasury and Markets / B3P</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Project Manager / IT Lead / Data Steward</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Megia Planet, Domingo / Jose Luis Martinez Avial / Miguel Menendez – BSI</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Executive / Business Sponsor; CIO</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Ted Fernandez / Ted Fernandez; Jose Oliveros</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Assessment answers</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Q1 system development impacting data – Yes; 1a producing / consuming data – Yes; 1b new systems or flows – Yes; 1c applications in scope – Yes</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Data elements / lineage</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Existing KDE; non-KDE used in regulatory / senior management reporting; impact on existing lineage</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Impacted platforms</w:t>
            </w:r>
          </w:p>
        </w:tc>
        <w:tc>
          <w:tcPr>
            <w:tcW w:type="dxa" w:w="7224"/>
            <w:tcBorders>
              <w:top w:val="single" w:color="D9DEE5" w:sz="4"/>
              <w:left w:val="single" w:color="D9DEE5" w:sz="4"/>
              <w:bottom w:val="single" w:color="D9DEE5" w:sz="4"/>
              <w:right w:val="single" w:color="D9DEE5" w:sz="4"/>
            </w:tcBorders>
            <w:shd w:fill="F8FAFC"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T24, Bloomberg, Medea, 360, Murex 3 Latam, Data Lake, MARS CREAM, Appian</w:t>
            </w:r>
          </w:p>
        </w:tc>
      </w:tr>
      <w:tr>
        <w:tc>
          <w:tcPr>
            <w:tcW w:type="dxa" w:w="3000"/>
            <w:tcBorders>
              <w:top w:val="single" w:color="D9DEE5" w:sz="4"/>
              <w:left w:val="single" w:color="D9DEE5" w:sz="4"/>
              <w:bottom w:val="single" w:color="D9DEE5" w:sz="4"/>
              <w:right w:val="single" w:color="D9DEE5" w:sz="4"/>
            </w:tcBorders>
            <w:shd w:fill="F1F5F9" w:color="auto" w:val="clear"/>
            <w:tcMar>
              <w:top w:type="dxa" w:w="60"/>
              <w:left w:type="dxa" w:w="100"/>
              <w:bottom w:type="dxa" w:w="60"/>
              <w:right w:type="dxa" w:w="100"/>
            </w:tcMar>
            <w:vAlign w:val="center"/>
          </w:tcPr>
          <w:p>
            <w:pPr>
              <w:spacing w:after="0"/>
            </w:pPr>
            <w:r>
              <w:rPr>
                <w:rFonts w:ascii="Aptos" w:cs="Aptos" w:eastAsia="Aptos" w:hAnsi="Aptos"/>
                <w:b/>
                <w:bCs/>
                <w:color w:val="1F1F1F"/>
                <w:sz w:val="16"/>
                <w:szCs w:val="16"/>
              </w:rPr>
              <w:t xml:space="preserve">DRA rating / status</w:t>
            </w:r>
          </w:p>
        </w:tc>
        <w:tc>
          <w:tcPr>
            <w:tcW w:type="dxa" w:w="7224"/>
            <w:tcBorders>
              <w:top w:val="single" w:color="D9DEE5" w:sz="4"/>
              <w:left w:val="single" w:color="D9DEE5" w:sz="4"/>
              <w:bottom w:val="single" w:color="D9DEE5" w:sz="4"/>
              <w:right w:val="single" w:color="D9DEE5" w:sz="4"/>
            </w:tcBorders>
            <w:shd w:fill="FFFFFF" w:color="auto" w:val="clear"/>
            <w:tcMar>
              <w:top w:type="dxa" w:w="60"/>
              <w:left w:type="dxa" w:w="100"/>
              <w:bottom w:type="dxa" w:w="60"/>
              <w:right w:type="dxa" w:w="100"/>
            </w:tcMar>
            <w:vAlign w:val="center"/>
          </w:tcPr>
          <w:p>
            <w:pPr>
              <w:spacing w:after="0"/>
            </w:pPr>
            <w:r>
              <w:rPr>
                <w:rFonts w:ascii="Aptos" w:cs="Aptos" w:eastAsia="Aptos" w:hAnsi="Aptos"/>
                <w:b w:val="false"/>
                <w:bCs w:val="false"/>
                <w:color w:val="1F1F1F"/>
                <w:sz w:val="16"/>
                <w:szCs w:val="16"/>
              </w:rPr>
              <w:t xml:space="preserve">HIGH – CDO: Approved (approval date not displayed)</w:t>
            </w:r>
          </w:p>
        </w:tc>
      </w:tr>
    </w:tbl>
    <w:p>
      <w:pPr>
        <w:spacing w:after="120" w:before="200" w:line="276"/>
      </w:pPr>
      <w:r>
        <w:rPr>
          <w:rFonts w:ascii="Aptos" w:cs="Aptos" w:eastAsia="Aptos" w:hAnsi="Aptos"/>
          <w:b/>
          <w:bCs/>
          <w:color w:val="1F1F1F"/>
          <w:sz w:val="19"/>
          <w:szCs w:val="19"/>
        </w:rPr>
        <w:t xml:space="preserve">Referenced workbook: </w:t>
      </w:r>
      <w:r>
        <w:rPr>
          <w:rFonts w:ascii="Aptos" w:cs="Aptos" w:eastAsia="Aptos" w:hAnsi="Aptos"/>
          <w:color w:val="1F1F1F"/>
          <w:sz w:val="19"/>
          <w:szCs w:val="19"/>
        </w:rPr>
        <w:t xml:space="preserve">WP 2026 BSI.IT.23.C13 Design of System.xlsm – tab "Control Performance Assessment", row 54; tab "New Test Script".</w:t>
      </w:r>
    </w:p>
    <w:sectPr>
      <w:headerReference w:type="default" r:id="rId7"/>
      <w:footerReference w:type="default" r:id="rId8"/>
      <w:pgSz w:w="12240" w:h="15840" w:orient="portrait"/>
      <w:pgMar w:top="936" w:right="1008" w:bottom="936" w:left="1008" w:header="403" w:footer="40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ptos" w:cs="Aptos" w:eastAsia="Aptos" w:hAnsi="Aptos"/>
        <w:b/>
        <w:bCs/>
        <w:color w:val="C00000"/>
        <w:sz w:val="14"/>
        <w:szCs w:val="14"/>
      </w:rPr>
      <w:t xml:space="preserve">CONFIDENTIAL  |  </w:t>
    </w:r>
    <w:r>
      <w:rPr>
        <w:rFonts w:ascii="Aptos" w:cs="Aptos" w:eastAsia="Aptos" w:hAnsi="Aptos"/>
        <w:b/>
        <w:bCs/>
        <w:color w:val="C00000"/>
        <w:sz w:val="14"/>
        <w:szCs w:val="14"/>
      </w:rPr>
      <w:t xml:space="preserve">BSI.IT.23.C13 – SAMPLE OF ONE 3264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b/>
        <w:bCs/>
        <w:color w:val="475569"/>
        <w:sz w:val="14"/>
        <w:szCs w:val="14"/>
      </w:rPr>
      <w:t xml:space="preserve">IT RCSA | SDLC – DESIGN OF SYSTEM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ptos" w:cs="Aptos" w:eastAsia="Aptos" w:hAnsi="Aptos"/>
      <w:b/>
      <w:bCs/>
      <w:color w:val="17365D"/>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0408a0193f454008d6ec67bd8f275b487807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of System – BSI.IT.23.C13</dc:title>
  <dc:creator>IT RCSA</dc:creator>
  <cp:lastModifiedBy>Un-named</cp:lastModifiedBy>
  <cp:revision>1</cp:revision>
  <dcterms:created xsi:type="dcterms:W3CDTF">2026-10-21T17:10:56.346Z</dcterms:created>
  <dcterms:modified xsi:type="dcterms:W3CDTF">2026-10-21T17:10:56.346Z</dcterms:modified>
</cp:coreProperties>
</file>

<file path=docProps/custom.xml><?xml version="1.0" encoding="utf-8"?>
<Properties xmlns="http://schemas.openxmlformats.org/officeDocument/2006/custom-properties" xmlns:vt="http://schemas.openxmlformats.org/officeDocument/2006/docPropsVTypes"/>
</file>