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ptos Display" w:cs="Aptos Display" w:eastAsia="Aptos Display" w:hAnsi="Aptos Display"/>
          <w:b/>
          <w:bCs/>
          <w:color w:val="17365D"/>
          <w:sz w:val="52"/>
          <w:szCs w:val="52"/>
        </w:rPr>
        <w:t xml:space="preserve">IT RCSA Audit Documentation</w:t>
      </w:r>
    </w:p>
    <w:p>
      <w:pPr>
        <w:spacing w:after="60"/>
      </w:pPr>
      <w:r>
        <w:rPr>
          <w:rFonts w:ascii="Aptos" w:cs="Aptos" w:eastAsia="Aptos" w:hAnsi="Aptos"/>
          <w:b/>
          <w:bCs/>
          <w:color w:val="0078D4"/>
          <w:sz w:val="34"/>
          <w:szCs w:val="34"/>
        </w:rPr>
        <w:t xml:space="preserve">Implement &amp; Deployment – BSI.IT.23.C25</w:t>
      </w:r>
    </w:p>
    <w:p>
      <w:pPr>
        <w:spacing w:after="160"/>
      </w:pPr>
      <w:r>
        <w:rPr>
          <w:rFonts w:ascii="Aptos" w:cs="Aptos" w:eastAsia="Aptos" w:hAnsi="Aptos"/>
          <w:i/>
          <w:iCs/>
          <w:color w:val="475569"/>
          <w:sz w:val="20"/>
          <w:szCs w:val="20"/>
        </w:rPr>
        <w:t xml:space="preserve">Design Assessment, Walkthrough and Sample of One (DH 3264 – Derivatives NDF, RLSE1270306)</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08"/>
      </w:tblGrid>
      <w:tr>
        <w:tc>
          <w:tcPr>
            <w:tcW w:type="dxa" w:w="3408"/>
            <w:tcBorders>
              <w:top w:val="none" w:color="FFFFFF" w:sz="0"/>
              <w:left w:val="none" w:color="FFFFFF" w:sz="0"/>
              <w:bottom w:val="none" w:color="FFFFFF" w:sz="0"/>
              <w:right w:val="none" w:color="FFFFFF" w:sz="0"/>
            </w:tcBorders>
            <w:shd w:fill="EAF4FB" w:color="auto" w:val="clear"/>
            <w:tcMar>
              <w:top w:type="dxa" w:w="80"/>
              <w:left w:type="dxa" w:w="100"/>
              <w:bottom w:type="dxa" w:w="0"/>
              <w:right w:type="dxa" w:w="100"/>
            </w:tcMar>
          </w:tcPr>
          <w:p>
            <w:pPr>
              <w:spacing w:after="0"/>
              <w:jc w:val="center"/>
            </w:pPr>
            <w:r>
              <w:rPr>
                <w:rFonts w:ascii="Aptos" w:cs="Aptos" w:eastAsia="Aptos" w:hAnsi="Aptos"/>
                <w:b/>
                <w:bCs/>
                <w:color w:val="475569"/>
                <w:sz w:val="14"/>
                <w:szCs w:val="14"/>
              </w:rPr>
              <w:t xml:space="preserve">DESIGN RATING</w:t>
            </w:r>
          </w:p>
        </w:tc>
        <w:tc>
          <w:tcPr>
            <w:tcW w:type="dxa" w:w="3408"/>
            <w:tcBorders>
              <w:top w:val="none" w:color="FFFFFF" w:sz="0"/>
              <w:left w:val="none" w:color="FFFFFF" w:sz="0"/>
              <w:bottom w:val="none" w:color="FFFFFF" w:sz="0"/>
              <w:right w:val="none" w:color="FFFFFF" w:sz="0"/>
            </w:tcBorders>
            <w:shd w:fill="EAF4FB" w:color="auto" w:val="clear"/>
            <w:tcMar>
              <w:top w:type="dxa" w:w="80"/>
              <w:left w:type="dxa" w:w="100"/>
              <w:bottom w:type="dxa" w:w="0"/>
              <w:right w:type="dxa" w:w="100"/>
            </w:tcMar>
          </w:tcPr>
          <w:p>
            <w:pPr>
              <w:spacing w:after="0"/>
              <w:jc w:val="center"/>
            </w:pPr>
            <w:r>
              <w:rPr>
                <w:rFonts w:ascii="Aptos" w:cs="Aptos" w:eastAsia="Aptos" w:hAnsi="Aptos"/>
                <w:b/>
                <w:bCs/>
                <w:color w:val="475569"/>
                <w:sz w:val="14"/>
                <w:szCs w:val="14"/>
              </w:rPr>
              <w:t xml:space="preserve">SAMPLE RLSE1270306</w:t>
            </w:r>
          </w:p>
        </w:tc>
        <w:tc>
          <w:tcPr>
            <w:tcW w:type="dxa" w:w="3408"/>
            <w:tcBorders>
              <w:top w:val="none" w:color="FFFFFF" w:sz="0"/>
              <w:left w:val="none" w:color="FFFFFF" w:sz="0"/>
              <w:bottom w:val="none" w:color="FFFFFF" w:sz="0"/>
              <w:right w:val="none" w:color="FFFFFF" w:sz="0"/>
            </w:tcBorders>
            <w:shd w:fill="EAF4FB" w:color="auto" w:val="clear"/>
            <w:tcMar>
              <w:top w:type="dxa" w:w="80"/>
              <w:left w:type="dxa" w:w="100"/>
              <w:bottom w:type="dxa" w:w="0"/>
              <w:right w:type="dxa" w:w="100"/>
            </w:tcMar>
          </w:tcPr>
          <w:p>
            <w:pPr>
              <w:spacing w:after="0"/>
              <w:jc w:val="center"/>
            </w:pPr>
            <w:r>
              <w:rPr>
                <w:rFonts w:ascii="Aptos" w:cs="Aptos" w:eastAsia="Aptos" w:hAnsi="Aptos"/>
                <w:b/>
                <w:bCs/>
                <w:color w:val="475569"/>
                <w:sz w:val="14"/>
                <w:szCs w:val="14"/>
              </w:rPr>
              <w:t xml:space="preserve">OBSERVATIONS</w:t>
            </w:r>
          </w:p>
        </w:tc>
      </w:tr>
      <w:tr>
        <w:tc>
          <w:tcPr>
            <w:tcW w:type="dxa" w:w="3408"/>
            <w:tcBorders>
              <w:top w:val="none" w:color="FFFFFF" w:sz="0"/>
              <w:left w:val="none" w:color="FFFFFF" w:sz="0"/>
              <w:bottom w:val="none" w:color="FFFFFF" w:sz="0"/>
              <w:right w:val="none" w:color="FFFFFF" w:sz="0"/>
            </w:tcBorders>
            <w:shd w:fill="EAF4FB" w:color="auto" w:val="clear"/>
            <w:tcMar>
              <w:top w:type="dxa" w:w="0"/>
              <w:left w:type="dxa" w:w="100"/>
              <w:bottom w:type="dxa" w:w="80"/>
              <w:right w:type="dxa" w:w="100"/>
            </w:tcMar>
          </w:tcPr>
          <w:p>
            <w:pPr>
              <w:spacing w:after="0"/>
              <w:jc w:val="center"/>
            </w:pPr>
            <w:r>
              <w:rPr>
                <w:rFonts w:ascii="Aptos" w:cs="Aptos" w:eastAsia="Aptos" w:hAnsi="Aptos"/>
                <w:b/>
                <w:bCs/>
                <w:color w:val="107C41"/>
                <w:sz w:val="26"/>
                <w:szCs w:val="26"/>
              </w:rPr>
              <w:t xml:space="preserve">SATISFACTORY</w:t>
            </w:r>
          </w:p>
        </w:tc>
        <w:tc>
          <w:tcPr>
            <w:tcW w:type="dxa" w:w="3408"/>
            <w:tcBorders>
              <w:top w:val="none" w:color="FFFFFF" w:sz="0"/>
              <w:left w:val="none" w:color="FFFFFF" w:sz="0"/>
              <w:bottom w:val="none" w:color="FFFFFF" w:sz="0"/>
              <w:right w:val="none" w:color="FFFFFF" w:sz="0"/>
            </w:tcBorders>
            <w:shd w:fill="EAF4FB" w:color="auto" w:val="clear"/>
            <w:tcMar>
              <w:top w:type="dxa" w:w="0"/>
              <w:left w:type="dxa" w:w="100"/>
              <w:bottom w:type="dxa" w:w="80"/>
              <w:right w:type="dxa" w:w="100"/>
            </w:tcMar>
          </w:tcPr>
          <w:p>
            <w:pPr>
              <w:spacing w:after="0"/>
              <w:jc w:val="center"/>
            </w:pPr>
            <w:r>
              <w:rPr>
                <w:rFonts w:ascii="Aptos" w:cs="Aptos" w:eastAsia="Aptos" w:hAnsi="Aptos"/>
                <w:b/>
                <w:bCs/>
                <w:color w:val="107C41"/>
                <w:sz w:val="26"/>
                <w:szCs w:val="26"/>
              </w:rPr>
              <w:t xml:space="preserve">PASS</w:t>
            </w:r>
          </w:p>
        </w:tc>
        <w:tc>
          <w:tcPr>
            <w:tcW w:type="dxa" w:w="3408"/>
            <w:tcBorders>
              <w:top w:val="none" w:color="FFFFFF" w:sz="0"/>
              <w:left w:val="none" w:color="FFFFFF" w:sz="0"/>
              <w:bottom w:val="none" w:color="FFFFFF" w:sz="0"/>
              <w:right w:val="none" w:color="FFFFFF" w:sz="0"/>
            </w:tcBorders>
            <w:shd w:fill="EAF4FB" w:color="auto" w:val="clear"/>
            <w:tcMar>
              <w:top w:type="dxa" w:w="0"/>
              <w:left w:type="dxa" w:w="100"/>
              <w:bottom w:type="dxa" w:w="80"/>
              <w:right w:type="dxa" w:w="100"/>
            </w:tcMar>
          </w:tcPr>
          <w:p>
            <w:pPr>
              <w:spacing w:after="0"/>
              <w:jc w:val="center"/>
            </w:pPr>
            <w:r>
              <w:rPr>
                <w:rFonts w:ascii="Aptos" w:cs="Aptos" w:eastAsia="Aptos" w:hAnsi="Aptos"/>
                <w:b/>
                <w:bCs/>
                <w:color w:val="B45309"/>
                <w:sz w:val="26"/>
                <w:szCs w:val="26"/>
              </w:rPr>
              <w:t xml:space="preserve">OI-03</w:t>
            </w:r>
          </w:p>
        </w:tc>
      </w:tr>
    </w:tbl>
    <w:p>
      <w:pPr>
        <w:spacing w:after="60" w:before="0" w:line="276"/>
      </w:pPr>
      <w:r>
        <w:rPr>
          <w:rFonts w:ascii="Aptos" w:cs="Aptos" w:eastAsia="Aptos" w:hAnsi="Aptos"/>
          <w:color w:val="1F1F1F"/>
          <w:sz w:val="19"/>
          <w:szCs w:val="19"/>
        </w:rPr>
        <w:t xml:space="preserve"/>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Control</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BSI.IT.23.C25 – Implement &amp; Deployment (Heracles ID 50541461) – Key, Manual, In every operation</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Review period</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09/01/2025 – 08/31/2026</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Walkthrough</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08/13/2025 – Jose Luis Martinez Avial, Systems Development Director (prior cycle). 2026 confirmation with the control owner pending.</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Sample of one</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DH 3264 – Derivatives NDF, Release 01 – RLSE1270306 / CHG002670462, production 01/28/2026</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Evidence folder</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BSI.IT.23.C25 Implement &amp; Deployment/Evidence (BSI.IT.23.C25.01 – C25.13)</w:t>
            </w:r>
          </w:p>
        </w:tc>
      </w:tr>
    </w:tbl>
    <w:p>
      <w:pPr>
        <w:pStyle w:val="Heading1"/>
        <w:spacing w:after="120" w:before="240"/>
      </w:pPr>
      <w:r>
        <w:rPr>
          <w:rFonts w:ascii="Aptos" w:cs="Aptos" w:eastAsia="Aptos" w:hAnsi="Aptos"/>
          <w:b/>
          <w:bCs/>
          <w:color w:val="17365D"/>
          <w:sz w:val="30"/>
          <w:szCs w:val="30"/>
        </w:rPr>
        <w:t xml:space="preserve">1. Design Effectiveness Summary</w:t>
      </w:r>
    </w:p>
    <w:p>
      <w:pPr>
        <w:spacing w:after="120" w:before="0" w:line="276"/>
      </w:pPr>
      <w:r>
        <w:rPr>
          <w:rFonts w:ascii="Aptos" w:cs="Aptos" w:eastAsia="Aptos" w:hAnsi="Aptos"/>
          <w:color w:val="1F1F1F"/>
          <w:sz w:val="19"/>
          <w:szCs w:val="19"/>
        </w:rPr>
        <w:t xml:space="preserve">The control design is effective. The control is designed with an "In every operation" frequency, which is appropriate because every production deployment of an SDLC project is raised as a ServiceNow release (RLSE) and change (CHG) and cannot be implemented until its implementation plan is approved. The nature of the control is manual: the developers document the Project Implementation Plan (PIP) or Deployment Plan, attach it to the release ticket, and IT Development, Business, InfoSec (where applicable) and Change Management approve it in ServiceNow before implementation; a CAB post-implementation review is recorded afterwards (Refer to BSI.IT.23.C25.08 / C25.10). The control is formally documented in the 2026 SDLC process map, steps 2.4 "Implementation and Deployment plans" and 2.5 "Deployment plan is reviewed" (Refer to BSI.IT.23.C25.01). The information supporting execution is reliable because plans, approvals and dates are recorded in ServiceNow, although plan versions are re-attached manually. Overall Rating: Satisfactory.</w:t>
      </w:r>
    </w:p>
    <w:p>
      <w:pPr>
        <w:spacing w:after="120" w:before="0" w:line="276"/>
      </w:pPr>
      <w:r>
        <w:rPr>
          <w:rFonts w:ascii="Aptos" w:cs="Aptos" w:eastAsia="Aptos" w:hAnsi="Aptos"/>
          <w:color w:val="1F1F1F"/>
          <w:sz w:val="19"/>
          <w:szCs w:val="19"/>
        </w:rPr>
        <w:t xml:space="preserve">Note: the 2026 process map is still in Draft status and should be finalized by management.</w:t>
      </w:r>
    </w:p>
    <w:p>
      <w:pPr>
        <w:pStyle w:val="Heading1"/>
        <w:spacing w:after="120" w:before="240"/>
      </w:pPr>
      <w:r>
        <w:rPr>
          <w:rFonts w:ascii="Aptos" w:cs="Aptos" w:eastAsia="Aptos" w:hAnsi="Aptos"/>
          <w:b/>
          <w:bCs/>
          <w:color w:val="17365D"/>
          <w:sz w:val="30"/>
          <w:szCs w:val="30"/>
        </w:rPr>
        <w:t xml:space="preserve">2. WT Summary</w:t>
      </w:r>
    </w:p>
    <w:p>
      <w:pPr>
        <w:spacing w:after="120" w:before="0" w:line="276"/>
      </w:pPr>
      <w:r>
        <w:rPr>
          <w:rFonts w:ascii="Aptos" w:cs="Aptos" w:eastAsia="Aptos" w:hAnsi="Aptos"/>
          <w:color w:val="1F1F1F"/>
          <w:sz w:val="19"/>
          <w:szCs w:val="19"/>
        </w:rPr>
        <w:t xml:space="preserve">No 2026 walkthrough meeting was held for this cycle. The design understanding below is based on the walkthrough performed by IT RCSA on 08/13/2025 with Jose Luis Martinez Avial (Systems Development Director) and on the 2026 SDLC process map "2026 PM_Systems Development Life Cycle (BSI)_v1" (version 2.0, Draft, 05/20/2026; Process Owner: Jose Luis Martinez; BCO: Elizabeth Noda), which shows no change to the control. IT RCSA should confirm with the control owner that the process remained unchanged during the 2026 testing period.</w:t>
      </w:r>
    </w:p>
    <w:p>
      <w:pPr>
        <w:spacing w:after="120" w:before="0" w:line="276"/>
      </w:pPr>
      <w:r>
        <w:rPr>
          <w:rFonts w:ascii="Aptos" w:cs="Aptos" w:eastAsia="Aptos" w:hAnsi="Aptos"/>
          <w:color w:val="1F1F1F"/>
          <w:sz w:val="19"/>
          <w:szCs w:val="19"/>
        </w:rPr>
        <w:t xml:space="preserve">The SDLC process applies only to Application Development projects. The 2026 population is the Delivery Hub "SDLC Project List": 2 projects flagged SDLC = Yes – DH 3263 ALCO – Security Lending and DH 3264 Derivatives Non-Deliverable Forwards (NDF), each delivered in two releases. Both projects were tested in full in the workpaper; this document traces one sample end to end.</w:t>
      </w:r>
    </w:p>
    <w:p>
      <w:pPr>
        <w:spacing w:after="120" w:before="0" w:line="276"/>
      </w:pPr>
      <w:r>
        <w:rPr>
          <w:rFonts w:ascii="Aptos" w:cs="Aptos" w:eastAsia="Aptos" w:hAnsi="Aptos"/>
          <w:color w:val="1F1F1F"/>
          <w:sz w:val="19"/>
          <w:szCs w:val="19"/>
        </w:rPr>
        <w:t xml:space="preserve">During the Build phase the Technology Project Team creates the implementation and deployment plan (step 2.4). The Project Implementation Plan (PIP) includes:</w:t>
      </w:r>
    </w:p>
    <w:p>
      <w:pPr>
        <w:pStyle w:val="ListParagraph"/>
        <w:numPr>
          <w:ilvl w:val="0"/>
          <w:numId w:val="2"/>
        </w:numPr>
        <w:spacing w:after="40"/>
      </w:pPr>
      <w:r>
        <w:rPr>
          <w:rFonts w:ascii="Aptos" w:cs="Aptos" w:eastAsia="Aptos" w:hAnsi="Aptos"/>
          <w:color w:val="1F1F1F"/>
          <w:sz w:val="17"/>
          <w:szCs w:val="17"/>
        </w:rPr>
        <w:t xml:space="preserve">Header: release ID, IT Manager (Jose Luis Martinez Avial), Business Manager (Ted Fernandez), requester, tester and implementer.</w:t>
      </w:r>
    </w:p>
    <w:p>
      <w:pPr>
        <w:pStyle w:val="ListParagraph"/>
        <w:numPr>
          <w:ilvl w:val="0"/>
          <w:numId w:val="2"/>
        </w:numPr>
        <w:spacing w:after="40"/>
      </w:pPr>
      <w:r>
        <w:rPr>
          <w:rFonts w:ascii="Aptos" w:cs="Aptos" w:eastAsia="Aptos" w:hAnsi="Aptos"/>
          <w:color w:val="1F1F1F"/>
          <w:sz w:val="17"/>
          <w:szCs w:val="17"/>
        </w:rPr>
        <w:t xml:space="preserve">Special pre-, during- and post-implementation tasks and the functional description / justification.</w:t>
      </w:r>
    </w:p>
    <w:p>
      <w:pPr>
        <w:pStyle w:val="ListParagraph"/>
        <w:numPr>
          <w:ilvl w:val="0"/>
          <w:numId w:val="2"/>
        </w:numPr>
        <w:spacing w:after="40"/>
      </w:pPr>
      <w:r>
        <w:rPr>
          <w:rFonts w:ascii="Aptos" w:cs="Aptos" w:eastAsia="Aptos" w:hAnsi="Aptos"/>
          <w:color w:val="1F1F1F"/>
          <w:sz w:val="17"/>
          <w:szCs w:val="17"/>
        </w:rPr>
        <w:t xml:space="preserve">Implementation steps: core updates, build control (BCON) installation, routines and records migrated, parameter changes, roles and COB jobs.</w:t>
      </w:r>
    </w:p>
    <w:p>
      <w:pPr>
        <w:pStyle w:val="ListParagraph"/>
        <w:numPr>
          <w:ilvl w:val="0"/>
          <w:numId w:val="2"/>
        </w:numPr>
        <w:spacing w:after="40"/>
      </w:pPr>
      <w:r>
        <w:rPr>
          <w:rFonts w:ascii="Aptos" w:cs="Aptos" w:eastAsia="Aptos" w:hAnsi="Aptos"/>
          <w:color w:val="1F1F1F"/>
          <w:sz w:val="17"/>
          <w:szCs w:val="17"/>
        </w:rPr>
        <w:t xml:space="preserve">Rollback plan (e.g. snapshot restore, copy and compile backed-up routines).</w:t>
      </w:r>
    </w:p>
    <w:p>
      <w:pPr>
        <w:spacing w:after="120" w:before="0" w:line="276"/>
      </w:pPr>
      <w:r>
        <w:rPr>
          <w:rFonts w:ascii="Aptos" w:cs="Aptos" w:eastAsia="Aptos" w:hAnsi="Aptos"/>
          <w:color w:val="1F1F1F"/>
          <w:sz w:val="19"/>
          <w:szCs w:val="19"/>
        </w:rPr>
        <w:t xml:space="preserve">The plan is attached to the ServiceNow release, which also carries the implementation plan summary, risk and impact analysis, backout plan, test plan (SIT / UAT delegated tests) and schedule. Approvals are requested from IT Development and Change Coordinators / Change Manager (and InfoSec where applicable) and recorded in the approval list; the Change Manager also records the IT and Business change approvals in the work notes. The Change &amp; Release Management team reviews the plan (step 2.5) before the system is deployed (step 2.6), and a CAB post-implementation review closes the change. Exceptions are escalated following the Change Management process.</w:t>
      </w:r>
    </w:p>
    <w:p>
      <w:pPr>
        <w:spacing w:after="120" w:before="0" w:line="276"/>
      </w:pPr>
      <w:r>
        <w:rPr>
          <w:rFonts w:ascii="Aptos" w:cs="Aptos" w:eastAsia="Aptos" w:hAnsi="Aptos"/>
          <w:color w:val="1F1F1F"/>
          <w:sz w:val="19"/>
          <w:szCs w:val="19"/>
        </w:rPr>
        <w:t xml:space="preserve">Sample of one: RLSE1270306 was traced end to end – population (BSI.IT.23.C25.02), PIP "ND Deal" (C25.10), release ticket plan, approvals, work notes and closure (C25.08) and the ServiceNow screen (C25.09). Results are in Section 3.</w:t>
      </w:r>
    </w:p>
    <w:p>
      <w:pPr>
        <w:spacing w:after="120" w:before="0" w:line="276"/>
      </w:pPr>
      <w:r>
        <w:rPr>
          <w:rFonts w:ascii="Aptos" w:cs="Aptos" w:eastAsia="Aptos" w:hAnsi="Aptos"/>
          <w:color w:val="1F1F1F"/>
          <w:sz w:val="19"/>
          <w:szCs w:val="19"/>
        </w:rPr>
        <w:t xml:space="preserve">Based on our understanding of the process, the control appears to be designed appropriately and implemented as described, and it is adequate to mitigate the risk of improper deployment, service disruption and exploitable vulnerabilities (BSI.IT.23.R6 Improper Coding Practices).</w:t>
      </w:r>
    </w:p>
    <w:p>
      <w:pPr>
        <w:pStyle w:val="Heading1"/>
        <w:spacing w:after="120" w:before="240"/>
      </w:pPr>
      <w:r>
        <w:rPr>
          <w:rFonts w:ascii="Aptos" w:cs="Aptos" w:eastAsia="Aptos" w:hAnsi="Aptos"/>
          <w:b/>
          <w:bCs/>
          <w:color w:val="17365D"/>
          <w:sz w:val="30"/>
          <w:szCs w:val="30"/>
        </w:rPr>
        <w:t xml:space="preserve">3. Sample of One – RLSE1270306 (DH 3264 NDF Release 01)</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2700"/>
        <w:gridCol w:w="1624"/>
      </w:tblGrid>
      <w:tr>
        <w:trPr>
          <w:tblHeader/>
        </w:trPr>
        <w:tc>
          <w:tcPr>
            <w:tcW w:type="dxa" w:w="25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Workpaper column</w:t>
            </w:r>
          </w:p>
        </w:tc>
        <w:tc>
          <w:tcPr>
            <w:tcW w:type="dxa" w:w="34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Value / conclusion</w:t>
            </w:r>
          </w:p>
        </w:tc>
        <w:tc>
          <w:tcPr>
            <w:tcW w:type="dxa" w:w="27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Evidence reference</w:t>
            </w:r>
          </w:p>
        </w:tc>
        <w:tc>
          <w:tcPr>
            <w:tcW w:type="dxa" w:w="16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Result</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Sample ID</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2 (CPA row 54) – Release 01</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Workpaper CPA tab</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Project ID-Name / Release in Production Date</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 Derivatives NDF; actual start 01/28/2026 02:40</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C25.02; C25.08 (p.3); C25.09</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Change / Release Plan Sampled</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RLSE1270306 / CHG002670462 – "NDF Project – Release 1", T24, Normal, Deployment – New Version/Evolutive</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(p.1); C25.09</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Plan documented – implementation tasks</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PIP "ND Deal": core updates check, install BCON BDER001-RLSE1270306.ND.DEAL.01, authorise records, roles / permissions, affected COB jobs</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C25.10; C25.08 (p.1-3)</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Plan documented – files / components</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44 T24 routines listed (e.g. BSI.NDF.CALC.REC.VALUES, SPB.SEND.ND.MUREX, DE.NDF.DATA)</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(p.2); C25.10</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Plan documented – rollback</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"Rollback snapshot taken just before release started"; backout plan "Restore the snapshot before COB"</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C25.10; C25.08 (p.3)</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Plan attached before implementation</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PIP attached 01/21/2026; final version 01/28/2026 02:09 (before 02:40 start)</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(p.5-7)</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IT approval</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Guillermo Sanchez Rodriguez (Development Manager) – 01/21/2026; Jose Martinez Avial (BSI Development Director) – 01/27/2026</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(p.7-9)</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Business approval</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Ted Fernandez (Treasurer &amp; Capital Management Sr. Director) – work note 01/27/2026</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(p.5)</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Change Management approval</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Angela Rojas Molano (Change Manager) – 01/27/2026; Delivery Hub status OK</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(p.5, 8)</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Testing before deployment</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SIT successful (G. Sanchez, J.L. Martinez); UAT successful (A. Falcon, Derivative Trader)</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(p.5)</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Closure / post-implementation</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Close code Successful; CAB review 07/22/2026 "successful no issue"</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C25.08 (p.3, 6)</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bl>
    <w:p>
      <w:pPr>
        <w:spacing w:after="120" w:before="160" w:line="276"/>
      </w:pPr>
      <w:r>
        <w:rPr>
          <w:rFonts w:ascii="Aptos" w:cs="Aptos" w:eastAsia="Aptos" w:hAnsi="Aptos"/>
          <w:b/>
          <w:bCs/>
          <w:color w:val="1F1F1F"/>
          <w:sz w:val="19"/>
          <w:szCs w:val="19"/>
        </w:rPr>
        <w:t xml:space="preserve">Conclusion: Sample RLSE1270306 passed all control attributes – the implementation plan was documented with tasks, components and rollback, and was approved by IT, Business and Change Management before production implementation; no exceptions were identified.</w:t>
      </w:r>
    </w:p>
    <w:p>
      <w:pPr>
        <w:spacing w:after="120" w:before="120" w:line="276"/>
      </w:pPr>
      <w:r>
        <w:rPr>
          <w:rFonts w:ascii="Aptos" w:cs="Aptos" w:eastAsia="Aptos" w:hAnsi="Aptos"/>
          <w:b/>
          <w:bCs/>
          <w:color w:val="17365D"/>
          <w:sz w:val="19"/>
          <w:szCs w:val="19"/>
        </w:rPr>
        <w:t xml:space="preserve">NewTest Script coverage (workpaper tab 'New Test Script')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4224"/>
        <w:gridCol w:w="2000"/>
      </w:tblGrid>
      <w:tr>
        <w:trPr>
          <w:tblHeader/>
        </w:trPr>
        <w:tc>
          <w:tcPr>
            <w:tcW w:type="dxa" w:w="7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Step</w:t>
            </w:r>
          </w:p>
        </w:tc>
        <w:tc>
          <w:tcPr>
            <w:tcW w:type="dxa" w:w="33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Test script step</w:t>
            </w:r>
          </w:p>
        </w:tc>
        <w:tc>
          <w:tcPr>
            <w:tcW w:type="dxa" w:w="42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Sample of one – answer</w:t>
            </w:r>
          </w:p>
        </w:tc>
        <w:tc>
          <w:tcPr>
            <w:tcW w:type="dxa" w:w="20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Result</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1</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Obtain Evidence</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Release ticket, PIP, approvals and closure obtained</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Completed</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2</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Completeness &amp; Accuracy</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traced to RLSE1270306; independent release list pending</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OI-03</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3</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Population &amp; Scope</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Production deployment of a development project – in scope</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Completed</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4</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Control Execution</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Plan with tasks, components, rollback; attached before implementation</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5</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Control Results</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IT, Business and Change Mgmt approvals before 01/28/2026</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6</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Exception Handling</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 exception</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N/A</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7</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Escalation &amp; Remediation</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 exception – CAB PIR recorded</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N/A</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8</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Risk Mitigation</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Deployment planned, reviewed and authorized – R6 mitigated</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9</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Testing Coverage</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Documented in workpaper (2 projects / 4 releases)</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Completed</w:t>
            </w:r>
          </w:p>
        </w:tc>
      </w:tr>
    </w:tbl>
    <w:p>
      <w:pPr>
        <w:spacing w:after="120" w:before="200" w:line="276"/>
      </w:pPr>
      <w:r>
        <w:rPr>
          <w:rFonts w:ascii="Aptos" w:cs="Aptos" w:eastAsia="Aptos" w:hAnsi="Aptos"/>
          <w:b/>
          <w:bCs/>
          <w:color w:val="17365D"/>
          <w:sz w:val="19"/>
          <w:szCs w:val="19"/>
        </w:rPr>
        <w:t xml:space="preserve">Evidence references (BSI.IT.23.C25 folder)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4624"/>
      </w:tblGrid>
      <w:tr>
        <w:trPr>
          <w:tblHeader/>
        </w:trPr>
        <w:tc>
          <w:tcPr>
            <w:tcW w:type="dxa" w:w="17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Ref</w:t>
            </w:r>
          </w:p>
        </w:tc>
        <w:tc>
          <w:tcPr>
            <w:tcW w:type="dxa" w:w="39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Evidence</w:t>
            </w:r>
          </w:p>
        </w:tc>
        <w:tc>
          <w:tcPr>
            <w:tcW w:type="dxa" w:w="46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What it shows for RLSE1270306</w:t>
            </w:r>
          </w:p>
        </w:tc>
      </w:tr>
      <w:tr>
        <w:tc>
          <w:tcPr>
            <w:tcW w:type="dxa" w:w="1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C25.01</w:t>
            </w:r>
          </w:p>
        </w:tc>
        <w:tc>
          <w:tcPr>
            <w:tcW w:type="dxa" w:w="39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2026 PM_Systems Development Life Cycle (BSI)_v1.pdf</w:t>
            </w:r>
          </w:p>
        </w:tc>
        <w:tc>
          <w:tcPr>
            <w:tcW w:type="dxa" w:w="4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Steps 2.4 / 2.5 / 2.6 – control C25 (v2.0 Draft)</w:t>
            </w:r>
          </w:p>
        </w:tc>
      </w:tr>
      <w:tr>
        <w:tc>
          <w:tcPr>
            <w:tcW w:type="dxa" w:w="1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C25.02</w:t>
            </w:r>
          </w:p>
        </w:tc>
        <w:tc>
          <w:tcPr>
            <w:tcW w:type="dxa" w:w="39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SDLC Project List (population).xlsx</w:t>
            </w:r>
          </w:p>
        </w:tc>
        <w:tc>
          <w:tcPr>
            <w:tcW w:type="dxa" w:w="4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 SDLC = Yes, T24, Closed 09/02/2026</w:t>
            </w:r>
          </w:p>
        </w:tc>
      </w:tr>
      <w:tr>
        <w:tc>
          <w:tcPr>
            <w:tcW w:type="dxa" w:w="1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C25.08</w:t>
            </w:r>
          </w:p>
        </w:tc>
        <w:tc>
          <w:tcPr>
            <w:tcW w:type="dxa" w:w="39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NDF R01 – RLSE1270306 ServiceNow Release ticket.pdf</w:t>
            </w:r>
          </w:p>
        </w:tc>
        <w:tc>
          <w:tcPr>
            <w:tcW w:type="dxa" w:w="4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Plan, routines, backout, schedule, work notes, approval list, closure (Exhibits A2, A3)</w:t>
            </w:r>
          </w:p>
        </w:tc>
      </w:tr>
      <w:tr>
        <w:tc>
          <w:tcPr>
            <w:tcW w:type="dxa" w:w="1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C25.09</w:t>
            </w:r>
          </w:p>
        </w:tc>
        <w:tc>
          <w:tcPr>
            <w:tcW w:type="dxa" w:w="39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NDF R01 – RLSE1270306 ServiceNow screenshot.pdf</w:t>
            </w:r>
          </w:p>
        </w:tc>
        <w:tc>
          <w:tcPr>
            <w:tcW w:type="dxa" w:w="4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Release record – state Closed, CHG002670462, schedule (Exhibit A1)</w:t>
            </w:r>
          </w:p>
        </w:tc>
      </w:tr>
      <w:tr>
        <w:tc>
          <w:tcPr>
            <w:tcW w:type="dxa" w:w="1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C25.10</w:t>
            </w:r>
          </w:p>
        </w:tc>
        <w:tc>
          <w:tcPr>
            <w:tcW w:type="dxa" w:w="39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NDF R01 – PIP ND Deal Implementation Plan.docx</w:t>
            </w:r>
          </w:p>
        </w:tc>
        <w:tc>
          <w:tcPr>
            <w:tcW w:type="dxa" w:w="4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Implementation steps and rollback plan</w:t>
            </w:r>
          </w:p>
        </w:tc>
      </w:tr>
    </w:tbl>
    <w:p>
      <w:pPr>
        <w:pStyle w:val="Heading1"/>
        <w:spacing w:after="120" w:before="240"/>
      </w:pPr>
      <w:r>
        <w:rPr>
          <w:rFonts w:ascii="Aptos" w:cs="Aptos" w:eastAsia="Aptos" w:hAnsi="Aptos"/>
          <w:b/>
          <w:bCs/>
          <w:color w:val="17365D"/>
          <w:sz w:val="30"/>
          <w:szCs w:val="30"/>
        </w:rPr>
        <w:t xml:space="preserve">Appendix A – RLSE1270306 Evidence</w:t>
      </w:r>
    </w:p>
    <w:p>
      <w:pPr>
        <w:keepNext/>
        <w:spacing w:after="80" w:before="160" w:line="276"/>
      </w:pPr>
      <w:r>
        <w:rPr>
          <w:rFonts w:ascii="Aptos" w:cs="Aptos" w:eastAsia="Aptos" w:hAnsi="Aptos"/>
          <w:b/>
          <w:bCs/>
          <w:color w:val="1F1F1F"/>
          <w:sz w:val="19"/>
          <w:szCs w:val="19"/>
        </w:rPr>
        <w:t xml:space="preserve">Exhibit A1: ServiceNow release RLSE1270306 – NDF Project – Release 1</w:t>
      </w:r>
    </w:p>
    <w:p>
      <w:pPr>
        <w:spacing w:after="60"/>
        <w:jc w:val="center"/>
      </w:pPr>
      <w:r>
        <w:drawing>
          <wp:inline distT="0" distB="0" distL="0" distR="0">
            <wp:extent cx="5943600" cy="3400425"/>
            <wp:effectExtent t="0" r="0" b="0" l="0"/>
            <wp:docPr id="1" name="c25_rlse.png" descr="c25_rlse.png" title="c25_rl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00425"/>
                    </a:xfrm>
                    <a:prstGeom prst="rect">
                      <a:avLst/>
                    </a:prstGeom>
                  </pic:spPr>
                </pic:pic>
              </a:graphicData>
            </a:graphic>
          </wp:inline>
        </w:drawing>
      </w:r>
    </w:p>
    <w:p>
      <w:pPr>
        <w:spacing w:after="120" w:before="60" w:line="276"/>
      </w:pPr>
      <w:r>
        <w:rPr>
          <w:rFonts w:ascii="Aptos" w:cs="Aptos" w:eastAsia="Aptos" w:hAnsi="Aptos"/>
          <w:i/>
          <w:iCs/>
          <w:color w:val="475569"/>
          <w:sz w:val="16"/>
          <w:szCs w:val="16"/>
        </w:rPr>
        <w:t xml:space="preserve">Source: BSI.IT.23.C25.09 – Change Management ticket Release 01.pdf (dates shown as DD/MM/YYYY).</w:t>
      </w:r>
    </w:p>
    <w:p>
      <w:pPr>
        <w:keepNext/>
        <w:spacing w:after="80" w:before="160" w:line="276"/>
      </w:pPr>
      <w:r>
        <w:rPr>
          <w:rFonts w:ascii="Aptos" w:cs="Aptos" w:eastAsia="Aptos" w:hAnsi="Aptos"/>
          <w:b/>
          <w:bCs/>
          <w:color w:val="1F1F1F"/>
          <w:sz w:val="19"/>
          <w:szCs w:val="19"/>
        </w:rPr>
        <w:t xml:space="preserve">Exhibit A2: ServiceNow approval list – approved entries (BSI.IT.23.C25.08, p.7-9)</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2500"/>
        <w:gridCol w:w="1500"/>
        <w:gridCol w:w="1624"/>
      </w:tblGrid>
      <w:tr>
        <w:trPr>
          <w:tblHeader/>
        </w:trPr>
        <w:tc>
          <w:tcPr>
            <w:tcW w:type="dxa" w:w="15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State</w:t>
            </w:r>
          </w:p>
        </w:tc>
        <w:tc>
          <w:tcPr>
            <w:tcW w:type="dxa" w:w="31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Approver</w:t>
            </w:r>
          </w:p>
        </w:tc>
        <w:tc>
          <w:tcPr>
            <w:tcW w:type="dxa" w:w="25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Assignment group</w:t>
            </w:r>
          </w:p>
        </w:tc>
        <w:tc>
          <w:tcPr>
            <w:tcW w:type="dxa" w:w="15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Approval for</w:t>
            </w:r>
          </w:p>
        </w:tc>
        <w:tc>
          <w:tcPr>
            <w:tcW w:type="dxa" w:w="16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Created</w:t>
            </w:r>
          </w:p>
        </w:tc>
      </w:tr>
      <w:tr>
        <w:tc>
          <w:tcPr>
            <w:tcW w:type="dxa" w:w="1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Approved</w:t>
            </w:r>
          </w:p>
        </w:tc>
        <w:tc>
          <w:tcPr>
            <w:tcW w:type="dxa" w:w="31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Guillermo Sanchez Rodriguez</w:t>
            </w:r>
          </w:p>
        </w:tc>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PBM_AP_SY_IT_Development</w:t>
            </w:r>
          </w:p>
        </w:tc>
        <w:tc>
          <w:tcPr>
            <w:tcW w:type="dxa" w:w="1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RLSE1270306</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01/21/2026 23:09</w:t>
            </w:r>
          </w:p>
        </w:tc>
      </w:tr>
      <w:tr>
        <w:tc>
          <w:tcPr>
            <w:tcW w:type="dxa" w:w="1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Approved</w:t>
            </w:r>
          </w:p>
        </w:tc>
        <w:tc>
          <w:tcPr>
            <w:tcW w:type="dxa" w:w="31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Angela Rojas Molano</w:t>
            </w:r>
          </w:p>
        </w:tc>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PBM_IN_IM_Change_Manager</w:t>
            </w:r>
          </w:p>
        </w:tc>
        <w:tc>
          <w:tcPr>
            <w:tcW w:type="dxa" w:w="1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CHG002670462</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01/27/2026 00:59</w:t>
            </w:r>
          </w:p>
        </w:tc>
      </w:tr>
      <w:tr>
        <w:tc>
          <w:tcPr>
            <w:tcW w:type="dxa" w:w="1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Approved</w:t>
            </w:r>
          </w:p>
        </w:tc>
        <w:tc>
          <w:tcPr>
            <w:tcW w:type="dxa" w:w="31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Jose Martinez Avial</w:t>
            </w:r>
          </w:p>
        </w:tc>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PBM_IT_Change_Coordinators</w:t>
            </w:r>
          </w:p>
        </w:tc>
        <w:tc>
          <w:tcPr>
            <w:tcW w:type="dxa" w:w="1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CHG002670462</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01/27/2026 00:54</w:t>
            </w:r>
          </w:p>
        </w:tc>
      </w:tr>
    </w:tbl>
    <w:p>
      <w:pPr>
        <w:keepNext/>
        <w:spacing w:after="80" w:before="160" w:line="276"/>
      </w:pPr>
      <w:r>
        <w:rPr>
          <w:rFonts w:ascii="Aptos" w:cs="Aptos" w:eastAsia="Aptos" w:hAnsi="Aptos"/>
          <w:b/>
          <w:bCs/>
          <w:color w:val="1F1F1F"/>
          <w:sz w:val="19"/>
          <w:szCs w:val="19"/>
        </w:rPr>
        <w:t xml:space="preserve">Exhibit A3: Work notes and closure (BSI.IT.23.C25.08)</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01/27/2026 15:47 – Angela Rojas Molano</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"TESTING: SIT – Successful – OK Guillermo Sanchez (Development Manager), Jose Luis Martinez (Dev Director), UAT – Successful – Final OK Alexander Falcon (Derivative Trader – Operations)… CHANGE APPROVALS: IT: Jose Luis Martinez (BSI Development Director), Guillermo Sanchez (Development Manager), Business: Ted Fernandez (Treasurer &amp; Capital Management Sr. Director). Delivery Hub status OK."</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01/28/2026 02:09 – Guillermo Sanchez Rodriguez</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Attachment PIP - ND Deal.docx attached (final version, before actual start 02:40)</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Closure</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Close code Successful – "Installed correctly, with no issues, and is working as expected"</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07/22/2026 – Elizabeth Noda</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"change implemented within the planned window, post implementation review and approved by CAB – successful no issue"</w:t>
            </w:r>
          </w:p>
        </w:tc>
      </w:tr>
    </w:tbl>
    <w:p>
      <w:pPr>
        <w:spacing w:after="120" w:before="200" w:line="276"/>
      </w:pPr>
      <w:r>
        <w:rPr>
          <w:rFonts w:ascii="Aptos" w:cs="Aptos" w:eastAsia="Aptos" w:hAnsi="Aptos"/>
          <w:b/>
          <w:bCs/>
          <w:color w:val="1F1F1F"/>
          <w:sz w:val="19"/>
          <w:szCs w:val="19"/>
        </w:rPr>
        <w:t xml:space="preserve">Referenced workbook: </w:t>
      </w:r>
      <w:r>
        <w:rPr>
          <w:rFonts w:ascii="Aptos" w:cs="Aptos" w:eastAsia="Aptos" w:hAnsi="Aptos"/>
          <w:color w:val="1F1F1F"/>
          <w:sz w:val="19"/>
          <w:szCs w:val="19"/>
        </w:rPr>
        <w:t xml:space="preserve">WP 2026 BSI.IT.23.C25 Implement &amp; Deployment.xlsm – tab "Control Performance Assessment", row 54; tab "New Test Script".</w:t>
      </w:r>
    </w:p>
    <w:sectPr>
      <w:headerReference w:type="default" r:id="rId7"/>
      <w:footerReference w:type="default" r:id="rId8"/>
      <w:pgSz w:w="12240" w:h="15840" w:orient="portrait"/>
      <w:pgMar w:top="936" w:right="1008" w:bottom="936" w:left="1008" w:header="403" w:footer="40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ptos" w:cs="Aptos" w:eastAsia="Aptos" w:hAnsi="Aptos"/>
        <w:b/>
        <w:bCs/>
        <w:color w:val="C00000"/>
        <w:sz w:val="14"/>
        <w:szCs w:val="14"/>
      </w:rPr>
      <w:t xml:space="preserve">CONFIDENTIAL  |  </w:t>
    </w:r>
    <w:r>
      <w:rPr>
        <w:rFonts w:ascii="Aptos" w:cs="Aptos" w:eastAsia="Aptos" w:hAnsi="Aptos"/>
        <w:b/>
        <w:bCs/>
        <w:color w:val="C00000"/>
        <w:sz w:val="14"/>
        <w:szCs w:val="14"/>
      </w:rPr>
      <w:t xml:space="preserve">BSI.IT.23.C25 – SAMPLE OF ONE RLSE1270306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b/>
        <w:bCs/>
        <w:color w:val="475569"/>
        <w:sz w:val="14"/>
        <w:szCs w:val="14"/>
      </w:rPr>
      <w:t xml:space="preserve">IT RCSA | SDLC – IMPLEMENT &amp; DEPLOYMENT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ptos" w:cs="Aptos" w:eastAsia="Aptos" w:hAnsi="Aptos"/>
      <w:b/>
      <w:bCs/>
      <w:color w:val="17365D"/>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b12417104a0a1187410ddf490df869c451f25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 &amp; Deployment – BSI.IT.23.C25</dc:title>
  <dc:creator>IT RCSA</dc:creator>
  <cp:lastModifiedBy>Un-named</cp:lastModifiedBy>
  <cp:revision>1</cp:revision>
  <dcterms:created xsi:type="dcterms:W3CDTF">2026-10-21T17:10:56.492Z</dcterms:created>
  <dcterms:modified xsi:type="dcterms:W3CDTF">2026-10-21T17:10:56.492Z</dcterms:modified>
</cp:coreProperties>
</file>

<file path=docProps/custom.xml><?xml version="1.0" encoding="utf-8"?>
<Properties xmlns="http://schemas.openxmlformats.org/officeDocument/2006/custom-properties" xmlns:vt="http://schemas.openxmlformats.org/officeDocument/2006/docPropsVTypes"/>
</file>