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070DB" w14:textId="109E17BD" w:rsidR="008D4CC6" w:rsidRDefault="008D4CC6" w:rsidP="008D4CC6">
      <w:pPr>
        <w:spacing w:after="240"/>
        <w:jc w:val="center"/>
        <w:rPr>
          <w:rFonts w:ascii="Noto Sans" w:hAnsi="Noto Sans" w:cs="Noto Sans"/>
          <w:b/>
          <w:bCs/>
        </w:rPr>
        <w:sectPr w:rsidR="008D4CC6" w:rsidSect="008D4CC6">
          <w:headerReference w:type="default" r:id="rId8"/>
          <w:footerReference w:type="default" r:id="rId9"/>
          <w:type w:val="continuous"/>
          <w:pgSz w:w="12240" w:h="15840" w:code="1"/>
          <w:pgMar w:top="1701" w:right="1021" w:bottom="1701" w:left="1021" w:header="284" w:footer="284" w:gutter="0"/>
          <w:cols w:space="708"/>
          <w:docGrid w:linePitch="360"/>
        </w:sectPr>
      </w:pPr>
      <w:r w:rsidRPr="008D4CC6">
        <w:rPr>
          <w:rFonts w:ascii="Noto Sans" w:hAnsi="Noto Sans" w:cs="Noto Sans"/>
          <w:b/>
          <w:bCs/>
        </w:rPr>
        <w:t>Actualización de Regímenes Arancelarios Sec. 232 (Proclamación junio 20</w:t>
      </w:r>
      <w:r>
        <w:rPr>
          <w:rFonts w:ascii="Noto Sans" w:hAnsi="Noto Sans" w:cs="Noto Sans"/>
          <w:b/>
          <w:bCs/>
        </w:rPr>
        <w:t>26)</w:t>
      </w:r>
    </w:p>
    <w:p w14:paraId="37B04845" w14:textId="05E33C15" w:rsidR="008D4CC6" w:rsidRPr="004129F1" w:rsidRDefault="008D4CC6" w:rsidP="008D4CC6">
      <w:pPr>
        <w:pStyle w:val="Prrafodelista"/>
        <w:numPr>
          <w:ilvl w:val="0"/>
          <w:numId w:val="3"/>
        </w:numPr>
        <w:jc w:val="both"/>
        <w:rPr>
          <w:rFonts w:ascii="Noto Sans" w:hAnsi="Noto Sans" w:cs="Noto Sans"/>
          <w:b/>
          <w:bCs/>
          <w:sz w:val="20"/>
          <w:szCs w:val="20"/>
          <w:u w:val="single"/>
        </w:rPr>
      </w:pPr>
      <w:r w:rsidRPr="004129F1">
        <w:rPr>
          <w:rFonts w:ascii="Noto Sans" w:hAnsi="Noto Sans" w:cs="Noto Sans"/>
          <w:b/>
          <w:bCs/>
          <w:sz w:val="20"/>
          <w:szCs w:val="20"/>
          <w:u w:val="single"/>
        </w:rPr>
        <w:t>Estructura de Tasas Generales por Anexo</w:t>
      </w:r>
    </w:p>
    <w:p w14:paraId="100FC995" w14:textId="172AA1CC" w:rsidR="008D4CC6" w:rsidRPr="004129F1" w:rsidRDefault="008D4CC6" w:rsidP="008D4CC6">
      <w:pPr>
        <w:spacing w:before="100" w:beforeAutospacing="1" w:after="100" w:afterAutospacing="1"/>
        <w:jc w:val="both"/>
        <w:rPr>
          <w:rFonts w:ascii="Noto Sans" w:eastAsia="Times New Roman" w:hAnsi="Noto Sans" w:cs="Noto Sans"/>
          <w:kern w:val="0"/>
          <w:sz w:val="20"/>
          <w:szCs w:val="20"/>
          <w:lang w:eastAsia="es-MX"/>
          <w14:ligatures w14:val="none"/>
        </w:rPr>
      </w:pPr>
      <w:r w:rsidRPr="004129F1">
        <w:rPr>
          <w:rFonts w:ascii="Noto Sans" w:eastAsia="Times New Roman" w:hAnsi="Noto Sans" w:cs="Noto Sans"/>
          <w:b/>
          <w:bCs/>
          <w:kern w:val="0"/>
          <w:sz w:val="20"/>
          <w:szCs w:val="20"/>
          <w:lang w:eastAsia="es-MX"/>
          <w14:ligatures w14:val="none"/>
        </w:rPr>
        <w:t>Anexo I-A (Materias Primas y Derivados Principales)</w:t>
      </w:r>
      <w:r w:rsidR="00272B09" w:rsidRPr="00272B09">
        <w:rPr>
          <w:rStyle w:val="Refdenotaalpie"/>
          <w:rFonts w:ascii="Noto Sans" w:eastAsia="Times New Roman" w:hAnsi="Noto Sans" w:cs="Noto Sans"/>
          <w:b/>
          <w:bCs/>
          <w:kern w:val="0"/>
          <w:sz w:val="20"/>
          <w:szCs w:val="20"/>
          <w:lang w:eastAsia="es-MX"/>
          <w14:ligatures w14:val="none"/>
        </w:rPr>
        <w:footnoteReference w:id="1"/>
      </w:r>
      <w:r w:rsidRPr="004129F1">
        <w:rPr>
          <w:rFonts w:ascii="Noto Sans" w:eastAsia="Times New Roman" w:hAnsi="Noto Sans" w:cs="Noto Sans"/>
          <w:b/>
          <w:bCs/>
          <w:kern w:val="0"/>
          <w:sz w:val="20"/>
          <w:szCs w:val="20"/>
          <w:lang w:eastAsia="es-MX"/>
          <w14:ligatures w14:val="none"/>
        </w:rPr>
        <w:t>:</w:t>
      </w:r>
      <w:r w:rsidRPr="004129F1">
        <w:rPr>
          <w:rFonts w:ascii="Noto Sans" w:eastAsia="Times New Roman" w:hAnsi="Noto Sans" w:cs="Noto Sans"/>
          <w:kern w:val="0"/>
          <w:sz w:val="20"/>
          <w:szCs w:val="20"/>
          <w:lang w:eastAsia="es-MX"/>
          <w14:ligatures w14:val="none"/>
        </w:rPr>
        <w:t xml:space="preserve"> Tasa general del </w:t>
      </w:r>
      <w:r w:rsidRPr="004129F1">
        <w:rPr>
          <w:rFonts w:ascii="Noto Sans" w:eastAsia="Times New Roman" w:hAnsi="Noto Sans" w:cs="Noto Sans"/>
          <w:b/>
          <w:bCs/>
          <w:kern w:val="0"/>
          <w:sz w:val="20"/>
          <w:szCs w:val="20"/>
          <w:lang w:eastAsia="es-MX"/>
          <w14:ligatures w14:val="none"/>
        </w:rPr>
        <w:t>50%</w:t>
      </w:r>
      <w:r w:rsidR="00C90039" w:rsidRPr="004129F1">
        <w:rPr>
          <w:rFonts w:ascii="Noto Sans" w:eastAsia="Times New Roman" w:hAnsi="Noto Sans" w:cs="Noto Sans"/>
          <w:b/>
          <w:bCs/>
          <w:kern w:val="0"/>
          <w:sz w:val="20"/>
          <w:szCs w:val="20"/>
          <w:lang w:eastAsia="es-MX"/>
          <w14:ligatures w14:val="none"/>
        </w:rPr>
        <w:t xml:space="preserve"> </w:t>
      </w:r>
      <w:r w:rsidR="00C90039" w:rsidRPr="004129F1">
        <w:rPr>
          <w:rFonts w:ascii="Noto Sans" w:eastAsia="Times New Roman" w:hAnsi="Noto Sans" w:cs="Noto Sans"/>
          <w:kern w:val="0"/>
          <w:sz w:val="20"/>
          <w:szCs w:val="20"/>
          <w:lang w:eastAsia="es-MX"/>
          <w14:ligatures w14:val="none"/>
        </w:rPr>
        <w:t>(</w:t>
      </w:r>
      <w:r w:rsidR="00C90039" w:rsidRPr="004129F1">
        <w:rPr>
          <w:rFonts w:ascii="Noto Sans" w:eastAsia="Times New Roman" w:hAnsi="Noto Sans" w:cs="Noto Sans"/>
          <w:b/>
          <w:bCs/>
          <w:kern w:val="0"/>
          <w:sz w:val="20"/>
          <w:szCs w:val="20"/>
          <w:lang w:eastAsia="es-MX"/>
          <w14:ligatures w14:val="none"/>
        </w:rPr>
        <w:t>10%</w:t>
      </w:r>
      <w:r w:rsidR="00C90039" w:rsidRPr="004129F1">
        <w:rPr>
          <w:rFonts w:ascii="Noto Sans" w:hAnsi="Noto Sans" w:cs="Noto Sans"/>
          <w:sz w:val="20"/>
          <w:szCs w:val="20"/>
        </w:rPr>
        <w:t xml:space="preserve"> sí cumple con el umbral de </w:t>
      </w:r>
      <w:r w:rsidR="004129F1" w:rsidRPr="004129F1">
        <w:rPr>
          <w:rFonts w:ascii="Noto Sans" w:hAnsi="Noto Sans" w:cs="Noto Sans"/>
          <w:sz w:val="20"/>
          <w:szCs w:val="20"/>
        </w:rPr>
        <w:t>fundición y moldeado</w:t>
      </w:r>
      <w:r w:rsidR="00C90039" w:rsidRPr="004129F1">
        <w:rPr>
          <w:rFonts w:ascii="Noto Sans" w:hAnsi="Noto Sans" w:cs="Noto Sans"/>
          <w:sz w:val="20"/>
          <w:szCs w:val="20"/>
        </w:rPr>
        <w:t xml:space="preserve"> de EUA</w:t>
      </w:r>
      <w:r w:rsidR="009C7C4D">
        <w:rPr>
          <w:rStyle w:val="Refdenotaalpie"/>
          <w:rFonts w:ascii="Noto Sans" w:hAnsi="Noto Sans" w:cs="Noto Sans"/>
          <w:sz w:val="20"/>
          <w:szCs w:val="20"/>
        </w:rPr>
        <w:footnoteReference w:id="2"/>
      </w:r>
      <w:r w:rsidR="003C49C2">
        <w:rPr>
          <w:rFonts w:ascii="Noto Sans" w:hAnsi="Noto Sans" w:cs="Noto Sans"/>
          <w:sz w:val="20"/>
          <w:szCs w:val="20"/>
        </w:rPr>
        <w:t xml:space="preserve"> de </w:t>
      </w:r>
      <w:r w:rsidR="003C49C2" w:rsidRPr="0086486F">
        <w:rPr>
          <w:rFonts w:ascii="Noto Sans" w:hAnsi="Noto Sans" w:cs="Noto Sans"/>
          <w:b/>
          <w:bCs/>
          <w:sz w:val="20"/>
          <w:szCs w:val="20"/>
        </w:rPr>
        <w:t>85%</w:t>
      </w:r>
      <w:r w:rsidR="003C49C2">
        <w:rPr>
          <w:rFonts w:ascii="Noto Sans" w:hAnsi="Noto Sans" w:cs="Noto Sans"/>
          <w:sz w:val="20"/>
          <w:szCs w:val="20"/>
        </w:rPr>
        <w:t xml:space="preserve">, previamente </w:t>
      </w:r>
      <w:r w:rsidR="003C49C2" w:rsidRPr="0086486F">
        <w:rPr>
          <w:rFonts w:ascii="Noto Sans" w:hAnsi="Noto Sans" w:cs="Noto Sans"/>
          <w:b/>
          <w:bCs/>
          <w:sz w:val="20"/>
          <w:szCs w:val="20"/>
        </w:rPr>
        <w:t>95%</w:t>
      </w:r>
      <w:r w:rsidR="00C90039" w:rsidRPr="004129F1">
        <w:rPr>
          <w:rFonts w:ascii="Noto Sans" w:hAnsi="Noto Sans" w:cs="Noto Sans"/>
          <w:sz w:val="20"/>
          <w:szCs w:val="20"/>
        </w:rPr>
        <w:t>)</w:t>
      </w:r>
      <w:r w:rsidRPr="004129F1">
        <w:rPr>
          <w:rFonts w:ascii="Noto Sans" w:eastAsia="Times New Roman" w:hAnsi="Noto Sans" w:cs="Noto Sans"/>
          <w:kern w:val="0"/>
          <w:sz w:val="20"/>
          <w:szCs w:val="20"/>
          <w:lang w:eastAsia="es-MX"/>
          <w14:ligatures w14:val="none"/>
        </w:rPr>
        <w:t>.</w:t>
      </w:r>
    </w:p>
    <w:p w14:paraId="3A19B9D1" w14:textId="3A51C6A9" w:rsidR="008D4CC6" w:rsidRPr="00E347FC" w:rsidRDefault="008D4CC6" w:rsidP="008D4CC6">
      <w:pPr>
        <w:jc w:val="both"/>
        <w:rPr>
          <w:rFonts w:ascii="Noto Sans" w:eastAsia="Times New Roman" w:hAnsi="Noto Sans" w:cs="Noto Sans"/>
          <w:kern w:val="0"/>
          <w:sz w:val="20"/>
          <w:szCs w:val="20"/>
          <w:lang w:eastAsia="es-MX"/>
          <w14:ligatures w14:val="none"/>
        </w:rPr>
      </w:pPr>
      <w:r w:rsidRPr="004129F1">
        <w:rPr>
          <w:rFonts w:ascii="Noto Sans" w:eastAsia="Times New Roman" w:hAnsi="Noto Sans" w:cs="Noto Sans"/>
          <w:i/>
          <w:iCs/>
          <w:kern w:val="0"/>
          <w:sz w:val="20"/>
          <w:szCs w:val="20"/>
          <w:lang w:eastAsia="es-MX"/>
          <w14:ligatures w14:val="none"/>
        </w:rPr>
        <w:t>“</w:t>
      </w:r>
      <w:r w:rsidR="00E347FC">
        <w:rPr>
          <w:rFonts w:ascii="Noto Sans" w:eastAsia="Times New Roman" w:hAnsi="Noto Sans" w:cs="Noto Sans"/>
          <w:i/>
          <w:iCs/>
          <w:kern w:val="0"/>
          <w:sz w:val="20"/>
          <w:szCs w:val="20"/>
          <w:lang w:eastAsia="es-MX"/>
          <w14:ligatures w14:val="none"/>
        </w:rPr>
        <w:t xml:space="preserve">Note: </w:t>
      </w:r>
      <w:r w:rsidRPr="004129F1">
        <w:rPr>
          <w:rFonts w:ascii="Noto Sans" w:eastAsia="Times New Roman" w:hAnsi="Noto Sans" w:cs="Noto Sans"/>
          <w:i/>
          <w:iCs/>
          <w:kern w:val="0"/>
          <w:sz w:val="20"/>
          <w:szCs w:val="20"/>
          <w:lang w:eastAsia="es-MX"/>
          <w14:ligatures w14:val="none"/>
        </w:rPr>
        <w:t>A 50% ad valorem Section 232 tariff shall apply to the full value of the following articles. If a product is identified on multiple lists in this Annex, it will only be subject to a 50% Section 232 tariff, rather than a combined rate.”</w:t>
      </w:r>
      <w:r w:rsidR="00E347FC">
        <w:rPr>
          <w:rFonts w:ascii="Noto Sans" w:eastAsia="Times New Roman" w:hAnsi="Noto Sans" w:cs="Noto Sans"/>
          <w:kern w:val="0"/>
          <w:sz w:val="20"/>
          <w:szCs w:val="20"/>
          <w:lang w:eastAsia="es-MX"/>
          <w14:ligatures w14:val="none"/>
        </w:rPr>
        <w:t xml:space="preserve"> [Anexo I-A]</w:t>
      </w:r>
    </w:p>
    <w:p w14:paraId="5E110104" w14:textId="77777777" w:rsidR="003C49C2" w:rsidRDefault="003C49C2" w:rsidP="008D4CC6">
      <w:pPr>
        <w:jc w:val="both"/>
        <w:rPr>
          <w:rFonts w:ascii="Noto Sans" w:eastAsia="Times New Roman" w:hAnsi="Noto Sans" w:cs="Noto Sans"/>
          <w:i/>
          <w:iCs/>
          <w:kern w:val="0"/>
          <w:sz w:val="20"/>
          <w:szCs w:val="20"/>
          <w:lang w:eastAsia="es-MX"/>
          <w14:ligatures w14:val="none"/>
        </w:rPr>
      </w:pPr>
    </w:p>
    <w:p w14:paraId="19BE5568" w14:textId="4597DDE4" w:rsidR="003C49C2" w:rsidRPr="003C49C2" w:rsidRDefault="00CD6CD9" w:rsidP="003C49C2">
      <w:pPr>
        <w:jc w:val="both"/>
        <w:rPr>
          <w:rFonts w:ascii="Noto Sans" w:eastAsia="Times New Roman" w:hAnsi="Noto Sans" w:cs="Noto Sans"/>
          <w:i/>
          <w:iCs/>
          <w:kern w:val="0"/>
          <w:sz w:val="20"/>
          <w:szCs w:val="20"/>
          <w:lang w:eastAsia="es-MX"/>
          <w14:ligatures w14:val="none"/>
        </w:rPr>
      </w:pPr>
      <w:r w:rsidRPr="00CD6CD9">
        <w:rPr>
          <w:rFonts w:ascii="Noto Sans" w:eastAsia="Times New Roman" w:hAnsi="Noto Sans" w:cs="Noto Sans"/>
          <w:kern w:val="0"/>
          <w:sz w:val="20"/>
          <w:szCs w:val="20"/>
          <w:lang w:eastAsia="es-MX"/>
          <w14:ligatures w14:val="none"/>
        </w:rPr>
        <w:t>(2)(c):</w:t>
      </w:r>
      <w:r>
        <w:rPr>
          <w:rFonts w:ascii="Noto Sans" w:eastAsia="Times New Roman" w:hAnsi="Noto Sans" w:cs="Noto Sans"/>
          <w:i/>
          <w:iCs/>
          <w:kern w:val="0"/>
          <w:sz w:val="20"/>
          <w:szCs w:val="20"/>
          <w:lang w:eastAsia="es-MX"/>
          <w14:ligatures w14:val="none"/>
        </w:rPr>
        <w:t xml:space="preserve"> </w:t>
      </w:r>
      <w:r w:rsidR="003C49C2">
        <w:rPr>
          <w:rFonts w:ascii="Noto Sans" w:eastAsia="Times New Roman" w:hAnsi="Noto Sans" w:cs="Noto Sans"/>
          <w:i/>
          <w:iCs/>
          <w:kern w:val="0"/>
          <w:sz w:val="20"/>
          <w:szCs w:val="20"/>
          <w:lang w:eastAsia="es-MX"/>
          <w14:ligatures w14:val="none"/>
        </w:rPr>
        <w:t>“</w:t>
      </w:r>
      <w:r w:rsidR="003C49C2" w:rsidRPr="003C49C2">
        <w:rPr>
          <w:rFonts w:ascii="Noto Sans" w:eastAsia="Times New Roman" w:hAnsi="Noto Sans" w:cs="Noto Sans"/>
          <w:i/>
          <w:iCs/>
          <w:kern w:val="0"/>
          <w:sz w:val="20"/>
          <w:szCs w:val="20"/>
          <w:lang w:eastAsia="es-MX"/>
          <w14:ligatures w14:val="none"/>
        </w:rPr>
        <w:t>10 percent for derivative articles, the aluminum content of which is composed entirely of</w:t>
      </w:r>
      <w:r w:rsidR="003C49C2">
        <w:rPr>
          <w:rFonts w:ascii="Noto Sans" w:eastAsia="Times New Roman" w:hAnsi="Noto Sans" w:cs="Noto Sans"/>
          <w:i/>
          <w:iCs/>
          <w:kern w:val="0"/>
          <w:sz w:val="20"/>
          <w:szCs w:val="20"/>
          <w:lang w:eastAsia="es-MX"/>
          <w14:ligatures w14:val="none"/>
        </w:rPr>
        <w:t xml:space="preserve"> </w:t>
      </w:r>
      <w:r w:rsidR="003C49C2" w:rsidRPr="003C49C2">
        <w:rPr>
          <w:rFonts w:ascii="Noto Sans" w:eastAsia="Times New Roman" w:hAnsi="Noto Sans" w:cs="Noto Sans"/>
          <w:i/>
          <w:iCs/>
          <w:kern w:val="0"/>
          <w:sz w:val="20"/>
          <w:szCs w:val="20"/>
          <w:lang w:eastAsia="es-MX"/>
          <w14:ligatures w14:val="none"/>
        </w:rPr>
        <w:t>aluminum that was smelted and cast in the United States, the steel content of which is</w:t>
      </w:r>
      <w:r w:rsidR="003C49C2">
        <w:rPr>
          <w:rFonts w:ascii="Noto Sans" w:eastAsia="Times New Roman" w:hAnsi="Noto Sans" w:cs="Noto Sans"/>
          <w:i/>
          <w:iCs/>
          <w:kern w:val="0"/>
          <w:sz w:val="20"/>
          <w:szCs w:val="20"/>
          <w:lang w:eastAsia="es-MX"/>
          <w14:ligatures w14:val="none"/>
        </w:rPr>
        <w:t xml:space="preserve"> </w:t>
      </w:r>
      <w:r w:rsidR="003C49C2" w:rsidRPr="003C49C2">
        <w:rPr>
          <w:rFonts w:ascii="Noto Sans" w:eastAsia="Times New Roman" w:hAnsi="Noto Sans" w:cs="Noto Sans"/>
          <w:i/>
          <w:iCs/>
          <w:kern w:val="0"/>
          <w:sz w:val="20"/>
          <w:szCs w:val="20"/>
          <w:lang w:eastAsia="es-MX"/>
          <w14:ligatures w14:val="none"/>
        </w:rPr>
        <w:t>composed entirely of steel that was melted and poured in the United States, or the copper</w:t>
      </w:r>
      <w:r w:rsidR="003C49C2">
        <w:rPr>
          <w:rFonts w:ascii="Noto Sans" w:eastAsia="Times New Roman" w:hAnsi="Noto Sans" w:cs="Noto Sans"/>
          <w:i/>
          <w:iCs/>
          <w:kern w:val="0"/>
          <w:sz w:val="20"/>
          <w:szCs w:val="20"/>
          <w:lang w:eastAsia="es-MX"/>
          <w14:ligatures w14:val="none"/>
        </w:rPr>
        <w:t xml:space="preserve"> </w:t>
      </w:r>
      <w:r w:rsidR="003C49C2" w:rsidRPr="003C49C2">
        <w:rPr>
          <w:rFonts w:ascii="Noto Sans" w:eastAsia="Times New Roman" w:hAnsi="Noto Sans" w:cs="Noto Sans"/>
          <w:i/>
          <w:iCs/>
          <w:kern w:val="0"/>
          <w:sz w:val="20"/>
          <w:szCs w:val="20"/>
          <w:lang w:eastAsia="es-MX"/>
          <w14:ligatures w14:val="none"/>
        </w:rPr>
        <w:t>content of which is composed entirely of copper that was smelted and cast in the United States.</w:t>
      </w:r>
      <w:r w:rsidR="003C49C2">
        <w:rPr>
          <w:rStyle w:val="Refdenotaalpie"/>
          <w:rFonts w:ascii="Noto Sans" w:eastAsia="Times New Roman" w:hAnsi="Noto Sans" w:cs="Noto Sans"/>
          <w:i/>
          <w:iCs/>
          <w:kern w:val="0"/>
          <w:sz w:val="20"/>
          <w:szCs w:val="20"/>
          <w:lang w:eastAsia="es-MX"/>
          <w14:ligatures w14:val="none"/>
        </w:rPr>
        <w:footnoteReference w:id="3"/>
      </w:r>
      <w:r w:rsidR="003C49C2">
        <w:rPr>
          <w:rFonts w:ascii="Noto Sans" w:eastAsia="Times New Roman" w:hAnsi="Noto Sans" w:cs="Noto Sans"/>
          <w:i/>
          <w:iCs/>
          <w:kern w:val="0"/>
          <w:sz w:val="20"/>
          <w:szCs w:val="20"/>
          <w:lang w:eastAsia="es-MX"/>
          <w14:ligatures w14:val="none"/>
        </w:rPr>
        <w:t>”</w:t>
      </w:r>
    </w:p>
    <w:p w14:paraId="3D75563A" w14:textId="77777777" w:rsidR="008D4CC6" w:rsidRPr="004129F1" w:rsidRDefault="008D4CC6" w:rsidP="008D4CC6">
      <w:pPr>
        <w:jc w:val="both"/>
        <w:rPr>
          <w:rFonts w:ascii="Noto Sans" w:eastAsia="Times New Roman" w:hAnsi="Noto Sans" w:cs="Noto Sans"/>
          <w:kern w:val="0"/>
          <w:sz w:val="20"/>
          <w:szCs w:val="20"/>
          <w:lang w:eastAsia="es-MX"/>
          <w14:ligatures w14:val="none"/>
        </w:rPr>
      </w:pPr>
    </w:p>
    <w:p w14:paraId="2672229B" w14:textId="7C8B60FD" w:rsidR="008D4CC6" w:rsidRPr="004129F1" w:rsidRDefault="008D4CC6" w:rsidP="008D4CC6">
      <w:pPr>
        <w:jc w:val="both"/>
        <w:rPr>
          <w:rFonts w:ascii="Noto Sans" w:eastAsia="Times New Roman" w:hAnsi="Noto Sans" w:cs="Noto Sans"/>
          <w:kern w:val="0"/>
          <w:sz w:val="20"/>
          <w:szCs w:val="20"/>
          <w:lang w:eastAsia="es-MX"/>
          <w14:ligatures w14:val="none"/>
        </w:rPr>
      </w:pPr>
      <w:r w:rsidRPr="004129F1">
        <w:rPr>
          <w:rFonts w:ascii="Noto Sans" w:eastAsia="Times New Roman" w:hAnsi="Noto Sans" w:cs="Noto Sans"/>
          <w:b/>
          <w:bCs/>
          <w:kern w:val="0"/>
          <w:sz w:val="20"/>
          <w:szCs w:val="20"/>
          <w:lang w:eastAsia="es-MX"/>
          <w14:ligatures w14:val="none"/>
        </w:rPr>
        <w:t>Anexo I-B (Derivados Secundarios e Insumos)</w:t>
      </w:r>
      <w:r w:rsidR="00272B09">
        <w:rPr>
          <w:rStyle w:val="Refdenotaalpie"/>
          <w:rFonts w:ascii="Noto Sans" w:eastAsia="Times New Roman" w:hAnsi="Noto Sans" w:cs="Noto Sans"/>
          <w:b/>
          <w:bCs/>
          <w:kern w:val="0"/>
          <w:sz w:val="20"/>
          <w:szCs w:val="20"/>
          <w:lang w:eastAsia="es-MX"/>
          <w14:ligatures w14:val="none"/>
        </w:rPr>
        <w:footnoteReference w:id="4"/>
      </w:r>
      <w:r w:rsidRPr="004129F1">
        <w:rPr>
          <w:rFonts w:ascii="Noto Sans" w:eastAsia="Times New Roman" w:hAnsi="Noto Sans" w:cs="Noto Sans"/>
          <w:b/>
          <w:bCs/>
          <w:kern w:val="0"/>
          <w:sz w:val="20"/>
          <w:szCs w:val="20"/>
          <w:lang w:eastAsia="es-MX"/>
          <w14:ligatures w14:val="none"/>
        </w:rPr>
        <w:t>:</w:t>
      </w:r>
      <w:r w:rsidRPr="004129F1">
        <w:rPr>
          <w:rFonts w:ascii="Noto Sans" w:eastAsia="Times New Roman" w:hAnsi="Noto Sans" w:cs="Noto Sans"/>
          <w:kern w:val="0"/>
          <w:sz w:val="20"/>
          <w:szCs w:val="20"/>
          <w:lang w:eastAsia="es-MX"/>
          <w14:ligatures w14:val="none"/>
        </w:rPr>
        <w:t xml:space="preserve"> Tasa general del </w:t>
      </w:r>
      <w:r w:rsidRPr="004129F1">
        <w:rPr>
          <w:rFonts w:ascii="Noto Sans" w:eastAsia="Times New Roman" w:hAnsi="Noto Sans" w:cs="Noto Sans"/>
          <w:b/>
          <w:bCs/>
          <w:kern w:val="0"/>
          <w:sz w:val="20"/>
          <w:szCs w:val="20"/>
          <w:lang w:eastAsia="es-MX"/>
          <w14:ligatures w14:val="none"/>
        </w:rPr>
        <w:t>25%</w:t>
      </w:r>
      <w:r w:rsidR="00C90039" w:rsidRPr="004129F1">
        <w:rPr>
          <w:rFonts w:ascii="Noto Sans" w:eastAsia="Times New Roman" w:hAnsi="Noto Sans" w:cs="Noto Sans"/>
          <w:b/>
          <w:bCs/>
          <w:kern w:val="0"/>
          <w:sz w:val="20"/>
          <w:szCs w:val="20"/>
          <w:lang w:eastAsia="es-MX"/>
          <w14:ligatures w14:val="none"/>
        </w:rPr>
        <w:t xml:space="preserve"> </w:t>
      </w:r>
      <w:r w:rsidR="004129F1" w:rsidRPr="004129F1">
        <w:rPr>
          <w:rFonts w:ascii="Noto Sans" w:eastAsia="Times New Roman" w:hAnsi="Noto Sans" w:cs="Noto Sans"/>
          <w:kern w:val="0"/>
          <w:sz w:val="20"/>
          <w:szCs w:val="20"/>
          <w:lang w:eastAsia="es-MX"/>
          <w14:ligatures w14:val="none"/>
        </w:rPr>
        <w:t>(</w:t>
      </w:r>
      <w:r w:rsidR="004129F1" w:rsidRPr="004129F1">
        <w:rPr>
          <w:rFonts w:ascii="Noto Sans" w:eastAsia="Times New Roman" w:hAnsi="Noto Sans" w:cs="Noto Sans"/>
          <w:b/>
          <w:bCs/>
          <w:kern w:val="0"/>
          <w:sz w:val="20"/>
          <w:szCs w:val="20"/>
          <w:lang w:eastAsia="es-MX"/>
          <w14:ligatures w14:val="none"/>
        </w:rPr>
        <w:t>10%</w:t>
      </w:r>
      <w:r w:rsidR="004129F1" w:rsidRPr="004129F1">
        <w:rPr>
          <w:rFonts w:ascii="Noto Sans" w:hAnsi="Noto Sans" w:cs="Noto Sans"/>
          <w:sz w:val="20"/>
          <w:szCs w:val="20"/>
        </w:rPr>
        <w:t xml:space="preserve"> sí cumple con el umbral de fundición y moldeado de EUA)</w:t>
      </w:r>
      <w:r w:rsidR="004129F1" w:rsidRPr="004129F1">
        <w:rPr>
          <w:rFonts w:ascii="Noto Sans" w:eastAsia="Times New Roman" w:hAnsi="Noto Sans" w:cs="Noto Sans"/>
          <w:kern w:val="0"/>
          <w:sz w:val="20"/>
          <w:szCs w:val="20"/>
          <w:lang w:eastAsia="es-MX"/>
          <w14:ligatures w14:val="none"/>
        </w:rPr>
        <w:t>.</w:t>
      </w:r>
    </w:p>
    <w:p w14:paraId="569232E8" w14:textId="77777777" w:rsidR="008D4CC6" w:rsidRPr="004129F1" w:rsidRDefault="008D4CC6" w:rsidP="008D4CC6">
      <w:pPr>
        <w:jc w:val="both"/>
        <w:rPr>
          <w:rFonts w:ascii="Noto Sans" w:eastAsia="Times New Roman" w:hAnsi="Noto Sans" w:cs="Noto Sans"/>
          <w:kern w:val="0"/>
          <w:sz w:val="20"/>
          <w:szCs w:val="20"/>
          <w:lang w:eastAsia="es-MX"/>
          <w14:ligatures w14:val="none"/>
        </w:rPr>
      </w:pPr>
    </w:p>
    <w:p w14:paraId="301A8472" w14:textId="0EA49663" w:rsidR="008D4CC6" w:rsidRPr="00114F68" w:rsidRDefault="008D4CC6" w:rsidP="008D4CC6">
      <w:pPr>
        <w:jc w:val="both"/>
        <w:rPr>
          <w:rFonts w:ascii="Noto Sans" w:eastAsia="Times New Roman" w:hAnsi="Noto Sans" w:cs="Noto Sans"/>
          <w:kern w:val="0"/>
          <w:sz w:val="20"/>
          <w:szCs w:val="20"/>
          <w:lang w:eastAsia="es-MX"/>
          <w14:ligatures w14:val="none"/>
        </w:rPr>
      </w:pPr>
      <w:r w:rsidRPr="004129F1">
        <w:rPr>
          <w:rFonts w:ascii="Noto Sans" w:eastAsia="Times New Roman" w:hAnsi="Noto Sans" w:cs="Noto Sans"/>
          <w:i/>
          <w:iCs/>
          <w:kern w:val="0"/>
          <w:sz w:val="20"/>
          <w:szCs w:val="20"/>
          <w:lang w:eastAsia="es-MX"/>
          <w14:ligatures w14:val="none"/>
        </w:rPr>
        <w:t>“</w:t>
      </w:r>
      <w:r w:rsidR="00E347FC">
        <w:rPr>
          <w:rFonts w:ascii="Noto Sans" w:eastAsia="Times New Roman" w:hAnsi="Noto Sans" w:cs="Noto Sans"/>
          <w:i/>
          <w:iCs/>
          <w:kern w:val="0"/>
          <w:sz w:val="20"/>
          <w:szCs w:val="20"/>
          <w:lang w:eastAsia="es-MX"/>
          <w14:ligatures w14:val="none"/>
        </w:rPr>
        <w:t xml:space="preserve">Note: </w:t>
      </w:r>
      <w:r w:rsidRPr="004129F1">
        <w:rPr>
          <w:rFonts w:ascii="Noto Sans" w:eastAsia="Times New Roman" w:hAnsi="Noto Sans" w:cs="Noto Sans"/>
          <w:i/>
          <w:iCs/>
          <w:kern w:val="0"/>
          <w:sz w:val="20"/>
          <w:szCs w:val="20"/>
          <w:lang w:eastAsia="es-MX"/>
          <w14:ligatures w14:val="none"/>
        </w:rPr>
        <w:t xml:space="preserve">A 25% ad valorem Section 232 tariff shall apply to the full value of the following articles. If a product is listed multiple times on this Annex, it will only be </w:t>
      </w:r>
      <w:r w:rsidRPr="004129F1">
        <w:rPr>
          <w:rFonts w:ascii="Noto Sans" w:eastAsia="Times New Roman" w:hAnsi="Noto Sans" w:cs="Noto Sans"/>
          <w:i/>
          <w:iCs/>
          <w:kern w:val="0"/>
          <w:sz w:val="20"/>
          <w:szCs w:val="20"/>
          <w:lang w:eastAsia="es-MX"/>
          <w14:ligatures w14:val="none"/>
        </w:rPr>
        <w:t>subject to a 25% ad valorem Section 232 tariff once, rather than a combined rate.</w:t>
      </w:r>
      <w:r w:rsidR="00E347FC">
        <w:rPr>
          <w:rStyle w:val="Refdenotaalpie"/>
          <w:rFonts w:ascii="Noto Sans" w:eastAsia="Times New Roman" w:hAnsi="Noto Sans" w:cs="Noto Sans"/>
          <w:i/>
          <w:iCs/>
          <w:kern w:val="0"/>
          <w:sz w:val="20"/>
          <w:szCs w:val="20"/>
          <w:lang w:eastAsia="es-MX"/>
          <w14:ligatures w14:val="none"/>
        </w:rPr>
        <w:footnoteReference w:id="5"/>
      </w:r>
      <w:r w:rsidRPr="004129F1">
        <w:rPr>
          <w:rFonts w:ascii="Noto Sans" w:eastAsia="Times New Roman" w:hAnsi="Noto Sans" w:cs="Noto Sans"/>
          <w:i/>
          <w:iCs/>
          <w:kern w:val="0"/>
          <w:sz w:val="20"/>
          <w:szCs w:val="20"/>
          <w:lang w:eastAsia="es-MX"/>
          <w14:ligatures w14:val="none"/>
        </w:rPr>
        <w:t>”</w:t>
      </w:r>
    </w:p>
    <w:p w14:paraId="3DCFD5CA" w14:textId="77777777" w:rsidR="008D4CC6" w:rsidRDefault="008D4CC6" w:rsidP="008D4CC6">
      <w:pPr>
        <w:jc w:val="both"/>
        <w:rPr>
          <w:rFonts w:ascii="Noto Sans" w:hAnsi="Noto Sans" w:cs="Noto Sans"/>
          <w:sz w:val="20"/>
          <w:szCs w:val="20"/>
        </w:rPr>
      </w:pPr>
    </w:p>
    <w:p w14:paraId="23A05FD7" w14:textId="217C1A92" w:rsidR="00114F68" w:rsidRPr="00114F68" w:rsidRDefault="00CD6CD9" w:rsidP="008D4CC6">
      <w:pPr>
        <w:jc w:val="both"/>
        <w:rPr>
          <w:rFonts w:ascii="Noto Sans" w:hAnsi="Noto Sans" w:cs="Noto Sans"/>
          <w:i/>
          <w:iCs/>
          <w:sz w:val="20"/>
          <w:szCs w:val="20"/>
        </w:rPr>
      </w:pPr>
      <w:r w:rsidRPr="00CD6CD9">
        <w:rPr>
          <w:rFonts w:ascii="Noto Sans" w:hAnsi="Noto Sans" w:cs="Noto Sans"/>
          <w:sz w:val="20"/>
          <w:szCs w:val="20"/>
        </w:rPr>
        <w:t>(3)(c):</w:t>
      </w:r>
      <w:r>
        <w:rPr>
          <w:rFonts w:ascii="Noto Sans" w:hAnsi="Noto Sans" w:cs="Noto Sans"/>
          <w:i/>
          <w:iCs/>
          <w:sz w:val="20"/>
          <w:szCs w:val="20"/>
        </w:rPr>
        <w:t xml:space="preserve"> </w:t>
      </w:r>
      <w:r w:rsidR="00114F68" w:rsidRPr="00114F68">
        <w:rPr>
          <w:rFonts w:ascii="Noto Sans" w:hAnsi="Noto Sans" w:cs="Noto Sans"/>
          <w:i/>
          <w:iCs/>
          <w:sz w:val="20"/>
          <w:szCs w:val="20"/>
        </w:rPr>
        <w:t>“10 percent for articles the aluminum content of which is composed entirely of aluminum that was smelted and cast in the United States, the steel content of which is composed entirely of steel that was melted and poured in the United States, or the copper content of which is composed entirely of copper that was smelted and cast in the United States.”</w:t>
      </w:r>
      <w:r w:rsidR="00114F68">
        <w:rPr>
          <w:rFonts w:ascii="Noto Sans" w:hAnsi="Noto Sans" w:cs="Noto Sans"/>
          <w:i/>
          <w:iCs/>
          <w:sz w:val="20"/>
          <w:szCs w:val="20"/>
        </w:rPr>
        <w:t xml:space="preserve"> </w:t>
      </w:r>
      <w:r w:rsidR="00114F68" w:rsidRPr="00114F68">
        <w:rPr>
          <w:rFonts w:ascii="Noto Sans" w:hAnsi="Noto Sans" w:cs="Noto Sans"/>
          <w:sz w:val="20"/>
          <w:szCs w:val="20"/>
        </w:rPr>
        <w:t>[Proclamación abril]</w:t>
      </w:r>
    </w:p>
    <w:p w14:paraId="677AC3BE" w14:textId="77777777" w:rsidR="00114F68" w:rsidRDefault="00114F68" w:rsidP="008D4CC6">
      <w:pPr>
        <w:jc w:val="both"/>
        <w:rPr>
          <w:rFonts w:ascii="Noto Sans" w:hAnsi="Noto Sans" w:cs="Noto Sans"/>
          <w:sz w:val="20"/>
          <w:szCs w:val="20"/>
        </w:rPr>
      </w:pPr>
    </w:p>
    <w:p w14:paraId="74041679" w14:textId="65CB4B8B" w:rsidR="003779F5" w:rsidRDefault="003779F5" w:rsidP="003779F5">
      <w:pPr>
        <w:jc w:val="both"/>
        <w:rPr>
          <w:rFonts w:ascii="Noto Sans" w:hAnsi="Noto Sans" w:cs="Noto Sans"/>
          <w:sz w:val="20"/>
          <w:szCs w:val="20"/>
        </w:rPr>
      </w:pPr>
      <w:r>
        <w:rPr>
          <w:rFonts w:ascii="Noto Sans" w:hAnsi="Noto Sans" w:cs="Noto Sans"/>
          <w:sz w:val="20"/>
          <w:szCs w:val="20"/>
        </w:rPr>
        <w:t xml:space="preserve">Si </w:t>
      </w:r>
      <w:r w:rsidR="00695AA3">
        <w:rPr>
          <w:rFonts w:ascii="Noto Sans" w:hAnsi="Noto Sans" w:cs="Noto Sans"/>
          <w:sz w:val="20"/>
          <w:szCs w:val="20"/>
        </w:rPr>
        <w:t xml:space="preserve">cualquier parte clasificable en los capítulos </w:t>
      </w:r>
      <w:r w:rsidR="00695AA3" w:rsidRPr="0086486F">
        <w:rPr>
          <w:rFonts w:ascii="Noto Sans" w:hAnsi="Noto Sans" w:cs="Noto Sans"/>
          <w:b/>
          <w:bCs/>
          <w:sz w:val="20"/>
          <w:szCs w:val="20"/>
        </w:rPr>
        <w:t>84, 85 u 87</w:t>
      </w:r>
      <w:r w:rsidR="00695AA3">
        <w:rPr>
          <w:rFonts w:ascii="Noto Sans" w:hAnsi="Noto Sans" w:cs="Noto Sans"/>
          <w:sz w:val="20"/>
          <w:szCs w:val="20"/>
        </w:rPr>
        <w:t xml:space="preserve"> dentro de este anexo, </w:t>
      </w:r>
      <w:r>
        <w:rPr>
          <w:rFonts w:ascii="Noto Sans" w:hAnsi="Noto Sans" w:cs="Noto Sans"/>
          <w:sz w:val="20"/>
          <w:szCs w:val="20"/>
        </w:rPr>
        <w:t xml:space="preserve">entra para uso final en la manufactura de </w:t>
      </w:r>
      <w:r>
        <w:rPr>
          <w:rFonts w:ascii="Noto Sans" w:hAnsi="Noto Sans" w:cs="Noto Sans"/>
          <w:i/>
          <w:iCs/>
          <w:sz w:val="20"/>
          <w:szCs w:val="20"/>
        </w:rPr>
        <w:t>mobile industrial equipment</w:t>
      </w:r>
      <w:r w:rsidR="00272B09">
        <w:rPr>
          <w:rFonts w:ascii="Noto Sans" w:hAnsi="Noto Sans" w:cs="Noto Sans"/>
          <w:sz w:val="20"/>
          <w:szCs w:val="20"/>
        </w:rPr>
        <w:t xml:space="preserve"> listados en el </w:t>
      </w:r>
      <w:r w:rsidR="00272B09" w:rsidRPr="0086486F">
        <w:rPr>
          <w:rFonts w:ascii="Noto Sans" w:hAnsi="Noto Sans" w:cs="Noto Sans"/>
          <w:b/>
          <w:bCs/>
          <w:sz w:val="20"/>
          <w:szCs w:val="20"/>
        </w:rPr>
        <w:t>Anexo I-C</w:t>
      </w:r>
      <w:r w:rsidR="00272B09">
        <w:rPr>
          <w:rStyle w:val="Refdenotaalpie"/>
          <w:rFonts w:ascii="Noto Sans" w:hAnsi="Noto Sans" w:cs="Noto Sans"/>
          <w:sz w:val="20"/>
          <w:szCs w:val="20"/>
        </w:rPr>
        <w:footnoteReference w:id="6"/>
      </w:r>
      <w:r w:rsidR="00272B09">
        <w:rPr>
          <w:rFonts w:ascii="Noto Sans" w:hAnsi="Noto Sans" w:cs="Noto Sans"/>
          <w:sz w:val="20"/>
          <w:szCs w:val="20"/>
        </w:rPr>
        <w:t>, y</w:t>
      </w:r>
      <w:r w:rsidR="00272B09">
        <w:rPr>
          <w:rFonts w:ascii="Noto Sans" w:hAnsi="Noto Sans" w:cs="Noto Sans"/>
          <w:i/>
          <w:iCs/>
          <w:sz w:val="20"/>
          <w:szCs w:val="20"/>
        </w:rPr>
        <w:t xml:space="preserve"> </w:t>
      </w:r>
      <w:r>
        <w:rPr>
          <w:rFonts w:ascii="Noto Sans" w:hAnsi="Noto Sans" w:cs="Noto Sans"/>
          <w:i/>
          <w:iCs/>
          <w:sz w:val="20"/>
          <w:szCs w:val="20"/>
        </w:rPr>
        <w:t>agricultural equipment</w:t>
      </w:r>
      <w:r>
        <w:rPr>
          <w:rFonts w:ascii="Noto Sans" w:hAnsi="Noto Sans" w:cs="Noto Sans"/>
          <w:sz w:val="20"/>
          <w:szCs w:val="20"/>
        </w:rPr>
        <w:t xml:space="preserve"> o </w:t>
      </w:r>
      <w:r>
        <w:rPr>
          <w:rFonts w:ascii="Noto Sans" w:hAnsi="Noto Sans" w:cs="Noto Sans"/>
          <w:i/>
          <w:iCs/>
          <w:sz w:val="20"/>
          <w:szCs w:val="20"/>
        </w:rPr>
        <w:t>fixed industrial equipment</w:t>
      </w:r>
      <w:r w:rsidR="00272B09">
        <w:t xml:space="preserve"> </w:t>
      </w:r>
      <w:r w:rsidR="00272B09" w:rsidRPr="00272B09">
        <w:rPr>
          <w:rFonts w:ascii="Noto Sans" w:hAnsi="Noto Sans" w:cs="Noto Sans"/>
          <w:sz w:val="20"/>
          <w:szCs w:val="20"/>
        </w:rPr>
        <w:t>listados</w:t>
      </w:r>
      <w:r w:rsidR="00272B09">
        <w:rPr>
          <w:rFonts w:ascii="Noto Sans" w:hAnsi="Noto Sans" w:cs="Noto Sans"/>
          <w:sz w:val="20"/>
          <w:szCs w:val="20"/>
        </w:rPr>
        <w:t xml:space="preserve"> en el </w:t>
      </w:r>
      <w:r w:rsidR="00272B09" w:rsidRPr="0086486F">
        <w:rPr>
          <w:rFonts w:ascii="Noto Sans" w:hAnsi="Noto Sans" w:cs="Noto Sans"/>
          <w:b/>
          <w:bCs/>
          <w:sz w:val="20"/>
          <w:szCs w:val="20"/>
        </w:rPr>
        <w:t>Anexo III</w:t>
      </w:r>
      <w:r w:rsidR="00272B09">
        <w:rPr>
          <w:rStyle w:val="Refdenotaalpie"/>
          <w:rFonts w:ascii="Noto Sans" w:hAnsi="Noto Sans" w:cs="Noto Sans"/>
          <w:sz w:val="20"/>
          <w:szCs w:val="20"/>
        </w:rPr>
        <w:footnoteReference w:id="7"/>
      </w:r>
      <w:r>
        <w:rPr>
          <w:rFonts w:ascii="Noto Sans" w:hAnsi="Noto Sans" w:cs="Noto Sans"/>
          <w:sz w:val="20"/>
          <w:szCs w:val="20"/>
        </w:rPr>
        <w:t>, pero no cumple con el umbral de fundición y moldeado de EUA:</w:t>
      </w:r>
    </w:p>
    <w:p w14:paraId="5BDF12AC" w14:textId="77777777" w:rsidR="003779F5" w:rsidRDefault="003779F5" w:rsidP="003779F5">
      <w:pPr>
        <w:jc w:val="both"/>
        <w:rPr>
          <w:rFonts w:ascii="Noto Sans" w:hAnsi="Noto Sans" w:cs="Noto Sans"/>
          <w:sz w:val="20"/>
          <w:szCs w:val="20"/>
        </w:rPr>
      </w:pPr>
    </w:p>
    <w:p w14:paraId="7796ECB7" w14:textId="3F0B356C" w:rsidR="003779F5" w:rsidRPr="003779F5" w:rsidRDefault="003779F5" w:rsidP="008D4CC6">
      <w:pPr>
        <w:jc w:val="both"/>
        <w:rPr>
          <w:rFonts w:ascii="Noto Sans" w:hAnsi="Noto Sans" w:cs="Noto Sans"/>
          <w:sz w:val="20"/>
          <w:szCs w:val="20"/>
        </w:rPr>
      </w:pPr>
      <m:oMathPara>
        <m:oMath>
          <m:r>
            <m:rPr>
              <m:sty m:val="p"/>
            </m:rPr>
            <w:rPr>
              <w:rFonts w:ascii="Cambria Math" w:hAnsi="Cambria Math" w:cs="Noto Sans"/>
              <w:sz w:val="20"/>
              <w:szCs w:val="20"/>
            </w:rPr>
            <m:t>max⁡</m:t>
          </m:r>
          <m:r>
            <w:rPr>
              <w:rFonts w:ascii="Cambria Math" w:hAnsi="Cambria Math" w:cs="Noto Sans"/>
              <w:sz w:val="20"/>
              <w:szCs w:val="20"/>
            </w:rPr>
            <m:t>{0,</m:t>
          </m:r>
          <m:d>
            <m:dPr>
              <m:ctrlPr>
                <w:rPr>
                  <w:rFonts w:ascii="Cambria Math" w:hAnsi="Cambria Math" w:cs="Noto Sans"/>
                  <w:i/>
                  <w:sz w:val="20"/>
                  <w:szCs w:val="20"/>
                </w:rPr>
              </m:ctrlPr>
            </m:dPr>
            <m:e>
              <m:r>
                <w:rPr>
                  <w:rFonts w:ascii="Cambria Math" w:hAnsi="Cambria Math" w:cs="Noto Sans"/>
                  <w:sz w:val="20"/>
                  <w:szCs w:val="20"/>
                </w:rPr>
                <m:t>15%-Column 1 Rate</m:t>
              </m:r>
            </m:e>
          </m:d>
          <m:r>
            <w:rPr>
              <w:rFonts w:ascii="Cambria Math" w:hAnsi="Cambria Math" w:cs="Noto Sans"/>
              <w:sz w:val="20"/>
              <w:szCs w:val="20"/>
            </w:rPr>
            <m:t>}</m:t>
          </m:r>
        </m:oMath>
      </m:oMathPara>
    </w:p>
    <w:p w14:paraId="425E8C9A" w14:textId="77777777" w:rsidR="003779F5" w:rsidRDefault="003779F5" w:rsidP="008D4CC6">
      <w:pPr>
        <w:jc w:val="both"/>
        <w:rPr>
          <w:rFonts w:ascii="Noto Sans" w:hAnsi="Noto Sans" w:cs="Noto Sans"/>
          <w:sz w:val="20"/>
          <w:szCs w:val="20"/>
        </w:rPr>
      </w:pPr>
    </w:p>
    <w:p w14:paraId="5C07A9A6" w14:textId="7BBCBB4C" w:rsidR="00695AA3" w:rsidRPr="00E347FC" w:rsidRDefault="00695AA3" w:rsidP="008D4CC6">
      <w:pPr>
        <w:jc w:val="both"/>
        <w:rPr>
          <w:rFonts w:ascii="Noto Sans" w:hAnsi="Noto Sans" w:cs="Noto Sans"/>
          <w:sz w:val="20"/>
          <w:szCs w:val="20"/>
        </w:rPr>
      </w:pPr>
      <w:r w:rsidRPr="00695AA3">
        <w:rPr>
          <w:rFonts w:ascii="Noto Sans" w:hAnsi="Noto Sans" w:cs="Noto Sans"/>
          <w:i/>
          <w:iCs/>
          <w:sz w:val="20"/>
          <w:szCs w:val="20"/>
        </w:rPr>
        <w:t>"</w:t>
      </w:r>
      <w:r w:rsidR="00C56D24">
        <w:rPr>
          <w:rFonts w:ascii="Noto Sans" w:hAnsi="Noto Sans" w:cs="Noto Sans"/>
          <w:i/>
          <w:iCs/>
          <w:sz w:val="20"/>
          <w:szCs w:val="20"/>
        </w:rPr>
        <w:t xml:space="preserve">Note: […] </w:t>
      </w:r>
      <w:r w:rsidRPr="00695AA3">
        <w:rPr>
          <w:rFonts w:ascii="Noto Sans" w:hAnsi="Noto Sans" w:cs="Noto Sans"/>
          <w:i/>
          <w:iCs/>
          <w:sz w:val="20"/>
          <w:szCs w:val="20"/>
        </w:rPr>
        <w:t xml:space="preserve">In addition, any part classifiable in Chapters 84, 85, or 87 of the Harmonized Tariff Schedule of the United States and listed in this Annex to this proclamation shall be subject to the tariff rate outlined in clause (5) of Proclamation 11021 when imported exclusively for use in the manufacturing of mobile industrial equipment listed in Annex I-C to this </w:t>
      </w:r>
      <w:r w:rsidRPr="00695AA3">
        <w:rPr>
          <w:rFonts w:ascii="Noto Sans" w:hAnsi="Noto Sans" w:cs="Noto Sans"/>
          <w:i/>
          <w:iCs/>
          <w:sz w:val="20"/>
          <w:szCs w:val="20"/>
        </w:rPr>
        <w:lastRenderedPageBreak/>
        <w:t>proclamation, or agricultural equipment or fixed industrial equipment listed in Annex III to this proclamation."</w:t>
      </w:r>
      <w:r w:rsidR="00E347FC">
        <w:rPr>
          <w:rFonts w:ascii="Noto Sans" w:hAnsi="Noto Sans" w:cs="Noto Sans"/>
          <w:sz w:val="20"/>
          <w:szCs w:val="20"/>
        </w:rPr>
        <w:t xml:space="preserve"> [Anexo I-B]</w:t>
      </w:r>
    </w:p>
    <w:p w14:paraId="3860359B" w14:textId="77777777" w:rsidR="008C47C5" w:rsidRDefault="008C47C5" w:rsidP="008D4CC6">
      <w:pPr>
        <w:jc w:val="both"/>
        <w:rPr>
          <w:rFonts w:ascii="Noto Sans" w:hAnsi="Noto Sans" w:cs="Noto Sans"/>
          <w:i/>
          <w:iCs/>
          <w:sz w:val="20"/>
          <w:szCs w:val="20"/>
        </w:rPr>
      </w:pPr>
    </w:p>
    <w:p w14:paraId="26A851CD" w14:textId="36549219" w:rsidR="008C47C5" w:rsidRPr="008C47C5" w:rsidRDefault="00CD6CD9" w:rsidP="008D4CC6">
      <w:pPr>
        <w:jc w:val="both"/>
        <w:rPr>
          <w:rFonts w:ascii="Noto Sans" w:hAnsi="Noto Sans" w:cs="Noto Sans"/>
          <w:sz w:val="20"/>
          <w:szCs w:val="20"/>
        </w:rPr>
      </w:pPr>
      <w:r w:rsidRPr="00CD6CD9">
        <w:rPr>
          <w:rFonts w:ascii="Noto Sans" w:hAnsi="Noto Sans" w:cs="Noto Sans"/>
          <w:sz w:val="20"/>
          <w:szCs w:val="20"/>
        </w:rPr>
        <w:t xml:space="preserve">(5)(a): </w:t>
      </w:r>
      <w:r w:rsidR="008C47C5" w:rsidRPr="008C47C5">
        <w:rPr>
          <w:rFonts w:ascii="Noto Sans" w:hAnsi="Noto Sans" w:cs="Noto Sans"/>
          <w:i/>
          <w:iCs/>
          <w:sz w:val="20"/>
          <w:szCs w:val="20"/>
        </w:rPr>
        <w:t>"[...] For products with a Column 1 Duty Rate that is less than 15 percent, the sum of the Column 1 Duty Rate and the additional section 232 ad valorem rate of duty pursuant to Proclamation 9704, as amended, or Proclamation 9705, as amended, shall be 15 percent. For a product with a Column 1 Duty Rate that is at least 15 percent, the additional section 232 ad valorem rate of duty imposed shall be zero percent;"</w:t>
      </w:r>
      <w:r w:rsidR="008C47C5">
        <w:rPr>
          <w:rFonts w:ascii="Noto Sans" w:hAnsi="Noto Sans" w:cs="Noto Sans"/>
          <w:sz w:val="20"/>
          <w:szCs w:val="20"/>
        </w:rPr>
        <w:t xml:space="preserve"> [Proclamación abril]</w:t>
      </w:r>
    </w:p>
    <w:p w14:paraId="118AA75C" w14:textId="77777777" w:rsidR="00695AA3" w:rsidRPr="004129F1" w:rsidRDefault="00695AA3" w:rsidP="008D4CC6">
      <w:pPr>
        <w:jc w:val="both"/>
        <w:rPr>
          <w:rFonts w:ascii="Noto Sans" w:hAnsi="Noto Sans" w:cs="Noto Sans"/>
          <w:sz w:val="20"/>
          <w:szCs w:val="20"/>
        </w:rPr>
      </w:pPr>
    </w:p>
    <w:p w14:paraId="2BC4584E" w14:textId="77777777" w:rsidR="008D4CC6" w:rsidRPr="004129F1" w:rsidRDefault="008D4CC6" w:rsidP="008D4CC6">
      <w:pPr>
        <w:jc w:val="both"/>
        <w:rPr>
          <w:rFonts w:ascii="Noto Sans" w:hAnsi="Noto Sans" w:cs="Noto Sans"/>
          <w:sz w:val="20"/>
          <w:szCs w:val="20"/>
        </w:rPr>
      </w:pPr>
      <w:r w:rsidRPr="004129F1">
        <w:rPr>
          <w:rFonts w:ascii="Noto Sans" w:hAnsi="Noto Sans" w:cs="Noto Sans"/>
          <w:b/>
          <w:bCs/>
          <w:sz w:val="20"/>
          <w:szCs w:val="20"/>
        </w:rPr>
        <w:t>Anexo I-C (Maquinaria y Equipo Móvil):</w:t>
      </w:r>
      <w:r w:rsidRPr="004129F1">
        <w:rPr>
          <w:rFonts w:ascii="Noto Sans" w:hAnsi="Noto Sans" w:cs="Noto Sans"/>
          <w:sz w:val="20"/>
          <w:szCs w:val="20"/>
        </w:rPr>
        <w:t xml:space="preserve"> Tasa general temporal del </w:t>
      </w:r>
      <w:r w:rsidRPr="004129F1">
        <w:rPr>
          <w:rFonts w:ascii="Noto Sans" w:hAnsi="Noto Sans" w:cs="Noto Sans"/>
          <w:b/>
          <w:bCs/>
          <w:sz w:val="20"/>
          <w:szCs w:val="20"/>
        </w:rPr>
        <w:t>25%</w:t>
      </w:r>
      <w:r w:rsidRPr="004129F1">
        <w:rPr>
          <w:rFonts w:ascii="Noto Sans" w:hAnsi="Noto Sans" w:cs="Noto Sans"/>
          <w:sz w:val="20"/>
          <w:szCs w:val="20"/>
        </w:rPr>
        <w:t>.</w:t>
      </w:r>
    </w:p>
    <w:p w14:paraId="347968BF" w14:textId="77777777" w:rsidR="00EC6FB0" w:rsidRDefault="00EC6FB0" w:rsidP="008D4CC6">
      <w:pPr>
        <w:jc w:val="both"/>
        <w:rPr>
          <w:rFonts w:ascii="Noto Sans" w:hAnsi="Noto Sans" w:cs="Noto Sans"/>
          <w:sz w:val="20"/>
          <w:szCs w:val="20"/>
        </w:rPr>
      </w:pPr>
    </w:p>
    <w:p w14:paraId="4F3FBA19" w14:textId="7EA11E16" w:rsidR="00E347FC" w:rsidRPr="00E347FC" w:rsidRDefault="00E347FC" w:rsidP="008D4CC6">
      <w:pPr>
        <w:jc w:val="both"/>
        <w:rPr>
          <w:rFonts w:ascii="Noto Sans" w:hAnsi="Noto Sans" w:cs="Noto Sans"/>
          <w:sz w:val="20"/>
          <w:szCs w:val="20"/>
        </w:rPr>
      </w:pPr>
      <w:r w:rsidRPr="00E347FC">
        <w:rPr>
          <w:rFonts w:ascii="Noto Sans" w:hAnsi="Noto Sans" w:cs="Noto Sans"/>
          <w:i/>
          <w:iCs/>
          <w:sz w:val="20"/>
          <w:szCs w:val="20"/>
        </w:rPr>
        <w:t xml:space="preserve">"(2) </w:t>
      </w:r>
      <w:r w:rsidR="00CD6CD9">
        <w:rPr>
          <w:rFonts w:ascii="Noto Sans" w:hAnsi="Noto Sans" w:cs="Noto Sans"/>
          <w:i/>
          <w:iCs/>
          <w:sz w:val="20"/>
          <w:szCs w:val="20"/>
        </w:rPr>
        <w:t xml:space="preserve">[…] </w:t>
      </w:r>
      <w:r w:rsidRPr="00E347FC">
        <w:rPr>
          <w:rFonts w:ascii="Noto Sans" w:hAnsi="Noto Sans" w:cs="Noto Sans"/>
          <w:i/>
          <w:iCs/>
          <w:sz w:val="20"/>
          <w:szCs w:val="20"/>
        </w:rPr>
        <w:t>the applicable additional ad valorem rate of duty imposed pursuant to section 232 under Proclamation 9704, as amended, and Proclamation 9705, as amended, for all aluminum and steel articles listed in Annex I-C to this proclamation shall be: (a) 25 percent, unless a lower rate of duty applies pursuant to clause (2)(b), (2)(c), or (2)(d) of this proclamation;"</w:t>
      </w:r>
      <w:r>
        <w:rPr>
          <w:rFonts w:ascii="Noto Sans" w:hAnsi="Noto Sans" w:cs="Noto Sans"/>
          <w:sz w:val="20"/>
          <w:szCs w:val="20"/>
        </w:rPr>
        <w:t xml:space="preserve"> [Proclamación junio]</w:t>
      </w:r>
    </w:p>
    <w:p w14:paraId="2975448E" w14:textId="77777777" w:rsidR="00E347FC" w:rsidRDefault="00E347FC" w:rsidP="008D4CC6">
      <w:pPr>
        <w:jc w:val="both"/>
        <w:rPr>
          <w:rFonts w:ascii="Noto Sans" w:hAnsi="Noto Sans" w:cs="Noto Sans"/>
          <w:sz w:val="20"/>
          <w:szCs w:val="20"/>
        </w:rPr>
      </w:pPr>
    </w:p>
    <w:p w14:paraId="143EE9F6" w14:textId="213B8E2B" w:rsidR="003779F5" w:rsidRPr="004129F1" w:rsidRDefault="003779F5" w:rsidP="003779F5">
      <w:pPr>
        <w:jc w:val="both"/>
        <w:rPr>
          <w:rFonts w:ascii="Noto Sans" w:hAnsi="Noto Sans" w:cs="Noto Sans"/>
          <w:sz w:val="20"/>
          <w:szCs w:val="20"/>
        </w:rPr>
      </w:pPr>
      <w:r>
        <w:rPr>
          <w:rFonts w:ascii="Noto Sans" w:hAnsi="Noto Sans" w:cs="Noto Sans"/>
          <w:sz w:val="20"/>
          <w:szCs w:val="20"/>
        </w:rPr>
        <w:t>Para aluminio fundido y moldeado en EUA o acero derretido y vertido en EUA:</w:t>
      </w:r>
    </w:p>
    <w:p w14:paraId="4CA22FD9" w14:textId="77777777" w:rsidR="003779F5" w:rsidRPr="004129F1" w:rsidRDefault="003779F5" w:rsidP="003779F5">
      <w:pPr>
        <w:jc w:val="both"/>
        <w:rPr>
          <w:rFonts w:ascii="Noto Sans" w:hAnsi="Noto Sans" w:cs="Noto Sans"/>
          <w:sz w:val="20"/>
          <w:szCs w:val="20"/>
        </w:rPr>
      </w:pPr>
    </w:p>
    <w:p w14:paraId="5949097F" w14:textId="5402EA9B" w:rsidR="003779F5" w:rsidRDefault="003F002C" w:rsidP="008D4CC6">
      <w:pPr>
        <w:jc w:val="both"/>
        <w:rPr>
          <w:rFonts w:ascii="Noto Sans" w:hAnsi="Noto Sans" w:cs="Noto Sans"/>
          <w:sz w:val="20"/>
          <w:szCs w:val="20"/>
        </w:rPr>
      </w:pPr>
      <m:oMathPara>
        <m:oMath>
          <m:r>
            <m:rPr>
              <m:sty m:val="p"/>
            </m:rPr>
            <w:rPr>
              <w:rFonts w:ascii="Cambria Math" w:hAnsi="Cambria Math" w:cs="Noto Sans"/>
              <w:sz w:val="20"/>
              <w:szCs w:val="20"/>
            </w:rPr>
            <m:t>max⁡</m:t>
          </m:r>
          <m:r>
            <w:rPr>
              <w:rFonts w:ascii="Cambria Math" w:hAnsi="Cambria Math" w:cs="Noto Sans"/>
              <w:sz w:val="20"/>
              <w:szCs w:val="20"/>
            </w:rPr>
            <m:t>{0,(10%-Column 1 Rate)}</m:t>
          </m:r>
        </m:oMath>
      </m:oMathPara>
    </w:p>
    <w:p w14:paraId="71C7ACD9" w14:textId="77777777" w:rsidR="003779F5" w:rsidRPr="004129F1" w:rsidRDefault="003779F5" w:rsidP="008D4CC6">
      <w:pPr>
        <w:jc w:val="both"/>
        <w:rPr>
          <w:rFonts w:ascii="Noto Sans" w:hAnsi="Noto Sans" w:cs="Noto Sans"/>
          <w:sz w:val="20"/>
          <w:szCs w:val="20"/>
        </w:rPr>
      </w:pPr>
    </w:p>
    <w:p w14:paraId="514D0967" w14:textId="0F7141A3" w:rsidR="00EC6FB0" w:rsidRDefault="00CD6CD9" w:rsidP="008D4CC6">
      <w:pPr>
        <w:jc w:val="both"/>
        <w:rPr>
          <w:rFonts w:ascii="Noto Sans" w:hAnsi="Noto Sans" w:cs="Noto Sans"/>
          <w:sz w:val="20"/>
          <w:szCs w:val="20"/>
        </w:rPr>
      </w:pPr>
      <w:r w:rsidRPr="00CD6CD9">
        <w:rPr>
          <w:rFonts w:ascii="Noto Sans" w:hAnsi="Noto Sans" w:cs="Noto Sans"/>
          <w:sz w:val="20"/>
          <w:szCs w:val="20"/>
        </w:rPr>
        <w:t xml:space="preserve">(2)(c): </w:t>
      </w:r>
      <w:r w:rsidR="00E347FC" w:rsidRPr="00E347FC">
        <w:rPr>
          <w:rFonts w:ascii="Noto Sans" w:hAnsi="Noto Sans" w:cs="Noto Sans"/>
          <w:i/>
          <w:iCs/>
          <w:sz w:val="20"/>
          <w:szCs w:val="20"/>
        </w:rPr>
        <w:t>"10 percent, determined based on the product's current ad valorem (or ad valorem equivalent) Column 1 Duty Rate in the same manner outlined in clause (2)(b) of this proclamation, for derivative articles the aluminum content of which is composed entirely of aluminum that was smelted and cast in the United States, or the steel content of which is composed entirely of steel that was melted and poured in the United States;"</w:t>
      </w:r>
      <w:r w:rsidR="00E347FC">
        <w:rPr>
          <w:rFonts w:ascii="Noto Sans" w:hAnsi="Noto Sans" w:cs="Noto Sans"/>
          <w:sz w:val="20"/>
          <w:szCs w:val="20"/>
        </w:rPr>
        <w:t xml:space="preserve"> [Proclamación junio]</w:t>
      </w:r>
    </w:p>
    <w:p w14:paraId="38A15FF4" w14:textId="77777777" w:rsidR="00E347FC" w:rsidRDefault="00E347FC" w:rsidP="008D4CC6">
      <w:pPr>
        <w:jc w:val="both"/>
        <w:rPr>
          <w:rFonts w:ascii="Noto Sans" w:hAnsi="Noto Sans" w:cs="Noto Sans"/>
          <w:sz w:val="20"/>
          <w:szCs w:val="20"/>
        </w:rPr>
      </w:pPr>
    </w:p>
    <w:p w14:paraId="48C5A5F9" w14:textId="55D76DDF" w:rsidR="00E347FC" w:rsidRPr="00E347FC" w:rsidRDefault="00CD6CD9" w:rsidP="008D4CC6">
      <w:pPr>
        <w:jc w:val="both"/>
        <w:rPr>
          <w:rFonts w:ascii="Noto Sans" w:hAnsi="Noto Sans" w:cs="Noto Sans"/>
          <w:sz w:val="20"/>
          <w:szCs w:val="20"/>
        </w:rPr>
      </w:pPr>
      <w:r w:rsidRPr="00CD6CD9">
        <w:rPr>
          <w:rFonts w:ascii="Noto Sans" w:hAnsi="Noto Sans" w:cs="Noto Sans"/>
          <w:sz w:val="20"/>
          <w:szCs w:val="20"/>
        </w:rPr>
        <w:t xml:space="preserve">(2)(b): </w:t>
      </w:r>
      <w:r w:rsidR="00E347FC" w:rsidRPr="00E347FC">
        <w:rPr>
          <w:rFonts w:ascii="Noto Sans" w:hAnsi="Noto Sans" w:cs="Noto Sans"/>
          <w:i/>
          <w:iCs/>
          <w:sz w:val="20"/>
          <w:szCs w:val="20"/>
        </w:rPr>
        <w:t>"</w:t>
      </w:r>
      <w:r w:rsidR="00C56D24">
        <w:rPr>
          <w:rFonts w:ascii="Noto Sans" w:hAnsi="Noto Sans" w:cs="Noto Sans"/>
          <w:i/>
          <w:iCs/>
          <w:sz w:val="20"/>
          <w:szCs w:val="20"/>
        </w:rPr>
        <w:t xml:space="preserve">[…] </w:t>
      </w:r>
      <w:r w:rsidR="00E347FC" w:rsidRPr="00E347FC">
        <w:rPr>
          <w:rFonts w:ascii="Noto Sans" w:hAnsi="Noto Sans" w:cs="Noto Sans"/>
          <w:i/>
          <w:iCs/>
          <w:sz w:val="20"/>
          <w:szCs w:val="20"/>
        </w:rPr>
        <w:t>For products of these jurisdictions with a Column 1 Duty Rate that is less than 15 percent, the sum of the Column 1 Duty Rate and the additional section 232 ad valorem rate of duty pursuant to this clause, shall be 15 percent. For products of these jurisdictions with a Column 1 Duty Rate that is at least 15 percent, the additional section 232 ad valorem rate of duty imposed pursuant to this clause shall be zero percent;"</w:t>
      </w:r>
      <w:r w:rsidR="00E347FC">
        <w:rPr>
          <w:rFonts w:ascii="Noto Sans" w:hAnsi="Noto Sans" w:cs="Noto Sans"/>
          <w:sz w:val="20"/>
          <w:szCs w:val="20"/>
        </w:rPr>
        <w:t xml:space="preserve"> [Proclamación junio]</w:t>
      </w:r>
    </w:p>
    <w:p w14:paraId="166743E1" w14:textId="77777777" w:rsidR="008D4CC6" w:rsidRPr="004129F1" w:rsidRDefault="008D4CC6" w:rsidP="008D4CC6">
      <w:pPr>
        <w:jc w:val="both"/>
        <w:rPr>
          <w:rFonts w:ascii="Noto Sans" w:hAnsi="Noto Sans" w:cs="Noto Sans"/>
          <w:sz w:val="20"/>
          <w:szCs w:val="20"/>
        </w:rPr>
      </w:pPr>
    </w:p>
    <w:p w14:paraId="32836571" w14:textId="0DFCF8C3" w:rsidR="008D4CC6" w:rsidRPr="004129F1" w:rsidRDefault="008D4CC6" w:rsidP="008D4CC6">
      <w:pPr>
        <w:jc w:val="both"/>
        <w:rPr>
          <w:rFonts w:ascii="Noto Sans" w:hAnsi="Noto Sans" w:cs="Noto Sans"/>
          <w:sz w:val="20"/>
          <w:szCs w:val="20"/>
        </w:rPr>
      </w:pPr>
      <w:r w:rsidRPr="004129F1">
        <w:rPr>
          <w:rFonts w:ascii="Noto Sans" w:hAnsi="Noto Sans" w:cs="Noto Sans"/>
          <w:b/>
          <w:bCs/>
          <w:sz w:val="20"/>
          <w:szCs w:val="20"/>
        </w:rPr>
        <w:t>Anexo II (Artículos Exentos)</w:t>
      </w:r>
      <w:r w:rsidR="00272B09">
        <w:rPr>
          <w:rStyle w:val="Refdenotaalpie"/>
          <w:rFonts w:ascii="Noto Sans" w:hAnsi="Noto Sans" w:cs="Noto Sans"/>
          <w:b/>
          <w:bCs/>
          <w:sz w:val="20"/>
          <w:szCs w:val="20"/>
        </w:rPr>
        <w:footnoteReference w:id="8"/>
      </w:r>
      <w:r w:rsidRPr="004129F1">
        <w:rPr>
          <w:rFonts w:ascii="Noto Sans" w:hAnsi="Noto Sans" w:cs="Noto Sans"/>
          <w:b/>
          <w:bCs/>
          <w:sz w:val="20"/>
          <w:szCs w:val="20"/>
        </w:rPr>
        <w:t>:</w:t>
      </w:r>
      <w:r w:rsidRPr="004129F1">
        <w:rPr>
          <w:rFonts w:ascii="Noto Sans" w:hAnsi="Noto Sans" w:cs="Noto Sans"/>
          <w:sz w:val="20"/>
          <w:szCs w:val="20"/>
        </w:rPr>
        <w:t xml:space="preserve"> Tasa general del </w:t>
      </w:r>
      <w:r w:rsidRPr="004129F1">
        <w:rPr>
          <w:rFonts w:ascii="Noto Sans" w:hAnsi="Noto Sans" w:cs="Noto Sans"/>
          <w:b/>
          <w:bCs/>
          <w:sz w:val="20"/>
          <w:szCs w:val="20"/>
        </w:rPr>
        <w:t>0%</w:t>
      </w:r>
      <w:r w:rsidRPr="004129F1">
        <w:rPr>
          <w:rFonts w:ascii="Noto Sans" w:hAnsi="Noto Sans" w:cs="Noto Sans"/>
          <w:sz w:val="20"/>
          <w:szCs w:val="20"/>
        </w:rPr>
        <w:t xml:space="preserve"> (excluidos completamente del alcance de la Sección 232).</w:t>
      </w:r>
    </w:p>
    <w:p w14:paraId="0414C448" w14:textId="77777777" w:rsidR="008D4CC6" w:rsidRPr="004129F1" w:rsidRDefault="008D4CC6" w:rsidP="008D4CC6">
      <w:pPr>
        <w:jc w:val="both"/>
        <w:rPr>
          <w:rFonts w:ascii="Noto Sans" w:hAnsi="Noto Sans" w:cs="Noto Sans"/>
          <w:sz w:val="20"/>
          <w:szCs w:val="20"/>
        </w:rPr>
      </w:pPr>
    </w:p>
    <w:p w14:paraId="3188A4B1" w14:textId="090679BE" w:rsidR="008D4CC6" w:rsidRPr="00C56D24" w:rsidRDefault="008D4CC6" w:rsidP="008D4CC6">
      <w:pPr>
        <w:jc w:val="both"/>
        <w:rPr>
          <w:rFonts w:ascii="Noto Sans" w:hAnsi="Noto Sans" w:cs="Noto Sans"/>
          <w:sz w:val="20"/>
          <w:szCs w:val="20"/>
        </w:rPr>
      </w:pPr>
      <w:r w:rsidRPr="004129F1">
        <w:rPr>
          <w:rFonts w:ascii="Noto Sans" w:hAnsi="Noto Sans" w:cs="Noto Sans"/>
          <w:i/>
          <w:iCs/>
          <w:sz w:val="20"/>
          <w:szCs w:val="20"/>
        </w:rPr>
        <w:t>"</w:t>
      </w:r>
      <w:r w:rsidR="00C56D24">
        <w:rPr>
          <w:rFonts w:ascii="Noto Sans" w:hAnsi="Noto Sans" w:cs="Noto Sans"/>
          <w:i/>
          <w:iCs/>
          <w:sz w:val="20"/>
          <w:szCs w:val="20"/>
        </w:rPr>
        <w:t xml:space="preserve">Note: </w:t>
      </w:r>
      <w:r w:rsidRPr="004129F1">
        <w:rPr>
          <w:rFonts w:ascii="Noto Sans" w:hAnsi="Noto Sans" w:cs="Noto Sans"/>
          <w:i/>
          <w:iCs/>
          <w:sz w:val="20"/>
          <w:szCs w:val="20"/>
        </w:rPr>
        <w:t>The following articles will not be subject to Section 232 aluminum, steel or copper tariffs."</w:t>
      </w:r>
      <w:r w:rsidR="00C56D24">
        <w:rPr>
          <w:rFonts w:ascii="Noto Sans" w:hAnsi="Noto Sans" w:cs="Noto Sans"/>
          <w:sz w:val="20"/>
          <w:szCs w:val="20"/>
        </w:rPr>
        <w:t xml:space="preserve"> [Anexo II]</w:t>
      </w:r>
    </w:p>
    <w:p w14:paraId="646F0C27" w14:textId="77777777" w:rsidR="008D4CC6" w:rsidRPr="004129F1" w:rsidRDefault="008D4CC6" w:rsidP="008D4CC6">
      <w:pPr>
        <w:jc w:val="both"/>
        <w:rPr>
          <w:rFonts w:ascii="Noto Sans" w:hAnsi="Noto Sans" w:cs="Noto Sans"/>
          <w:sz w:val="20"/>
          <w:szCs w:val="20"/>
        </w:rPr>
      </w:pPr>
    </w:p>
    <w:p w14:paraId="0491FA68" w14:textId="114FC441" w:rsidR="008D4CC6" w:rsidRPr="004129F1" w:rsidRDefault="008D4CC6" w:rsidP="008D4CC6">
      <w:pPr>
        <w:jc w:val="both"/>
        <w:rPr>
          <w:rFonts w:ascii="Noto Sans" w:hAnsi="Noto Sans" w:cs="Noto Sans"/>
          <w:sz w:val="20"/>
          <w:szCs w:val="20"/>
        </w:rPr>
      </w:pPr>
      <w:r w:rsidRPr="004129F1">
        <w:rPr>
          <w:rFonts w:ascii="Noto Sans" w:hAnsi="Noto Sans" w:cs="Noto Sans"/>
          <w:b/>
          <w:bCs/>
          <w:sz w:val="20"/>
          <w:szCs w:val="20"/>
        </w:rPr>
        <w:t>Anexo III (Reducciones Temporales):</w:t>
      </w:r>
      <w:r w:rsidRPr="004129F1">
        <w:rPr>
          <w:rFonts w:ascii="Noto Sans" w:hAnsi="Noto Sans" w:cs="Noto Sans"/>
          <w:sz w:val="20"/>
          <w:szCs w:val="20"/>
        </w:rPr>
        <w:t xml:space="preserve"> Sujetos a esquemas de reducción arancelaria o techos combinados.</w:t>
      </w:r>
    </w:p>
    <w:p w14:paraId="6D764E46" w14:textId="77777777" w:rsidR="008D4CC6" w:rsidRPr="004129F1" w:rsidRDefault="008D4CC6" w:rsidP="008D4CC6">
      <w:pPr>
        <w:jc w:val="both"/>
        <w:rPr>
          <w:rFonts w:ascii="Noto Sans" w:hAnsi="Noto Sans" w:cs="Noto Sans"/>
          <w:sz w:val="20"/>
          <w:szCs w:val="20"/>
        </w:rPr>
      </w:pPr>
    </w:p>
    <w:p w14:paraId="7A2D3560" w14:textId="306F3A85" w:rsidR="008D4CC6" w:rsidRPr="00C56D24" w:rsidRDefault="008D4CC6" w:rsidP="008D4CC6">
      <w:pPr>
        <w:jc w:val="both"/>
        <w:rPr>
          <w:rFonts w:ascii="Noto Sans" w:hAnsi="Noto Sans" w:cs="Noto Sans"/>
          <w:sz w:val="20"/>
          <w:szCs w:val="20"/>
        </w:rPr>
      </w:pPr>
      <w:r w:rsidRPr="004129F1">
        <w:rPr>
          <w:rFonts w:ascii="Noto Sans" w:hAnsi="Noto Sans" w:cs="Noto Sans"/>
          <w:i/>
          <w:iCs/>
          <w:sz w:val="20"/>
          <w:szCs w:val="20"/>
        </w:rPr>
        <w:t>"</w:t>
      </w:r>
      <w:r w:rsidR="00C56D24">
        <w:rPr>
          <w:rFonts w:ascii="Noto Sans" w:hAnsi="Noto Sans" w:cs="Noto Sans"/>
          <w:i/>
          <w:iCs/>
          <w:sz w:val="20"/>
          <w:szCs w:val="20"/>
        </w:rPr>
        <w:t xml:space="preserve">Note: </w:t>
      </w:r>
      <w:r w:rsidRPr="004129F1">
        <w:rPr>
          <w:rFonts w:ascii="Noto Sans" w:hAnsi="Noto Sans" w:cs="Noto Sans"/>
          <w:i/>
          <w:iCs/>
          <w:sz w:val="20"/>
          <w:szCs w:val="20"/>
        </w:rPr>
        <w:t>The 25% Section 232 tariff on steel and aluminum derivative articles shall be reduced for products listed in this Annex, as outlined in clause (5) of Proclamation 11021, until December 31, 2027."</w:t>
      </w:r>
      <w:r w:rsidR="00C56D24">
        <w:rPr>
          <w:rFonts w:ascii="Noto Sans" w:hAnsi="Noto Sans" w:cs="Noto Sans"/>
          <w:sz w:val="20"/>
          <w:szCs w:val="20"/>
        </w:rPr>
        <w:t xml:space="preserve"> [Anexo III]</w:t>
      </w:r>
    </w:p>
    <w:p w14:paraId="51FF6E67" w14:textId="77777777" w:rsidR="00160DBE" w:rsidRPr="004129F1" w:rsidRDefault="00160DBE" w:rsidP="008D4CC6">
      <w:pPr>
        <w:jc w:val="both"/>
        <w:rPr>
          <w:rFonts w:ascii="Noto Sans" w:hAnsi="Noto Sans" w:cs="Noto Sans"/>
          <w:sz w:val="20"/>
          <w:szCs w:val="20"/>
        </w:rPr>
      </w:pPr>
    </w:p>
    <w:p w14:paraId="56FC7175" w14:textId="35EC289F" w:rsidR="00160DBE" w:rsidRPr="004129F1" w:rsidRDefault="00160DBE" w:rsidP="008D4CC6">
      <w:pPr>
        <w:jc w:val="both"/>
        <w:rPr>
          <w:rFonts w:ascii="Noto Sans" w:hAnsi="Noto Sans" w:cs="Noto Sans"/>
          <w:sz w:val="20"/>
          <w:szCs w:val="20"/>
        </w:rPr>
      </w:pPr>
      <w:r w:rsidRPr="004129F1">
        <w:rPr>
          <w:rFonts w:ascii="Noto Sans" w:hAnsi="Noto Sans" w:cs="Noto Sans"/>
          <w:sz w:val="20"/>
          <w:szCs w:val="20"/>
        </w:rPr>
        <w:t xml:space="preserve">Si no cumple con el umbral de </w:t>
      </w:r>
      <w:r w:rsidR="00EC6FB0">
        <w:rPr>
          <w:rFonts w:ascii="Noto Sans" w:hAnsi="Noto Sans" w:cs="Noto Sans"/>
          <w:sz w:val="20"/>
          <w:szCs w:val="20"/>
        </w:rPr>
        <w:t>fundición y moldeado</w:t>
      </w:r>
      <w:r w:rsidRPr="004129F1">
        <w:rPr>
          <w:rFonts w:ascii="Noto Sans" w:hAnsi="Noto Sans" w:cs="Noto Sans"/>
          <w:sz w:val="20"/>
          <w:szCs w:val="20"/>
        </w:rPr>
        <w:t xml:space="preserve"> de EUA:</w:t>
      </w:r>
    </w:p>
    <w:p w14:paraId="3EE6214C" w14:textId="00568A88" w:rsidR="00C56D24" w:rsidRDefault="00C56D24" w:rsidP="004129F1">
      <w:pPr>
        <w:jc w:val="both"/>
        <w:rPr>
          <w:rFonts w:ascii="Noto Sans" w:hAnsi="Noto Sans" w:cs="Noto Sans"/>
          <w:sz w:val="20"/>
          <w:szCs w:val="20"/>
        </w:rPr>
      </w:pPr>
    </w:p>
    <w:p w14:paraId="7B336277" w14:textId="4F0AECCB" w:rsidR="003F002C" w:rsidRPr="003F002C" w:rsidRDefault="003F002C" w:rsidP="004129F1">
      <w:pPr>
        <w:jc w:val="both"/>
        <w:rPr>
          <w:rFonts w:ascii="Noto Sans" w:hAnsi="Noto Sans" w:cs="Noto Sans"/>
          <w:sz w:val="20"/>
          <w:szCs w:val="20"/>
        </w:rPr>
      </w:pPr>
      <m:oMathPara>
        <m:oMath>
          <m:r>
            <m:rPr>
              <m:sty m:val="p"/>
            </m:rPr>
            <w:rPr>
              <w:rFonts w:ascii="Cambria Math" w:hAnsi="Cambria Math" w:cs="Noto Sans"/>
              <w:sz w:val="20"/>
              <w:szCs w:val="20"/>
            </w:rPr>
            <m:t>max⁡</m:t>
          </m:r>
          <m:r>
            <w:rPr>
              <w:rFonts w:ascii="Cambria Math" w:hAnsi="Cambria Math" w:cs="Noto Sans"/>
              <w:sz w:val="20"/>
              <w:szCs w:val="20"/>
            </w:rPr>
            <m:t>{0,</m:t>
          </m:r>
          <m:d>
            <m:dPr>
              <m:ctrlPr>
                <w:rPr>
                  <w:rFonts w:ascii="Cambria Math" w:hAnsi="Cambria Math" w:cs="Noto Sans"/>
                  <w:i/>
                  <w:sz w:val="20"/>
                  <w:szCs w:val="20"/>
                </w:rPr>
              </m:ctrlPr>
            </m:dPr>
            <m:e>
              <m:r>
                <w:rPr>
                  <w:rFonts w:ascii="Cambria Math" w:hAnsi="Cambria Math" w:cs="Noto Sans"/>
                  <w:sz w:val="20"/>
                  <w:szCs w:val="20"/>
                </w:rPr>
                <m:t>15%-Column 1 Rate</m:t>
              </m:r>
            </m:e>
          </m:d>
          <m:r>
            <w:rPr>
              <w:rFonts w:ascii="Cambria Math" w:hAnsi="Cambria Math" w:cs="Noto Sans"/>
              <w:sz w:val="20"/>
              <w:szCs w:val="20"/>
            </w:rPr>
            <m:t>}</m:t>
          </m:r>
        </m:oMath>
      </m:oMathPara>
    </w:p>
    <w:p w14:paraId="04A1C1A6" w14:textId="77777777" w:rsidR="003F002C" w:rsidRDefault="003F002C" w:rsidP="004129F1">
      <w:pPr>
        <w:jc w:val="both"/>
        <w:rPr>
          <w:rFonts w:ascii="Noto Sans" w:eastAsiaTheme="minorEastAsia" w:hAnsi="Noto Sans" w:cs="Noto Sans"/>
          <w:sz w:val="20"/>
          <w:szCs w:val="20"/>
        </w:rPr>
      </w:pPr>
    </w:p>
    <w:p w14:paraId="35FC403C" w14:textId="6E000971" w:rsidR="007533DB" w:rsidRPr="007533DB" w:rsidRDefault="00CD6CD9" w:rsidP="004129F1">
      <w:pPr>
        <w:jc w:val="both"/>
        <w:rPr>
          <w:rFonts w:ascii="Noto Sans" w:hAnsi="Noto Sans" w:cs="Noto Sans"/>
          <w:sz w:val="20"/>
          <w:szCs w:val="20"/>
        </w:rPr>
      </w:pPr>
      <w:r w:rsidRPr="00CD6CD9">
        <w:rPr>
          <w:rFonts w:ascii="Noto Sans" w:hAnsi="Noto Sans" w:cs="Noto Sans"/>
          <w:sz w:val="20"/>
          <w:szCs w:val="20"/>
        </w:rPr>
        <w:t xml:space="preserve">(5)(a): </w:t>
      </w:r>
      <w:r w:rsidR="007533DB" w:rsidRPr="008C47C5">
        <w:rPr>
          <w:rFonts w:ascii="Noto Sans" w:hAnsi="Noto Sans" w:cs="Noto Sans"/>
          <w:i/>
          <w:iCs/>
          <w:sz w:val="20"/>
          <w:szCs w:val="20"/>
        </w:rPr>
        <w:t>"[...] For products with a Column 1 Duty Rate that is less than 15 percent, the sum of the Column 1 Duty Rate and the additional section 232 ad valorem rate of duty pursuant to Proclamation 9704, as amended, or Proclamation 9705, as amended, shall be 15 percent. For a product with a Column 1 Duty Rate that is at least 15 percent, the additional section 232 ad valorem rate of duty imposed shall be zero percent;"</w:t>
      </w:r>
      <w:r w:rsidR="007533DB">
        <w:rPr>
          <w:rFonts w:ascii="Noto Sans" w:hAnsi="Noto Sans" w:cs="Noto Sans"/>
          <w:sz w:val="20"/>
          <w:szCs w:val="20"/>
        </w:rPr>
        <w:t xml:space="preserve"> [Proclamación abril]</w:t>
      </w:r>
    </w:p>
    <w:p w14:paraId="2DF1046B" w14:textId="77777777" w:rsidR="00160DBE" w:rsidRPr="004129F1" w:rsidRDefault="00160DBE" w:rsidP="008D4CC6">
      <w:pPr>
        <w:jc w:val="both"/>
        <w:rPr>
          <w:rFonts w:ascii="Noto Sans" w:hAnsi="Noto Sans" w:cs="Noto Sans"/>
          <w:sz w:val="20"/>
          <w:szCs w:val="20"/>
        </w:rPr>
      </w:pPr>
    </w:p>
    <w:p w14:paraId="7F7CFF9D" w14:textId="2FA45F57" w:rsidR="00160DBE" w:rsidRPr="004129F1" w:rsidRDefault="00160DBE" w:rsidP="008D4CC6">
      <w:pPr>
        <w:jc w:val="both"/>
        <w:rPr>
          <w:rFonts w:ascii="Noto Sans" w:hAnsi="Noto Sans" w:cs="Noto Sans"/>
          <w:sz w:val="20"/>
          <w:szCs w:val="20"/>
        </w:rPr>
      </w:pPr>
      <w:r w:rsidRPr="004129F1">
        <w:rPr>
          <w:rFonts w:ascii="Noto Sans" w:hAnsi="Noto Sans" w:cs="Noto Sans"/>
          <w:sz w:val="20"/>
          <w:szCs w:val="20"/>
        </w:rPr>
        <w:t xml:space="preserve">Si cumple con el umbral de </w:t>
      </w:r>
      <w:r w:rsidR="00EC6FB0">
        <w:rPr>
          <w:rFonts w:ascii="Noto Sans" w:hAnsi="Noto Sans" w:cs="Noto Sans"/>
          <w:sz w:val="20"/>
          <w:szCs w:val="20"/>
        </w:rPr>
        <w:t>fundición y moldeado</w:t>
      </w:r>
      <w:r w:rsidRPr="004129F1">
        <w:rPr>
          <w:rFonts w:ascii="Noto Sans" w:hAnsi="Noto Sans" w:cs="Noto Sans"/>
          <w:sz w:val="20"/>
          <w:szCs w:val="20"/>
        </w:rPr>
        <w:t xml:space="preserve"> de EUA:</w:t>
      </w:r>
    </w:p>
    <w:p w14:paraId="40EB87A3" w14:textId="4AEB28C0" w:rsidR="00160DBE" w:rsidRPr="007533DB" w:rsidRDefault="00160DBE" w:rsidP="00160DBE">
      <w:pPr>
        <w:jc w:val="both"/>
        <w:rPr>
          <w:rFonts w:ascii="Noto Sans" w:eastAsiaTheme="minorEastAsia" w:hAnsi="Noto Sans" w:cs="Noto Sans"/>
          <w:sz w:val="20"/>
          <w:szCs w:val="20"/>
        </w:rPr>
      </w:pPr>
    </w:p>
    <w:p w14:paraId="0A89B636" w14:textId="77777777" w:rsidR="003F002C" w:rsidRDefault="003F002C" w:rsidP="003F002C">
      <w:pPr>
        <w:jc w:val="both"/>
        <w:rPr>
          <w:rFonts w:ascii="Noto Sans" w:hAnsi="Noto Sans" w:cs="Noto Sans"/>
          <w:sz w:val="20"/>
          <w:szCs w:val="20"/>
        </w:rPr>
      </w:pPr>
      <m:oMathPara>
        <m:oMath>
          <m:r>
            <m:rPr>
              <m:sty m:val="p"/>
            </m:rPr>
            <w:rPr>
              <w:rFonts w:ascii="Cambria Math" w:hAnsi="Cambria Math" w:cs="Noto Sans"/>
              <w:sz w:val="20"/>
              <w:szCs w:val="20"/>
            </w:rPr>
            <m:t>max⁡</m:t>
          </m:r>
          <m:r>
            <w:rPr>
              <w:rFonts w:ascii="Cambria Math" w:hAnsi="Cambria Math" w:cs="Noto Sans"/>
              <w:sz w:val="20"/>
              <w:szCs w:val="20"/>
            </w:rPr>
            <m:t>{0,(10%-Column 1 Rate)}</m:t>
          </m:r>
        </m:oMath>
      </m:oMathPara>
    </w:p>
    <w:p w14:paraId="49F504B9" w14:textId="00CA7CEE" w:rsidR="007533DB" w:rsidRDefault="007533DB" w:rsidP="007533DB">
      <w:pPr>
        <w:rPr>
          <w:rFonts w:ascii="Noto Sans" w:eastAsiaTheme="minorEastAsia" w:hAnsi="Noto Sans" w:cs="Noto Sans"/>
          <w:sz w:val="20"/>
          <w:szCs w:val="20"/>
        </w:rPr>
      </w:pPr>
    </w:p>
    <w:p w14:paraId="40BD4508" w14:textId="106F544D" w:rsidR="007533DB" w:rsidRPr="007533DB" w:rsidRDefault="00CD6CD9" w:rsidP="007533DB">
      <w:pPr>
        <w:jc w:val="both"/>
        <w:rPr>
          <w:rFonts w:ascii="Noto Sans" w:hAnsi="Noto Sans" w:cs="Noto Sans"/>
          <w:sz w:val="20"/>
          <w:szCs w:val="20"/>
        </w:rPr>
      </w:pPr>
      <w:r w:rsidRPr="00CD6CD9">
        <w:rPr>
          <w:rFonts w:ascii="Noto Sans" w:hAnsi="Noto Sans" w:cs="Noto Sans"/>
          <w:sz w:val="20"/>
          <w:szCs w:val="20"/>
        </w:rPr>
        <w:t xml:space="preserve">(5)(b): </w:t>
      </w:r>
      <w:r w:rsidR="007533DB">
        <w:rPr>
          <w:rFonts w:ascii="Noto Sans" w:hAnsi="Noto Sans" w:cs="Noto Sans"/>
          <w:i/>
          <w:iCs/>
          <w:sz w:val="20"/>
          <w:szCs w:val="20"/>
        </w:rPr>
        <w:t>“</w:t>
      </w:r>
      <w:r w:rsidR="007533DB" w:rsidRPr="00C56D24">
        <w:rPr>
          <w:rFonts w:ascii="Noto Sans" w:hAnsi="Noto Sans" w:cs="Noto Sans"/>
          <w:i/>
          <w:iCs/>
          <w:sz w:val="20"/>
          <w:szCs w:val="20"/>
        </w:rPr>
        <w:t>10 percent, determined based on the product’s current ad valorem (or ad valorem equivalent) Column 1 Duty Rate in the same manner outlined in clause (5)(a) of this proclamation, for derivative articles the aluminum content of which is composed entirely of aluminum that was smelted and cast in the United States, or the steel content of which is composed entirely of steel that was melted and poured in the United States;</w:t>
      </w:r>
      <w:r w:rsidR="007533DB">
        <w:rPr>
          <w:rFonts w:ascii="Noto Sans" w:hAnsi="Noto Sans" w:cs="Noto Sans"/>
          <w:i/>
          <w:iCs/>
          <w:sz w:val="20"/>
          <w:szCs w:val="20"/>
        </w:rPr>
        <w:t>”</w:t>
      </w:r>
      <w:r w:rsidR="007533DB">
        <w:rPr>
          <w:rFonts w:ascii="Noto Sans" w:hAnsi="Noto Sans" w:cs="Noto Sans"/>
          <w:sz w:val="20"/>
          <w:szCs w:val="20"/>
        </w:rPr>
        <w:t xml:space="preserve"> [Proclamación abril]</w:t>
      </w:r>
    </w:p>
    <w:p w14:paraId="13EF2A6D" w14:textId="77777777" w:rsidR="008D4CC6" w:rsidRPr="004129F1" w:rsidRDefault="008D4CC6" w:rsidP="008D4CC6">
      <w:pPr>
        <w:jc w:val="both"/>
        <w:rPr>
          <w:rFonts w:ascii="Noto Sans" w:hAnsi="Noto Sans" w:cs="Noto Sans"/>
          <w:sz w:val="20"/>
          <w:szCs w:val="20"/>
        </w:rPr>
      </w:pPr>
    </w:p>
    <w:p w14:paraId="19AE8AEA" w14:textId="50DBCA3F" w:rsidR="008D4CC6" w:rsidRPr="008D4CC6" w:rsidRDefault="008D4CC6" w:rsidP="008D4CC6">
      <w:pPr>
        <w:pStyle w:val="Prrafodelista"/>
        <w:numPr>
          <w:ilvl w:val="0"/>
          <w:numId w:val="3"/>
        </w:numPr>
        <w:jc w:val="both"/>
        <w:rPr>
          <w:rFonts w:ascii="Noto Sans" w:hAnsi="Noto Sans" w:cs="Noto Sans"/>
          <w:b/>
          <w:bCs/>
          <w:sz w:val="20"/>
          <w:szCs w:val="20"/>
          <w:u w:val="single"/>
        </w:rPr>
      </w:pPr>
      <w:r w:rsidRPr="008D4CC6">
        <w:rPr>
          <w:rFonts w:ascii="Noto Sans" w:hAnsi="Noto Sans" w:cs="Noto Sans"/>
          <w:b/>
          <w:bCs/>
          <w:sz w:val="20"/>
          <w:szCs w:val="20"/>
          <w:u w:val="single"/>
        </w:rPr>
        <w:t>Reglas Específicas, Excepciones y Mecanismos de Ajuste</w:t>
      </w:r>
    </w:p>
    <w:p w14:paraId="7AF7C627" w14:textId="77777777" w:rsidR="008D4CC6" w:rsidRPr="004129F1" w:rsidRDefault="008D4CC6" w:rsidP="008D4CC6">
      <w:pPr>
        <w:jc w:val="both"/>
        <w:rPr>
          <w:rFonts w:ascii="Noto Sans" w:hAnsi="Noto Sans" w:cs="Noto Sans"/>
          <w:b/>
          <w:bCs/>
          <w:sz w:val="20"/>
          <w:szCs w:val="20"/>
        </w:rPr>
      </w:pPr>
    </w:p>
    <w:p w14:paraId="79616482" w14:textId="3DC01E0B" w:rsidR="008D4CC6" w:rsidRPr="004129F1" w:rsidRDefault="008D4CC6" w:rsidP="008D4CC6">
      <w:pPr>
        <w:jc w:val="both"/>
        <w:rPr>
          <w:rFonts w:ascii="Noto Sans" w:hAnsi="Noto Sans" w:cs="Noto Sans"/>
          <w:b/>
          <w:bCs/>
          <w:sz w:val="20"/>
          <w:szCs w:val="20"/>
        </w:rPr>
      </w:pPr>
      <w:r w:rsidRPr="004129F1">
        <w:rPr>
          <w:rFonts w:ascii="Noto Sans" w:hAnsi="Noto Sans" w:cs="Noto Sans"/>
          <w:b/>
          <w:bCs/>
          <w:sz w:val="20"/>
          <w:szCs w:val="20"/>
        </w:rPr>
        <w:t>Vigencia y Reversión Programada</w:t>
      </w:r>
    </w:p>
    <w:p w14:paraId="3BEFF8EF" w14:textId="17B47FE5" w:rsidR="00635727" w:rsidRDefault="00635727" w:rsidP="008D4CC6">
      <w:pPr>
        <w:jc w:val="both"/>
        <w:rPr>
          <w:rFonts w:ascii="Noto Sans" w:hAnsi="Noto Sans" w:cs="Noto Sans"/>
          <w:sz w:val="20"/>
          <w:szCs w:val="20"/>
        </w:rPr>
      </w:pPr>
      <w:r>
        <w:rPr>
          <w:rFonts w:ascii="Noto Sans" w:hAnsi="Noto Sans" w:cs="Noto Sans"/>
          <w:sz w:val="20"/>
          <w:szCs w:val="20"/>
        </w:rPr>
        <w:t xml:space="preserve">La medida entra en vigor el </w:t>
      </w:r>
      <w:r w:rsidRPr="0086486F">
        <w:rPr>
          <w:rFonts w:ascii="Noto Sans" w:hAnsi="Noto Sans" w:cs="Noto Sans"/>
          <w:b/>
          <w:bCs/>
          <w:sz w:val="20"/>
          <w:szCs w:val="20"/>
        </w:rPr>
        <w:t>8 de junio de 2026</w:t>
      </w:r>
      <w:r>
        <w:rPr>
          <w:rFonts w:ascii="Noto Sans" w:hAnsi="Noto Sans" w:cs="Noto Sans"/>
          <w:sz w:val="20"/>
          <w:szCs w:val="20"/>
        </w:rPr>
        <w:t xml:space="preserve"> y se mantiene vigente hasta </w:t>
      </w:r>
      <w:r w:rsidRPr="0086486F">
        <w:rPr>
          <w:rFonts w:ascii="Noto Sans" w:hAnsi="Noto Sans" w:cs="Noto Sans"/>
          <w:b/>
          <w:bCs/>
          <w:sz w:val="20"/>
          <w:szCs w:val="20"/>
        </w:rPr>
        <w:t>31 de diciembre de 2027</w:t>
      </w:r>
      <w:r>
        <w:rPr>
          <w:rFonts w:ascii="Noto Sans" w:hAnsi="Noto Sans" w:cs="Noto Sans"/>
          <w:sz w:val="20"/>
          <w:szCs w:val="20"/>
        </w:rPr>
        <w:t>.</w:t>
      </w:r>
    </w:p>
    <w:p w14:paraId="1252289F" w14:textId="4225B726" w:rsidR="008D4CC6" w:rsidRPr="004129F1" w:rsidRDefault="008D4CC6" w:rsidP="008D4CC6">
      <w:pPr>
        <w:jc w:val="both"/>
        <w:rPr>
          <w:rFonts w:ascii="Noto Sans" w:hAnsi="Noto Sans" w:cs="Noto Sans"/>
          <w:sz w:val="20"/>
          <w:szCs w:val="20"/>
        </w:rPr>
      </w:pPr>
      <w:r w:rsidRPr="004129F1">
        <w:rPr>
          <w:rFonts w:ascii="Noto Sans" w:hAnsi="Noto Sans" w:cs="Noto Sans"/>
          <w:sz w:val="20"/>
          <w:szCs w:val="20"/>
        </w:rPr>
        <w:t xml:space="preserve">A partir del </w:t>
      </w:r>
      <w:r w:rsidRPr="0086486F">
        <w:rPr>
          <w:rFonts w:ascii="Noto Sans" w:hAnsi="Noto Sans" w:cs="Noto Sans"/>
          <w:b/>
          <w:bCs/>
          <w:sz w:val="20"/>
          <w:szCs w:val="20"/>
        </w:rPr>
        <w:t>1 de enero de 2028</w:t>
      </w:r>
      <w:r w:rsidRPr="004129F1">
        <w:rPr>
          <w:rFonts w:ascii="Noto Sans" w:hAnsi="Noto Sans" w:cs="Noto Sans"/>
          <w:sz w:val="20"/>
          <w:szCs w:val="20"/>
        </w:rPr>
        <w:t>, los esquemas preferenciales temporales y las subpartidas especiales (9903.82.20 a la 9903.82.26) serán eliminados del HTSUS</w:t>
      </w:r>
      <w:r w:rsidR="00C90039" w:rsidRPr="004129F1">
        <w:rPr>
          <w:rFonts w:ascii="Noto Sans" w:hAnsi="Noto Sans" w:cs="Noto Sans"/>
          <w:sz w:val="20"/>
          <w:szCs w:val="20"/>
        </w:rPr>
        <w:t>, revirtiendo los nuevos mecanismos de esta proclamación.</w:t>
      </w:r>
    </w:p>
    <w:p w14:paraId="34BD8FD9" w14:textId="77777777" w:rsidR="008D4CC6" w:rsidRPr="004129F1" w:rsidRDefault="008D4CC6" w:rsidP="008D4CC6">
      <w:pPr>
        <w:jc w:val="both"/>
        <w:rPr>
          <w:rFonts w:ascii="Noto Sans" w:hAnsi="Noto Sans" w:cs="Noto Sans"/>
          <w:sz w:val="20"/>
          <w:szCs w:val="20"/>
        </w:rPr>
      </w:pPr>
    </w:p>
    <w:p w14:paraId="772327C6" w14:textId="3A905721" w:rsidR="001316AF" w:rsidRPr="008302E9" w:rsidRDefault="001316AF" w:rsidP="008D4CC6">
      <w:pPr>
        <w:jc w:val="both"/>
        <w:rPr>
          <w:rFonts w:ascii="Noto Sans" w:hAnsi="Noto Sans" w:cs="Noto Sans"/>
          <w:sz w:val="20"/>
          <w:szCs w:val="20"/>
        </w:rPr>
      </w:pPr>
      <w:r w:rsidRPr="00E347FC">
        <w:rPr>
          <w:rFonts w:ascii="Noto Sans" w:hAnsi="Noto Sans" w:cs="Noto Sans"/>
          <w:i/>
          <w:iCs/>
          <w:sz w:val="20"/>
          <w:szCs w:val="20"/>
        </w:rPr>
        <w:t>"(2) Effective with respect to goods entered for consumption, or withdrawn from warehouse for consumption, on or after 12:01 a.m. eastern daylight time on June 8, 2026, until 11:59 p.m. eastern standard time on December 31, 2027</w:t>
      </w:r>
      <w:r>
        <w:rPr>
          <w:rFonts w:ascii="Noto Sans" w:hAnsi="Noto Sans" w:cs="Noto Sans"/>
          <w:i/>
          <w:iCs/>
          <w:sz w:val="20"/>
          <w:szCs w:val="20"/>
        </w:rPr>
        <w:t>”</w:t>
      </w:r>
      <w:r w:rsidR="008302E9">
        <w:rPr>
          <w:rFonts w:ascii="Noto Sans" w:hAnsi="Noto Sans" w:cs="Noto Sans"/>
          <w:sz w:val="20"/>
          <w:szCs w:val="20"/>
        </w:rPr>
        <w:t xml:space="preserve"> [Proclamación junio]</w:t>
      </w:r>
    </w:p>
    <w:p w14:paraId="2E584C64" w14:textId="77777777" w:rsidR="001316AF" w:rsidRDefault="001316AF" w:rsidP="008D4CC6">
      <w:pPr>
        <w:jc w:val="both"/>
        <w:rPr>
          <w:rFonts w:ascii="Noto Sans" w:hAnsi="Noto Sans" w:cs="Noto Sans"/>
          <w:i/>
          <w:iCs/>
          <w:sz w:val="20"/>
          <w:szCs w:val="20"/>
        </w:rPr>
      </w:pPr>
    </w:p>
    <w:p w14:paraId="544897BA" w14:textId="2FA13C76" w:rsidR="008D4CC6" w:rsidRPr="008302E9" w:rsidRDefault="00CD6CD9" w:rsidP="00CD6CD9">
      <w:pPr>
        <w:jc w:val="both"/>
        <w:rPr>
          <w:rFonts w:ascii="Noto Sans" w:hAnsi="Noto Sans" w:cs="Noto Sans"/>
          <w:sz w:val="20"/>
          <w:szCs w:val="20"/>
        </w:rPr>
      </w:pPr>
      <w:r>
        <w:rPr>
          <w:rFonts w:ascii="Noto Sans" w:hAnsi="Noto Sans" w:cs="Noto Sans"/>
          <w:i/>
          <w:iCs/>
          <w:sz w:val="20"/>
          <w:szCs w:val="20"/>
        </w:rPr>
        <w:t>“</w:t>
      </w:r>
      <w:r w:rsidRPr="00CD6CD9">
        <w:rPr>
          <w:rFonts w:ascii="Noto Sans" w:hAnsi="Noto Sans" w:cs="Noto Sans"/>
          <w:i/>
          <w:iCs/>
          <w:sz w:val="20"/>
          <w:szCs w:val="20"/>
        </w:rPr>
        <w:t>B. Effective with respect to goods entered for</w:t>
      </w:r>
      <w:r>
        <w:rPr>
          <w:rFonts w:ascii="Noto Sans" w:hAnsi="Noto Sans" w:cs="Noto Sans"/>
          <w:i/>
          <w:iCs/>
          <w:sz w:val="20"/>
          <w:szCs w:val="20"/>
        </w:rPr>
        <w:t xml:space="preserve"> </w:t>
      </w:r>
      <w:r w:rsidRPr="00CD6CD9">
        <w:rPr>
          <w:rFonts w:ascii="Noto Sans" w:hAnsi="Noto Sans" w:cs="Noto Sans"/>
          <w:i/>
          <w:iCs/>
          <w:sz w:val="20"/>
          <w:szCs w:val="20"/>
        </w:rPr>
        <w:t>consumption, or withdrawn from warehouse for</w:t>
      </w:r>
      <w:r>
        <w:rPr>
          <w:rFonts w:ascii="Noto Sans" w:hAnsi="Noto Sans" w:cs="Noto Sans"/>
          <w:i/>
          <w:iCs/>
          <w:sz w:val="20"/>
          <w:szCs w:val="20"/>
        </w:rPr>
        <w:t xml:space="preserve"> </w:t>
      </w:r>
      <w:r w:rsidRPr="00CD6CD9">
        <w:rPr>
          <w:rFonts w:ascii="Noto Sans" w:hAnsi="Noto Sans" w:cs="Noto Sans"/>
          <w:i/>
          <w:iCs/>
          <w:sz w:val="20"/>
          <w:szCs w:val="20"/>
        </w:rPr>
        <w:t>consumption, on or after 12:01 a.m. eastern time on</w:t>
      </w:r>
      <w:r>
        <w:rPr>
          <w:rFonts w:ascii="Noto Sans" w:hAnsi="Noto Sans" w:cs="Noto Sans"/>
          <w:i/>
          <w:iCs/>
          <w:sz w:val="20"/>
          <w:szCs w:val="20"/>
        </w:rPr>
        <w:t xml:space="preserve"> </w:t>
      </w:r>
      <w:r w:rsidRPr="00CD6CD9">
        <w:rPr>
          <w:rFonts w:ascii="Noto Sans" w:hAnsi="Noto Sans" w:cs="Noto Sans"/>
          <w:i/>
          <w:iCs/>
          <w:sz w:val="20"/>
          <w:szCs w:val="20"/>
        </w:rPr>
        <w:t>January 1, 2028, subchapter III of</w:t>
      </w:r>
      <w:r>
        <w:rPr>
          <w:rFonts w:ascii="Noto Sans" w:hAnsi="Noto Sans" w:cs="Noto Sans"/>
          <w:i/>
          <w:iCs/>
          <w:sz w:val="20"/>
          <w:szCs w:val="20"/>
        </w:rPr>
        <w:t xml:space="preserve"> </w:t>
      </w:r>
      <w:r w:rsidRPr="00CD6CD9">
        <w:rPr>
          <w:rFonts w:ascii="Noto Sans" w:hAnsi="Noto Sans" w:cs="Noto Sans"/>
          <w:i/>
          <w:iCs/>
          <w:sz w:val="20"/>
          <w:szCs w:val="20"/>
        </w:rPr>
        <w:t>chapter 99 of the Harmonized Tariff Schedule of the United States (HTSUS) is modified as</w:t>
      </w:r>
      <w:r>
        <w:rPr>
          <w:rFonts w:ascii="Noto Sans" w:hAnsi="Noto Sans" w:cs="Noto Sans"/>
          <w:i/>
          <w:iCs/>
          <w:sz w:val="20"/>
          <w:szCs w:val="20"/>
        </w:rPr>
        <w:t xml:space="preserve"> </w:t>
      </w:r>
      <w:r w:rsidRPr="00CD6CD9">
        <w:rPr>
          <w:rFonts w:ascii="Noto Sans" w:hAnsi="Noto Sans" w:cs="Noto Sans"/>
          <w:i/>
          <w:iCs/>
          <w:sz w:val="20"/>
          <w:szCs w:val="20"/>
        </w:rPr>
        <w:t>follows:</w:t>
      </w:r>
      <w:r>
        <w:rPr>
          <w:rFonts w:ascii="Noto Sans" w:hAnsi="Noto Sans" w:cs="Noto Sans"/>
          <w:i/>
          <w:iCs/>
          <w:sz w:val="20"/>
          <w:szCs w:val="20"/>
        </w:rPr>
        <w:t xml:space="preserve"> […] </w:t>
      </w:r>
      <w:r w:rsidRPr="00CD6CD9">
        <w:rPr>
          <w:rFonts w:ascii="Noto Sans" w:hAnsi="Noto Sans" w:cs="Noto Sans"/>
          <w:i/>
          <w:iCs/>
          <w:sz w:val="20"/>
          <w:szCs w:val="20"/>
        </w:rPr>
        <w:t>10. Headings 9903.82.20–9903.82.26 are terminated and deleted from the HTSUS.</w:t>
      </w:r>
      <w:r w:rsidR="008D4CC6" w:rsidRPr="004129F1">
        <w:rPr>
          <w:rFonts w:ascii="Noto Sans" w:hAnsi="Noto Sans" w:cs="Noto Sans"/>
          <w:i/>
          <w:iCs/>
          <w:sz w:val="20"/>
          <w:szCs w:val="20"/>
        </w:rPr>
        <w:t>"</w:t>
      </w:r>
      <w:r w:rsidR="008302E9">
        <w:rPr>
          <w:rFonts w:ascii="Noto Sans" w:hAnsi="Noto Sans" w:cs="Noto Sans"/>
          <w:sz w:val="20"/>
          <w:szCs w:val="20"/>
        </w:rPr>
        <w:t xml:space="preserve"> [Anexo IV]</w:t>
      </w:r>
    </w:p>
    <w:p w14:paraId="1FFBA565" w14:textId="77777777" w:rsidR="008D4CC6" w:rsidRPr="004129F1" w:rsidRDefault="008D4CC6" w:rsidP="008D4CC6">
      <w:pPr>
        <w:jc w:val="both"/>
        <w:rPr>
          <w:rFonts w:ascii="Noto Sans" w:hAnsi="Noto Sans" w:cs="Noto Sans"/>
          <w:sz w:val="20"/>
          <w:szCs w:val="20"/>
        </w:rPr>
      </w:pPr>
    </w:p>
    <w:p w14:paraId="55AFE17B" w14:textId="379E6267" w:rsidR="008D4CC6" w:rsidRPr="004129F1" w:rsidRDefault="008D4CC6" w:rsidP="008D4CC6">
      <w:pPr>
        <w:jc w:val="both"/>
        <w:rPr>
          <w:rFonts w:ascii="Noto Sans" w:hAnsi="Noto Sans" w:cs="Noto Sans"/>
          <w:b/>
          <w:bCs/>
          <w:sz w:val="20"/>
          <w:szCs w:val="20"/>
        </w:rPr>
      </w:pPr>
      <w:r w:rsidRPr="004129F1">
        <w:rPr>
          <w:rFonts w:ascii="Noto Sans" w:hAnsi="Noto Sans" w:cs="Noto Sans"/>
          <w:b/>
          <w:bCs/>
          <w:sz w:val="20"/>
          <w:szCs w:val="20"/>
        </w:rPr>
        <w:t xml:space="preserve">Regla de Contenido </w:t>
      </w:r>
      <w:r w:rsidR="00C90039" w:rsidRPr="004129F1">
        <w:rPr>
          <w:rFonts w:ascii="Noto Sans" w:hAnsi="Noto Sans" w:cs="Noto Sans"/>
          <w:b/>
          <w:bCs/>
          <w:sz w:val="20"/>
          <w:szCs w:val="20"/>
        </w:rPr>
        <w:t>EUA</w:t>
      </w:r>
    </w:p>
    <w:p w14:paraId="3777D65E" w14:textId="056788A3" w:rsidR="008D4CC6" w:rsidRPr="004129F1" w:rsidRDefault="008D4CC6" w:rsidP="008D4CC6">
      <w:pPr>
        <w:jc w:val="both"/>
        <w:rPr>
          <w:rFonts w:ascii="Noto Sans" w:hAnsi="Noto Sans" w:cs="Noto Sans"/>
          <w:sz w:val="20"/>
          <w:szCs w:val="20"/>
        </w:rPr>
      </w:pPr>
      <w:r w:rsidRPr="008D4CC6">
        <w:rPr>
          <w:rFonts w:ascii="Noto Sans" w:hAnsi="Noto Sans" w:cs="Noto Sans"/>
          <w:sz w:val="20"/>
          <w:szCs w:val="20"/>
        </w:rPr>
        <w:t xml:space="preserve">El umbral legal para considerar que un producto está compuesto "enteramente" de metal estadounidense se reduce del </w:t>
      </w:r>
      <w:r w:rsidRPr="0086486F">
        <w:rPr>
          <w:rFonts w:ascii="Noto Sans" w:hAnsi="Noto Sans" w:cs="Noto Sans"/>
          <w:b/>
          <w:bCs/>
          <w:sz w:val="20"/>
          <w:szCs w:val="20"/>
        </w:rPr>
        <w:t>95%</w:t>
      </w:r>
      <w:r w:rsidRPr="008D4CC6">
        <w:rPr>
          <w:rFonts w:ascii="Noto Sans" w:hAnsi="Noto Sans" w:cs="Noto Sans"/>
          <w:sz w:val="20"/>
          <w:szCs w:val="20"/>
        </w:rPr>
        <w:t xml:space="preserve"> al </w:t>
      </w:r>
      <w:r w:rsidRPr="008D4CC6">
        <w:rPr>
          <w:rFonts w:ascii="Noto Sans" w:hAnsi="Noto Sans" w:cs="Noto Sans"/>
          <w:b/>
          <w:bCs/>
          <w:sz w:val="20"/>
          <w:szCs w:val="20"/>
        </w:rPr>
        <w:t>85%</w:t>
      </w:r>
      <w:r w:rsidRPr="008D4CC6">
        <w:rPr>
          <w:rFonts w:ascii="Noto Sans" w:hAnsi="Noto Sans" w:cs="Noto Sans"/>
          <w:sz w:val="20"/>
          <w:szCs w:val="20"/>
        </w:rPr>
        <w:t>.</w:t>
      </w:r>
    </w:p>
    <w:p w14:paraId="07D801B1" w14:textId="77777777" w:rsidR="00C90039" w:rsidRPr="008D4CC6" w:rsidRDefault="00C90039" w:rsidP="008D4CC6">
      <w:pPr>
        <w:jc w:val="both"/>
        <w:rPr>
          <w:rFonts w:ascii="Noto Sans" w:hAnsi="Noto Sans" w:cs="Noto Sans"/>
          <w:sz w:val="20"/>
          <w:szCs w:val="20"/>
        </w:rPr>
      </w:pPr>
    </w:p>
    <w:p w14:paraId="07D78555" w14:textId="4B4500EF" w:rsidR="00C90039" w:rsidRDefault="008302E9" w:rsidP="008D4CC6">
      <w:pPr>
        <w:jc w:val="both"/>
        <w:rPr>
          <w:rFonts w:ascii="Noto Sans" w:hAnsi="Noto Sans" w:cs="Noto Sans"/>
          <w:sz w:val="20"/>
          <w:szCs w:val="20"/>
        </w:rPr>
      </w:pPr>
      <w:r>
        <w:rPr>
          <w:rFonts w:ascii="Noto Sans" w:hAnsi="Noto Sans" w:cs="Noto Sans"/>
          <w:i/>
          <w:iCs/>
          <w:sz w:val="20"/>
          <w:szCs w:val="20"/>
        </w:rPr>
        <w:t>“</w:t>
      </w:r>
      <w:r w:rsidRPr="008302E9">
        <w:rPr>
          <w:rFonts w:ascii="Noto Sans" w:hAnsi="Noto Sans" w:cs="Noto Sans"/>
          <w:i/>
          <w:iCs/>
          <w:sz w:val="20"/>
          <w:szCs w:val="20"/>
        </w:rPr>
        <w:t>(4) For purposes of this proclamation and Proclamation 11021, as set forth in Annex IV to this proclamation, a product’s metal content shall be deemed composed entirely of aluminum that was smelted and cast in the United States, of steel that was melted and poured in the United States, or of copper that was smelted and cast in the United States, if such aluminum, steel, and copper account for at least 85 percent of weight of the aluminum, steel, and copper of the product.</w:t>
      </w:r>
      <w:r w:rsidR="008D4CC6" w:rsidRPr="008D4CC6">
        <w:rPr>
          <w:rFonts w:ascii="Noto Sans" w:hAnsi="Noto Sans" w:cs="Noto Sans"/>
          <w:i/>
          <w:iCs/>
          <w:sz w:val="20"/>
          <w:szCs w:val="20"/>
        </w:rPr>
        <w:t>"</w:t>
      </w:r>
      <w:r>
        <w:rPr>
          <w:rFonts w:ascii="Noto Sans" w:hAnsi="Noto Sans" w:cs="Noto Sans"/>
          <w:sz w:val="20"/>
          <w:szCs w:val="20"/>
        </w:rPr>
        <w:t xml:space="preserve"> [Proclamación junio]</w:t>
      </w:r>
    </w:p>
    <w:p w14:paraId="2AA74A24" w14:textId="77777777" w:rsidR="00BA51B3" w:rsidRDefault="00BA51B3" w:rsidP="008D4CC6">
      <w:pPr>
        <w:jc w:val="both"/>
        <w:rPr>
          <w:rFonts w:ascii="Noto Sans" w:hAnsi="Noto Sans" w:cs="Noto Sans"/>
          <w:sz w:val="20"/>
          <w:szCs w:val="20"/>
        </w:rPr>
      </w:pPr>
    </w:p>
    <w:p w14:paraId="3D3FA5A3" w14:textId="77777777" w:rsidR="00BA51B3" w:rsidRDefault="00BA51B3" w:rsidP="008D4CC6">
      <w:pPr>
        <w:jc w:val="both"/>
        <w:rPr>
          <w:rFonts w:ascii="Noto Sans" w:hAnsi="Noto Sans" w:cs="Noto Sans"/>
          <w:b/>
          <w:bCs/>
          <w:sz w:val="20"/>
          <w:szCs w:val="20"/>
        </w:rPr>
      </w:pPr>
      <w:r w:rsidRPr="00BA51B3">
        <w:rPr>
          <w:rFonts w:ascii="Noto Sans" w:hAnsi="Noto Sans" w:cs="Noto Sans"/>
          <w:b/>
          <w:bCs/>
          <w:sz w:val="20"/>
          <w:szCs w:val="20"/>
        </w:rPr>
        <w:t>Peso Mínimo de Contenido Metálico</w:t>
      </w:r>
    </w:p>
    <w:p w14:paraId="5AFCC92C" w14:textId="4DC232BC" w:rsidR="00BA51B3" w:rsidRDefault="00BA51B3" w:rsidP="008D4CC6">
      <w:pPr>
        <w:jc w:val="both"/>
        <w:rPr>
          <w:rFonts w:ascii="Noto Sans" w:hAnsi="Noto Sans" w:cs="Noto Sans"/>
          <w:sz w:val="20"/>
          <w:szCs w:val="20"/>
        </w:rPr>
      </w:pPr>
      <w:r w:rsidRPr="00BA51B3">
        <w:rPr>
          <w:rFonts w:ascii="Noto Sans" w:hAnsi="Noto Sans" w:cs="Noto Sans"/>
          <w:sz w:val="20"/>
          <w:szCs w:val="20"/>
        </w:rPr>
        <w:t>Para los artículos listados fuera de los Capítulos 72, 73, 74 y 76 del HTSUS (Anexos I-B, I-C y III), el arancel de la Sección 232 solo aplica si el peso del metal regulado representa al menos el 15% del peso total del artículo importado. Si el producto contiene diversos metales regulados (ej. aluminio y cobre), se debe sumar el peso agregado de dichos metales para calcular si se alcanza el umbral del 15%.</w:t>
      </w:r>
    </w:p>
    <w:p w14:paraId="499F87A1" w14:textId="77777777" w:rsidR="00BA51B3" w:rsidRDefault="00BA51B3" w:rsidP="008D4CC6">
      <w:pPr>
        <w:jc w:val="both"/>
        <w:rPr>
          <w:rFonts w:ascii="Noto Sans" w:hAnsi="Noto Sans" w:cs="Noto Sans"/>
          <w:sz w:val="20"/>
          <w:szCs w:val="20"/>
        </w:rPr>
      </w:pPr>
    </w:p>
    <w:p w14:paraId="4295F8EE" w14:textId="5D8590B3" w:rsidR="00BA51B3" w:rsidRPr="00B722A8" w:rsidRDefault="00BA51B3" w:rsidP="008D4CC6">
      <w:pPr>
        <w:jc w:val="both"/>
        <w:rPr>
          <w:rFonts w:ascii="Noto Sans" w:hAnsi="Noto Sans" w:cs="Noto Sans"/>
          <w:i/>
          <w:iCs/>
          <w:sz w:val="20"/>
          <w:szCs w:val="20"/>
        </w:rPr>
      </w:pPr>
      <w:r w:rsidRPr="00B722A8">
        <w:rPr>
          <w:rFonts w:ascii="Noto Sans" w:hAnsi="Noto Sans" w:cs="Noto Sans"/>
          <w:i/>
          <w:iCs/>
          <w:sz w:val="20"/>
          <w:szCs w:val="20"/>
        </w:rPr>
        <w:t>“(9) […] In addition, goods specified in Annex I-B or Annex III to this proclamation that are not classifiable in Chapters 72, 73, 74, and 76 of the HTSUS and that do not contain sufficient aluminum, steel, or copper content, as set forth in Annex IV to this proclamation, shall not be subject to the duties imposed in clause (3) and clause (5) of this proclamation.”</w:t>
      </w:r>
    </w:p>
    <w:p w14:paraId="1AE3CE30" w14:textId="77777777" w:rsidR="00B722A8" w:rsidRDefault="00B722A8" w:rsidP="008D4CC6">
      <w:pPr>
        <w:jc w:val="both"/>
        <w:rPr>
          <w:rFonts w:ascii="Noto Sans" w:hAnsi="Noto Sans" w:cs="Noto Sans"/>
          <w:sz w:val="20"/>
          <w:szCs w:val="20"/>
        </w:rPr>
      </w:pPr>
    </w:p>
    <w:p w14:paraId="63DE0D0C" w14:textId="42491F3D" w:rsidR="00B722A8" w:rsidRDefault="00B722A8" w:rsidP="00B722A8">
      <w:pPr>
        <w:jc w:val="both"/>
        <w:rPr>
          <w:rFonts w:ascii="Noto Sans" w:hAnsi="Noto Sans" w:cs="Noto Sans"/>
          <w:i/>
          <w:iCs/>
          <w:sz w:val="20"/>
          <w:szCs w:val="20"/>
        </w:rPr>
      </w:pPr>
      <w:r>
        <w:rPr>
          <w:rFonts w:ascii="Noto Sans" w:hAnsi="Noto Sans" w:cs="Noto Sans"/>
          <w:sz w:val="20"/>
          <w:szCs w:val="20"/>
        </w:rPr>
        <w:t>(16)</w:t>
      </w:r>
      <w:r w:rsidRPr="00B722A8">
        <w:rPr>
          <w:rFonts w:ascii="Noto Sans" w:hAnsi="Noto Sans" w:cs="Noto Sans"/>
          <w:sz w:val="20"/>
          <w:szCs w:val="20"/>
        </w:rPr>
        <w:t xml:space="preserve">(c) </w:t>
      </w:r>
      <w:r w:rsidRPr="00B722A8">
        <w:rPr>
          <w:rFonts w:ascii="Noto Sans" w:hAnsi="Noto Sans" w:cs="Noto Sans"/>
          <w:i/>
          <w:iCs/>
          <w:sz w:val="20"/>
          <w:szCs w:val="20"/>
        </w:rPr>
        <w:t>“For articles classified in the listed provisions that are not in chapters 72, 73, 74 or 76 of the HTSUS, headings 9903.82.02 and 9903.82.04–9903.82.17 only apply where the weight of the applicable metal is at least 15 percent of the weight of the imported article.”</w:t>
      </w:r>
    </w:p>
    <w:p w14:paraId="3E18B7AE" w14:textId="77777777" w:rsidR="00B722A8" w:rsidRDefault="00B722A8" w:rsidP="00B722A8">
      <w:pPr>
        <w:jc w:val="both"/>
        <w:rPr>
          <w:rFonts w:ascii="Noto Sans" w:hAnsi="Noto Sans" w:cs="Noto Sans"/>
          <w:i/>
          <w:iCs/>
          <w:sz w:val="20"/>
          <w:szCs w:val="20"/>
        </w:rPr>
      </w:pPr>
    </w:p>
    <w:p w14:paraId="77E935C4" w14:textId="5B2ABF5A" w:rsidR="00B722A8" w:rsidRDefault="00B722A8" w:rsidP="00B722A8">
      <w:pPr>
        <w:jc w:val="both"/>
        <w:rPr>
          <w:rFonts w:ascii="Noto Sans" w:hAnsi="Noto Sans" w:cs="Noto Sans"/>
          <w:i/>
          <w:iCs/>
          <w:sz w:val="20"/>
          <w:szCs w:val="20"/>
        </w:rPr>
      </w:pPr>
      <w:r w:rsidRPr="00B722A8">
        <w:rPr>
          <w:rFonts w:ascii="Noto Sans" w:hAnsi="Noto Sans" w:cs="Noto Sans"/>
          <w:i/>
          <w:iCs/>
          <w:sz w:val="20"/>
          <w:szCs w:val="20"/>
        </w:rPr>
        <w:t>"8. U.S. note 16 is modified:</w:t>
      </w:r>
    </w:p>
    <w:p w14:paraId="00DB9084" w14:textId="689235DA" w:rsidR="00B722A8" w:rsidRPr="00B722A8" w:rsidRDefault="00B722A8" w:rsidP="00B722A8">
      <w:pPr>
        <w:jc w:val="both"/>
        <w:rPr>
          <w:rFonts w:ascii="Noto Sans" w:hAnsi="Noto Sans" w:cs="Noto Sans"/>
          <w:i/>
          <w:iCs/>
          <w:sz w:val="20"/>
          <w:szCs w:val="20"/>
        </w:rPr>
      </w:pPr>
      <w:r>
        <w:rPr>
          <w:rFonts w:ascii="Noto Sans" w:hAnsi="Noto Sans" w:cs="Noto Sans"/>
          <w:i/>
          <w:iCs/>
          <w:sz w:val="20"/>
          <w:szCs w:val="20"/>
        </w:rPr>
        <w:t>[…]</w:t>
      </w:r>
    </w:p>
    <w:p w14:paraId="09FF2DBF" w14:textId="77777777" w:rsidR="00B722A8" w:rsidRDefault="00B722A8" w:rsidP="00B722A8">
      <w:pPr>
        <w:jc w:val="both"/>
        <w:rPr>
          <w:rFonts w:ascii="Noto Sans" w:hAnsi="Noto Sans" w:cs="Noto Sans"/>
          <w:i/>
          <w:iCs/>
          <w:sz w:val="20"/>
          <w:szCs w:val="20"/>
        </w:rPr>
      </w:pPr>
      <w:r w:rsidRPr="00B722A8">
        <w:rPr>
          <w:rFonts w:ascii="Noto Sans" w:hAnsi="Noto Sans" w:cs="Noto Sans"/>
          <w:i/>
          <w:iCs/>
          <w:sz w:val="20"/>
          <w:szCs w:val="20"/>
        </w:rPr>
        <w:t>c. in subdivision (c):</w:t>
      </w:r>
    </w:p>
    <w:p w14:paraId="4FEB9B43" w14:textId="77777777" w:rsidR="00B722A8" w:rsidRDefault="00B722A8" w:rsidP="00B722A8">
      <w:pPr>
        <w:jc w:val="both"/>
        <w:rPr>
          <w:rFonts w:ascii="Noto Sans" w:hAnsi="Noto Sans" w:cs="Noto Sans"/>
          <w:i/>
          <w:iCs/>
          <w:sz w:val="20"/>
          <w:szCs w:val="20"/>
        </w:rPr>
      </w:pPr>
    </w:p>
    <w:p w14:paraId="1CD62DA8" w14:textId="77777777" w:rsidR="00B722A8" w:rsidRDefault="00B722A8" w:rsidP="00B722A8">
      <w:pPr>
        <w:jc w:val="both"/>
        <w:rPr>
          <w:rFonts w:ascii="Noto Sans" w:hAnsi="Noto Sans" w:cs="Noto Sans"/>
          <w:i/>
          <w:iCs/>
          <w:sz w:val="20"/>
          <w:szCs w:val="20"/>
        </w:rPr>
      </w:pPr>
      <w:r w:rsidRPr="00B722A8">
        <w:rPr>
          <w:rFonts w:ascii="Noto Sans" w:hAnsi="Noto Sans" w:cs="Noto Sans"/>
          <w:i/>
          <w:iCs/>
          <w:sz w:val="20"/>
          <w:szCs w:val="20"/>
        </w:rPr>
        <w:lastRenderedPageBreak/>
        <w:t>1. by deleting “9903.82.02–9903.82.19” and inserting</w:t>
      </w:r>
      <w:r>
        <w:rPr>
          <w:rFonts w:ascii="Noto Sans" w:hAnsi="Noto Sans" w:cs="Noto Sans"/>
          <w:i/>
          <w:iCs/>
          <w:sz w:val="20"/>
          <w:szCs w:val="20"/>
        </w:rPr>
        <w:t xml:space="preserve"> </w:t>
      </w:r>
      <w:r w:rsidRPr="00B722A8">
        <w:rPr>
          <w:rFonts w:ascii="Noto Sans" w:hAnsi="Noto Sans" w:cs="Noto Sans"/>
          <w:i/>
          <w:iCs/>
          <w:sz w:val="20"/>
          <w:szCs w:val="20"/>
        </w:rPr>
        <w:t>“9903.82.02–9903.82.26”</w:t>
      </w:r>
      <w:r>
        <w:rPr>
          <w:rFonts w:ascii="Noto Sans" w:hAnsi="Noto Sans" w:cs="Noto Sans"/>
          <w:i/>
          <w:iCs/>
          <w:sz w:val="20"/>
          <w:szCs w:val="20"/>
        </w:rPr>
        <w:t xml:space="preserve"> </w:t>
      </w:r>
      <w:r w:rsidRPr="00B722A8">
        <w:rPr>
          <w:rFonts w:ascii="Noto Sans" w:hAnsi="Noto Sans" w:cs="Noto Sans"/>
          <w:i/>
          <w:iCs/>
          <w:sz w:val="20"/>
          <w:szCs w:val="20"/>
        </w:rPr>
        <w:t>in lieu thereof;</w:t>
      </w:r>
    </w:p>
    <w:p w14:paraId="2D9729AC" w14:textId="77777777" w:rsidR="00B722A8" w:rsidRDefault="00B722A8" w:rsidP="008D4CC6">
      <w:pPr>
        <w:jc w:val="both"/>
        <w:rPr>
          <w:rFonts w:ascii="Noto Sans" w:hAnsi="Noto Sans" w:cs="Noto Sans"/>
          <w:i/>
          <w:iCs/>
          <w:sz w:val="20"/>
          <w:szCs w:val="20"/>
        </w:rPr>
      </w:pPr>
    </w:p>
    <w:p w14:paraId="3B0FE9D8" w14:textId="1CB02C10" w:rsidR="00C90039" w:rsidRDefault="00B722A8" w:rsidP="008D4CC6">
      <w:pPr>
        <w:jc w:val="both"/>
        <w:rPr>
          <w:rFonts w:ascii="Noto Sans" w:hAnsi="Noto Sans" w:cs="Noto Sans"/>
          <w:i/>
          <w:iCs/>
          <w:sz w:val="20"/>
          <w:szCs w:val="20"/>
        </w:rPr>
      </w:pPr>
      <w:r w:rsidRPr="00B722A8">
        <w:rPr>
          <w:rFonts w:ascii="Noto Sans" w:hAnsi="Noto Sans" w:cs="Noto Sans"/>
          <w:i/>
          <w:iCs/>
          <w:sz w:val="20"/>
          <w:szCs w:val="20"/>
        </w:rPr>
        <w:t>2. by deleting “9903.82.02 and 9903.82.04–9903.82.17” and inserting</w:t>
      </w:r>
      <w:r>
        <w:rPr>
          <w:rFonts w:ascii="Noto Sans" w:hAnsi="Noto Sans" w:cs="Noto Sans"/>
          <w:i/>
          <w:iCs/>
          <w:sz w:val="20"/>
          <w:szCs w:val="20"/>
        </w:rPr>
        <w:t xml:space="preserve"> </w:t>
      </w:r>
      <w:r w:rsidRPr="00B722A8">
        <w:rPr>
          <w:rFonts w:ascii="Noto Sans" w:hAnsi="Noto Sans" w:cs="Noto Sans"/>
          <w:i/>
          <w:iCs/>
          <w:sz w:val="20"/>
          <w:szCs w:val="20"/>
        </w:rPr>
        <w:t>“9903.82.02, 9903.82.04–9903.82.17 and 9903.82.20–9903.82.26” in lieu</w:t>
      </w:r>
      <w:r>
        <w:rPr>
          <w:rFonts w:ascii="Noto Sans" w:hAnsi="Noto Sans" w:cs="Noto Sans"/>
          <w:i/>
          <w:iCs/>
          <w:sz w:val="20"/>
          <w:szCs w:val="20"/>
        </w:rPr>
        <w:t xml:space="preserve"> </w:t>
      </w:r>
      <w:r w:rsidRPr="00B722A8">
        <w:rPr>
          <w:rFonts w:ascii="Noto Sans" w:hAnsi="Noto Sans" w:cs="Noto Sans"/>
          <w:i/>
          <w:iCs/>
          <w:sz w:val="20"/>
          <w:szCs w:val="20"/>
        </w:rPr>
        <w:t>thereof;</w:t>
      </w:r>
      <w:r>
        <w:rPr>
          <w:rFonts w:ascii="Noto Sans" w:hAnsi="Noto Sans" w:cs="Noto Sans"/>
          <w:i/>
          <w:iCs/>
          <w:sz w:val="20"/>
          <w:szCs w:val="20"/>
        </w:rPr>
        <w:t>”</w:t>
      </w:r>
    </w:p>
    <w:p w14:paraId="6903A18E" w14:textId="77777777" w:rsidR="00B722A8" w:rsidRPr="00B722A8" w:rsidRDefault="00B722A8" w:rsidP="008D4CC6">
      <w:pPr>
        <w:jc w:val="both"/>
        <w:rPr>
          <w:rFonts w:ascii="Noto Sans" w:hAnsi="Noto Sans" w:cs="Noto Sans"/>
          <w:i/>
          <w:iCs/>
          <w:sz w:val="20"/>
          <w:szCs w:val="20"/>
        </w:rPr>
      </w:pPr>
    </w:p>
    <w:p w14:paraId="098B9594" w14:textId="77777777" w:rsidR="0086486F" w:rsidRDefault="0086486F" w:rsidP="008D4CC6">
      <w:pPr>
        <w:jc w:val="both"/>
        <w:rPr>
          <w:rFonts w:ascii="Noto Sans" w:hAnsi="Noto Sans" w:cs="Noto Sans"/>
          <w:b/>
          <w:bCs/>
          <w:sz w:val="20"/>
          <w:szCs w:val="20"/>
        </w:rPr>
      </w:pPr>
      <w:r w:rsidRPr="0086486F">
        <w:rPr>
          <w:rFonts w:ascii="Noto Sans" w:hAnsi="Noto Sans" w:cs="Noto Sans"/>
          <w:b/>
          <w:bCs/>
          <w:sz w:val="20"/>
          <w:szCs w:val="20"/>
        </w:rPr>
        <w:t>Excepciones para el Reino Unido</w:t>
      </w:r>
    </w:p>
    <w:p w14:paraId="58A2AFBD" w14:textId="2B522614" w:rsidR="0086486F" w:rsidRDefault="0086486F" w:rsidP="008D4CC6">
      <w:pPr>
        <w:jc w:val="both"/>
        <w:rPr>
          <w:rFonts w:ascii="Noto Sans" w:hAnsi="Noto Sans" w:cs="Noto Sans"/>
          <w:sz w:val="20"/>
          <w:szCs w:val="20"/>
        </w:rPr>
      </w:pPr>
      <w:r w:rsidRPr="0086486F">
        <w:rPr>
          <w:rFonts w:ascii="Noto Sans" w:hAnsi="Noto Sans" w:cs="Noto Sans"/>
          <w:sz w:val="20"/>
          <w:szCs w:val="20"/>
        </w:rPr>
        <w:t xml:space="preserve">Para los productos listados en el </w:t>
      </w:r>
      <w:r w:rsidRPr="0086486F">
        <w:rPr>
          <w:rFonts w:ascii="Noto Sans" w:hAnsi="Noto Sans" w:cs="Noto Sans"/>
          <w:b/>
          <w:bCs/>
          <w:sz w:val="20"/>
          <w:szCs w:val="20"/>
        </w:rPr>
        <w:t>Anexo I-A</w:t>
      </w:r>
      <w:r w:rsidRPr="0086486F">
        <w:rPr>
          <w:rFonts w:ascii="Noto Sans" w:hAnsi="Noto Sans" w:cs="Noto Sans"/>
          <w:sz w:val="20"/>
          <w:szCs w:val="20"/>
        </w:rPr>
        <w:t xml:space="preserve">, aplica una tasa preferencial del </w:t>
      </w:r>
      <w:r w:rsidRPr="0086486F">
        <w:rPr>
          <w:rFonts w:ascii="Noto Sans" w:hAnsi="Noto Sans" w:cs="Noto Sans"/>
          <w:b/>
          <w:bCs/>
          <w:sz w:val="20"/>
          <w:szCs w:val="20"/>
        </w:rPr>
        <w:t>25%</w:t>
      </w:r>
      <w:r w:rsidRPr="0086486F">
        <w:rPr>
          <w:rFonts w:ascii="Noto Sans" w:hAnsi="Noto Sans" w:cs="Noto Sans"/>
          <w:sz w:val="20"/>
          <w:szCs w:val="20"/>
        </w:rPr>
        <w:t xml:space="preserve"> (en lugar de la general del </w:t>
      </w:r>
      <w:r w:rsidRPr="0086486F">
        <w:rPr>
          <w:rFonts w:ascii="Noto Sans" w:hAnsi="Noto Sans" w:cs="Noto Sans"/>
          <w:b/>
          <w:bCs/>
          <w:sz w:val="20"/>
          <w:szCs w:val="20"/>
        </w:rPr>
        <w:t>50%</w:t>
      </w:r>
      <w:r w:rsidRPr="0086486F">
        <w:rPr>
          <w:rFonts w:ascii="Noto Sans" w:hAnsi="Noto Sans" w:cs="Noto Sans"/>
          <w:sz w:val="20"/>
          <w:szCs w:val="20"/>
        </w:rPr>
        <w:t>) si el contenido de aluminio o acero fue fundido y moldeado o derretido y vertido enteramente en el Reino Unido.</w:t>
      </w:r>
    </w:p>
    <w:p w14:paraId="5A145DF4" w14:textId="77777777" w:rsidR="0086486F" w:rsidRDefault="0086486F" w:rsidP="008D4CC6">
      <w:pPr>
        <w:jc w:val="both"/>
        <w:rPr>
          <w:rFonts w:ascii="Noto Sans" w:hAnsi="Noto Sans" w:cs="Noto Sans"/>
          <w:sz w:val="20"/>
          <w:szCs w:val="20"/>
        </w:rPr>
      </w:pPr>
    </w:p>
    <w:p w14:paraId="79F2EAA4" w14:textId="1F53DAF6" w:rsidR="0086486F" w:rsidRPr="001B52DC" w:rsidRDefault="0086486F" w:rsidP="008D4CC6">
      <w:pPr>
        <w:jc w:val="both"/>
        <w:rPr>
          <w:rFonts w:ascii="Noto Sans" w:hAnsi="Noto Sans" w:cs="Noto Sans"/>
          <w:sz w:val="20"/>
          <w:szCs w:val="20"/>
        </w:rPr>
      </w:pPr>
      <w:r>
        <w:rPr>
          <w:rFonts w:ascii="Noto Sans" w:hAnsi="Noto Sans" w:cs="Noto Sans"/>
          <w:sz w:val="20"/>
          <w:szCs w:val="20"/>
        </w:rPr>
        <w:t xml:space="preserve">(2)(b): </w:t>
      </w:r>
      <w:r w:rsidRPr="0086486F">
        <w:rPr>
          <w:rFonts w:ascii="Noto Sans" w:hAnsi="Noto Sans" w:cs="Noto Sans"/>
          <w:i/>
          <w:iCs/>
          <w:sz w:val="20"/>
          <w:szCs w:val="20"/>
        </w:rPr>
        <w:t>"25 percent for United Kingdom products, the aluminum content of which is composed entirely of aluminum that was smelted or most recently cast in the United Kingdom or the steel content of which is composed entirely of steel that was melted and poured in the United Kingdom;"</w:t>
      </w:r>
      <w:r w:rsidR="001B52DC">
        <w:rPr>
          <w:rFonts w:ascii="Noto Sans" w:hAnsi="Noto Sans" w:cs="Noto Sans"/>
          <w:sz w:val="20"/>
          <w:szCs w:val="20"/>
        </w:rPr>
        <w:t xml:space="preserve"> [Proclamación abril]</w:t>
      </w:r>
    </w:p>
    <w:p w14:paraId="30DC6E68" w14:textId="77777777" w:rsidR="0086486F" w:rsidRDefault="0086486F" w:rsidP="008D4CC6">
      <w:pPr>
        <w:jc w:val="both"/>
        <w:rPr>
          <w:rFonts w:ascii="Noto Sans" w:hAnsi="Noto Sans" w:cs="Noto Sans"/>
          <w:sz w:val="20"/>
          <w:szCs w:val="20"/>
        </w:rPr>
      </w:pPr>
    </w:p>
    <w:p w14:paraId="5A214C16" w14:textId="09AE28E8" w:rsidR="0086486F" w:rsidRDefault="0086486F" w:rsidP="008D4CC6">
      <w:pPr>
        <w:jc w:val="both"/>
        <w:rPr>
          <w:rFonts w:ascii="Noto Sans" w:hAnsi="Noto Sans" w:cs="Noto Sans"/>
          <w:sz w:val="20"/>
          <w:szCs w:val="20"/>
        </w:rPr>
      </w:pPr>
      <w:r w:rsidRPr="0086486F">
        <w:rPr>
          <w:rFonts w:ascii="Noto Sans" w:hAnsi="Noto Sans" w:cs="Noto Sans"/>
          <w:sz w:val="20"/>
          <w:szCs w:val="20"/>
        </w:rPr>
        <w:t xml:space="preserve">Para los productos listados en el </w:t>
      </w:r>
      <w:r w:rsidRPr="0086486F">
        <w:rPr>
          <w:rFonts w:ascii="Noto Sans" w:hAnsi="Noto Sans" w:cs="Noto Sans"/>
          <w:b/>
          <w:bCs/>
          <w:sz w:val="20"/>
          <w:szCs w:val="20"/>
        </w:rPr>
        <w:t>Anexo I-B</w:t>
      </w:r>
      <w:r w:rsidRPr="0086486F">
        <w:rPr>
          <w:rFonts w:ascii="Noto Sans" w:hAnsi="Noto Sans" w:cs="Noto Sans"/>
          <w:sz w:val="20"/>
          <w:szCs w:val="20"/>
        </w:rPr>
        <w:t xml:space="preserve">, aplica una tasa preferencial del </w:t>
      </w:r>
      <w:r w:rsidRPr="0086486F">
        <w:rPr>
          <w:rFonts w:ascii="Noto Sans" w:hAnsi="Noto Sans" w:cs="Noto Sans"/>
          <w:b/>
          <w:bCs/>
          <w:sz w:val="20"/>
          <w:szCs w:val="20"/>
        </w:rPr>
        <w:t>15%</w:t>
      </w:r>
      <w:r w:rsidRPr="0086486F">
        <w:rPr>
          <w:rFonts w:ascii="Noto Sans" w:hAnsi="Noto Sans" w:cs="Noto Sans"/>
          <w:sz w:val="20"/>
          <w:szCs w:val="20"/>
        </w:rPr>
        <w:t xml:space="preserve"> (en lugar de la general del </w:t>
      </w:r>
      <w:r w:rsidRPr="0086486F">
        <w:rPr>
          <w:rFonts w:ascii="Noto Sans" w:hAnsi="Noto Sans" w:cs="Noto Sans"/>
          <w:b/>
          <w:bCs/>
          <w:sz w:val="20"/>
          <w:szCs w:val="20"/>
        </w:rPr>
        <w:t>25%</w:t>
      </w:r>
      <w:r w:rsidRPr="0086486F">
        <w:rPr>
          <w:rFonts w:ascii="Noto Sans" w:hAnsi="Noto Sans" w:cs="Noto Sans"/>
          <w:sz w:val="20"/>
          <w:szCs w:val="20"/>
        </w:rPr>
        <w:t>) bajo las mismas condiciones de origen para el aluminio o el acero.</w:t>
      </w:r>
    </w:p>
    <w:p w14:paraId="510FA1BD" w14:textId="77777777" w:rsidR="0086486F" w:rsidRDefault="0086486F" w:rsidP="008D4CC6">
      <w:pPr>
        <w:jc w:val="both"/>
        <w:rPr>
          <w:rFonts w:ascii="Noto Sans" w:hAnsi="Noto Sans" w:cs="Noto Sans"/>
          <w:sz w:val="20"/>
          <w:szCs w:val="20"/>
        </w:rPr>
      </w:pPr>
    </w:p>
    <w:p w14:paraId="638BA77F" w14:textId="18B6C041" w:rsidR="0086486F" w:rsidRPr="001B52DC" w:rsidRDefault="001B52DC" w:rsidP="008D4CC6">
      <w:pPr>
        <w:jc w:val="both"/>
        <w:rPr>
          <w:rFonts w:ascii="Noto Sans" w:hAnsi="Noto Sans" w:cs="Noto Sans"/>
          <w:sz w:val="20"/>
          <w:szCs w:val="20"/>
        </w:rPr>
      </w:pPr>
      <w:r>
        <w:rPr>
          <w:rFonts w:ascii="Noto Sans" w:hAnsi="Noto Sans" w:cs="Noto Sans"/>
          <w:sz w:val="20"/>
          <w:szCs w:val="20"/>
        </w:rPr>
        <w:t xml:space="preserve">(3)(b): </w:t>
      </w:r>
      <w:r>
        <w:rPr>
          <w:rFonts w:ascii="Noto Sans" w:hAnsi="Noto Sans" w:cs="Noto Sans"/>
          <w:i/>
          <w:iCs/>
          <w:sz w:val="20"/>
          <w:szCs w:val="20"/>
        </w:rPr>
        <w:t>“</w:t>
      </w:r>
      <w:r w:rsidRPr="001B52DC">
        <w:rPr>
          <w:rFonts w:ascii="Noto Sans" w:hAnsi="Noto Sans" w:cs="Noto Sans"/>
          <w:i/>
          <w:iCs/>
          <w:sz w:val="20"/>
          <w:szCs w:val="20"/>
        </w:rPr>
        <w:t>15 percent for aluminum or steel products of the United Kingdom, the aluminum content of which is composed entirely of aluminum that was smelted or most recently cast in the United Kingdom or the steel content of which is composed entirely of steel that was melted and poured in the United Kingdom;</w:t>
      </w:r>
      <w:r>
        <w:rPr>
          <w:rFonts w:ascii="Noto Sans" w:hAnsi="Noto Sans" w:cs="Noto Sans"/>
          <w:i/>
          <w:iCs/>
          <w:sz w:val="20"/>
          <w:szCs w:val="20"/>
        </w:rPr>
        <w:t>”</w:t>
      </w:r>
      <w:r>
        <w:rPr>
          <w:rFonts w:ascii="Noto Sans" w:hAnsi="Noto Sans" w:cs="Noto Sans"/>
          <w:sz w:val="20"/>
          <w:szCs w:val="20"/>
        </w:rPr>
        <w:t xml:space="preserve"> [Proclamación abril]</w:t>
      </w:r>
    </w:p>
    <w:p w14:paraId="5A4BFA81" w14:textId="77777777" w:rsidR="0086486F" w:rsidRPr="004129F1" w:rsidRDefault="0086486F" w:rsidP="008D4CC6">
      <w:pPr>
        <w:jc w:val="both"/>
        <w:rPr>
          <w:rFonts w:ascii="Noto Sans" w:hAnsi="Noto Sans" w:cs="Noto Sans"/>
          <w:sz w:val="20"/>
          <w:szCs w:val="20"/>
        </w:rPr>
      </w:pPr>
    </w:p>
    <w:p w14:paraId="74564474" w14:textId="5A864380" w:rsidR="00160DBE" w:rsidRPr="00160DBE" w:rsidRDefault="00160DBE" w:rsidP="00160DBE">
      <w:pPr>
        <w:jc w:val="both"/>
        <w:rPr>
          <w:rFonts w:ascii="Noto Sans" w:hAnsi="Noto Sans" w:cs="Noto Sans"/>
          <w:b/>
          <w:bCs/>
          <w:sz w:val="20"/>
          <w:szCs w:val="20"/>
        </w:rPr>
      </w:pPr>
      <w:r w:rsidRPr="00160DBE">
        <w:rPr>
          <w:rFonts w:ascii="Noto Sans" w:hAnsi="Noto Sans" w:cs="Noto Sans"/>
          <w:b/>
          <w:bCs/>
          <w:sz w:val="20"/>
          <w:szCs w:val="20"/>
        </w:rPr>
        <w:t xml:space="preserve">Regla de </w:t>
      </w:r>
      <w:r w:rsidRPr="004129F1">
        <w:rPr>
          <w:rFonts w:ascii="Noto Sans" w:hAnsi="Noto Sans" w:cs="Noto Sans"/>
          <w:b/>
          <w:bCs/>
          <w:sz w:val="20"/>
          <w:szCs w:val="20"/>
        </w:rPr>
        <w:t>Traslape</w:t>
      </w:r>
    </w:p>
    <w:p w14:paraId="5232557E" w14:textId="4782526A" w:rsidR="00160DBE" w:rsidRPr="004129F1" w:rsidRDefault="00160DBE" w:rsidP="00160DBE">
      <w:pPr>
        <w:jc w:val="both"/>
        <w:rPr>
          <w:rFonts w:ascii="Noto Sans" w:hAnsi="Noto Sans" w:cs="Noto Sans"/>
          <w:sz w:val="20"/>
          <w:szCs w:val="20"/>
        </w:rPr>
      </w:pPr>
      <w:r w:rsidRPr="00160DBE">
        <w:rPr>
          <w:rFonts w:ascii="Noto Sans" w:hAnsi="Noto Sans" w:cs="Noto Sans"/>
          <w:sz w:val="20"/>
          <w:szCs w:val="20"/>
        </w:rPr>
        <w:t xml:space="preserve">Aplicable únicamente a la Cláusula 2 (bienes del </w:t>
      </w:r>
      <w:r w:rsidRPr="00160DBE">
        <w:rPr>
          <w:rFonts w:ascii="Noto Sans" w:hAnsi="Noto Sans" w:cs="Noto Sans"/>
          <w:b/>
          <w:bCs/>
          <w:sz w:val="20"/>
          <w:szCs w:val="20"/>
        </w:rPr>
        <w:t>Anexo I-C</w:t>
      </w:r>
      <w:r w:rsidRPr="00160DBE">
        <w:rPr>
          <w:rFonts w:ascii="Noto Sans" w:hAnsi="Noto Sans" w:cs="Noto Sans"/>
          <w:sz w:val="20"/>
          <w:szCs w:val="20"/>
        </w:rPr>
        <w:t>): Si un producto encuadra en múltiples supuestos arancelarios, la autoridad aduanera está obligada a aplicar la tasa arancelaria más baja disponible.</w:t>
      </w:r>
    </w:p>
    <w:p w14:paraId="4476BD2C" w14:textId="77777777" w:rsidR="00160DBE" w:rsidRPr="00160DBE" w:rsidRDefault="00160DBE" w:rsidP="00160DBE">
      <w:pPr>
        <w:jc w:val="both"/>
        <w:rPr>
          <w:rFonts w:ascii="Noto Sans" w:hAnsi="Noto Sans" w:cs="Noto Sans"/>
          <w:sz w:val="20"/>
          <w:szCs w:val="20"/>
        </w:rPr>
      </w:pPr>
    </w:p>
    <w:p w14:paraId="7338A63F" w14:textId="5C3A8226" w:rsidR="00160DBE" w:rsidRPr="008302E9" w:rsidRDefault="008302E9" w:rsidP="008D4CC6">
      <w:pPr>
        <w:jc w:val="both"/>
        <w:rPr>
          <w:rFonts w:ascii="Noto Sans" w:hAnsi="Noto Sans" w:cs="Noto Sans"/>
          <w:sz w:val="20"/>
          <w:szCs w:val="20"/>
        </w:rPr>
      </w:pPr>
      <w:r>
        <w:rPr>
          <w:rFonts w:ascii="Noto Sans" w:hAnsi="Noto Sans" w:cs="Noto Sans"/>
          <w:sz w:val="20"/>
          <w:szCs w:val="20"/>
        </w:rPr>
        <w:t xml:space="preserve">(3)(b): </w:t>
      </w:r>
      <w:r w:rsidR="00160DBE" w:rsidRPr="00160DBE">
        <w:rPr>
          <w:rFonts w:ascii="Noto Sans" w:hAnsi="Noto Sans" w:cs="Noto Sans"/>
          <w:i/>
          <w:iCs/>
          <w:sz w:val="20"/>
          <w:szCs w:val="20"/>
        </w:rPr>
        <w:t xml:space="preserve">"If a product is subject to multiple rates of duty under clause (2) of this proclamation, the lowest </w:t>
      </w:r>
      <w:r w:rsidR="00160DBE" w:rsidRPr="00160DBE">
        <w:rPr>
          <w:rFonts w:ascii="Noto Sans" w:hAnsi="Noto Sans" w:cs="Noto Sans"/>
          <w:i/>
          <w:iCs/>
          <w:sz w:val="20"/>
          <w:szCs w:val="20"/>
        </w:rPr>
        <w:t>applicable rate of duty shall apply."</w:t>
      </w:r>
      <w:r>
        <w:rPr>
          <w:rFonts w:ascii="Noto Sans" w:hAnsi="Noto Sans" w:cs="Noto Sans"/>
          <w:sz w:val="20"/>
          <w:szCs w:val="20"/>
        </w:rPr>
        <w:t xml:space="preserve"> [Proclamación junio]</w:t>
      </w:r>
    </w:p>
    <w:p w14:paraId="39906A91" w14:textId="77777777" w:rsidR="00160DBE" w:rsidRPr="004129F1" w:rsidRDefault="00160DBE" w:rsidP="008D4CC6">
      <w:pPr>
        <w:jc w:val="both"/>
        <w:rPr>
          <w:rFonts w:ascii="Noto Sans" w:hAnsi="Noto Sans" w:cs="Noto Sans"/>
          <w:sz w:val="20"/>
          <w:szCs w:val="20"/>
        </w:rPr>
      </w:pPr>
    </w:p>
    <w:p w14:paraId="18146891" w14:textId="7E8D5D66" w:rsidR="00160DBE" w:rsidRPr="00160DBE" w:rsidRDefault="00160DBE" w:rsidP="00160DBE">
      <w:pPr>
        <w:jc w:val="both"/>
        <w:rPr>
          <w:rFonts w:ascii="Noto Sans" w:hAnsi="Noto Sans" w:cs="Noto Sans"/>
          <w:b/>
          <w:bCs/>
          <w:sz w:val="20"/>
          <w:szCs w:val="20"/>
        </w:rPr>
      </w:pPr>
      <w:r w:rsidRPr="004129F1">
        <w:rPr>
          <w:rFonts w:ascii="Noto Sans" w:hAnsi="Noto Sans" w:cs="Noto Sans"/>
          <w:b/>
          <w:bCs/>
          <w:sz w:val="20"/>
          <w:szCs w:val="20"/>
        </w:rPr>
        <w:t>Trato Preferencial</w:t>
      </w:r>
      <w:r w:rsidRPr="00160DBE">
        <w:rPr>
          <w:rFonts w:ascii="Noto Sans" w:hAnsi="Noto Sans" w:cs="Noto Sans"/>
          <w:b/>
          <w:bCs/>
          <w:sz w:val="20"/>
          <w:szCs w:val="20"/>
        </w:rPr>
        <w:t xml:space="preserve"> para Naciones Aliadas</w:t>
      </w:r>
    </w:p>
    <w:p w14:paraId="23B927B6" w14:textId="17E34BA6" w:rsidR="00160DBE" w:rsidRDefault="00160DBE" w:rsidP="00160DBE">
      <w:pPr>
        <w:jc w:val="both"/>
        <w:rPr>
          <w:rFonts w:ascii="Noto Sans" w:hAnsi="Noto Sans" w:cs="Noto Sans"/>
          <w:sz w:val="20"/>
          <w:szCs w:val="20"/>
        </w:rPr>
      </w:pPr>
      <w:r w:rsidRPr="00160DBE">
        <w:rPr>
          <w:rFonts w:ascii="Noto Sans" w:hAnsi="Noto Sans" w:cs="Noto Sans"/>
          <w:sz w:val="20"/>
          <w:szCs w:val="20"/>
        </w:rPr>
        <w:t xml:space="preserve">Los productos del </w:t>
      </w:r>
      <w:r w:rsidRPr="00160DBE">
        <w:rPr>
          <w:rFonts w:ascii="Noto Sans" w:hAnsi="Noto Sans" w:cs="Noto Sans"/>
          <w:b/>
          <w:bCs/>
          <w:sz w:val="20"/>
          <w:szCs w:val="20"/>
        </w:rPr>
        <w:t>Anexo I-C</w:t>
      </w:r>
      <w:r w:rsidRPr="00160DBE">
        <w:rPr>
          <w:rFonts w:ascii="Noto Sans" w:hAnsi="Noto Sans" w:cs="Noto Sans"/>
          <w:sz w:val="20"/>
          <w:szCs w:val="20"/>
        </w:rPr>
        <w:t xml:space="preserve"> originarios de Argentina, Ecuador, El Salvador, Guatemala, Japón, Corea del Sur, Liechtenstein, Suiza, Taiwán, Reino Unido o la Unión Europea reciben un techo arancelario combinado del </w:t>
      </w:r>
      <w:r w:rsidRPr="00160DBE">
        <w:rPr>
          <w:rFonts w:ascii="Noto Sans" w:hAnsi="Noto Sans" w:cs="Noto Sans"/>
          <w:b/>
          <w:bCs/>
          <w:sz w:val="20"/>
          <w:szCs w:val="20"/>
        </w:rPr>
        <w:t>15%</w:t>
      </w:r>
      <w:r w:rsidRPr="00160DBE">
        <w:rPr>
          <w:rFonts w:ascii="Noto Sans" w:hAnsi="Noto Sans" w:cs="Noto Sans"/>
          <w:sz w:val="20"/>
          <w:szCs w:val="20"/>
        </w:rPr>
        <w:t>.</w:t>
      </w:r>
    </w:p>
    <w:p w14:paraId="2E5BBA18" w14:textId="77777777" w:rsidR="008302E9" w:rsidRDefault="008302E9" w:rsidP="00160DBE">
      <w:pPr>
        <w:jc w:val="both"/>
        <w:rPr>
          <w:rFonts w:ascii="Noto Sans" w:hAnsi="Noto Sans" w:cs="Noto Sans"/>
          <w:sz w:val="20"/>
          <w:szCs w:val="20"/>
        </w:rPr>
      </w:pPr>
    </w:p>
    <w:p w14:paraId="43DC2847" w14:textId="77777777" w:rsidR="003F002C" w:rsidRPr="003F002C" w:rsidRDefault="003F002C" w:rsidP="003F002C">
      <w:pPr>
        <w:jc w:val="both"/>
        <w:rPr>
          <w:rFonts w:ascii="Noto Sans" w:hAnsi="Noto Sans" w:cs="Noto Sans"/>
          <w:sz w:val="20"/>
          <w:szCs w:val="20"/>
        </w:rPr>
      </w:pPr>
      <m:oMathPara>
        <m:oMath>
          <m:r>
            <m:rPr>
              <m:sty m:val="p"/>
            </m:rPr>
            <w:rPr>
              <w:rFonts w:ascii="Cambria Math" w:hAnsi="Cambria Math" w:cs="Noto Sans"/>
              <w:sz w:val="20"/>
              <w:szCs w:val="20"/>
            </w:rPr>
            <m:t>max⁡</m:t>
          </m:r>
          <m:r>
            <w:rPr>
              <w:rFonts w:ascii="Cambria Math" w:hAnsi="Cambria Math" w:cs="Noto Sans"/>
              <w:sz w:val="20"/>
              <w:szCs w:val="20"/>
            </w:rPr>
            <m:t>{0,</m:t>
          </m:r>
          <m:d>
            <m:dPr>
              <m:ctrlPr>
                <w:rPr>
                  <w:rFonts w:ascii="Cambria Math" w:hAnsi="Cambria Math" w:cs="Noto Sans"/>
                  <w:i/>
                  <w:sz w:val="20"/>
                  <w:szCs w:val="20"/>
                </w:rPr>
              </m:ctrlPr>
            </m:dPr>
            <m:e>
              <m:r>
                <w:rPr>
                  <w:rFonts w:ascii="Cambria Math" w:hAnsi="Cambria Math" w:cs="Noto Sans"/>
                  <w:sz w:val="20"/>
                  <w:szCs w:val="20"/>
                </w:rPr>
                <m:t>15%-Column 1 Rate</m:t>
              </m:r>
            </m:e>
          </m:d>
          <m:r>
            <w:rPr>
              <w:rFonts w:ascii="Cambria Math" w:hAnsi="Cambria Math" w:cs="Noto Sans"/>
              <w:sz w:val="20"/>
              <w:szCs w:val="20"/>
            </w:rPr>
            <m:t>}</m:t>
          </m:r>
        </m:oMath>
      </m:oMathPara>
    </w:p>
    <w:p w14:paraId="13831149" w14:textId="77777777" w:rsidR="00160DBE" w:rsidRPr="00160DBE" w:rsidRDefault="00160DBE" w:rsidP="00160DBE">
      <w:pPr>
        <w:jc w:val="both"/>
        <w:rPr>
          <w:rFonts w:ascii="Noto Sans" w:hAnsi="Noto Sans" w:cs="Noto Sans"/>
          <w:sz w:val="20"/>
          <w:szCs w:val="20"/>
        </w:rPr>
      </w:pPr>
    </w:p>
    <w:p w14:paraId="177061C0" w14:textId="65120C0C" w:rsidR="008D4CC6" w:rsidRPr="008302E9" w:rsidRDefault="00160DBE" w:rsidP="008D4CC6">
      <w:pPr>
        <w:jc w:val="both"/>
        <w:rPr>
          <w:rFonts w:ascii="Noto Sans" w:hAnsi="Noto Sans" w:cs="Noto Sans"/>
          <w:sz w:val="20"/>
          <w:szCs w:val="20"/>
        </w:rPr>
      </w:pPr>
      <w:r w:rsidRPr="00160DBE">
        <w:rPr>
          <w:rFonts w:ascii="Noto Sans" w:hAnsi="Noto Sans" w:cs="Noto Sans"/>
          <w:i/>
          <w:iCs/>
          <w:sz w:val="20"/>
          <w:szCs w:val="20"/>
        </w:rPr>
        <w:t>"For products of Argentina, Ecuador, El Salvador, Guatemala, Japan, the Republic of Korea, Liechtenstein, Switzerland, Taiwan, the United Kingdom, or a member nation of the European Union... For products of these jurisdictions with a Column 1 Duty Rate that is less than 15 percent, the sum of the Column 1 Duty Rate and the additional section 232 ad valorem rate of duty pursuant to this clause, shall be 15 percent."</w:t>
      </w:r>
      <w:r w:rsidR="008302E9">
        <w:rPr>
          <w:rFonts w:ascii="Noto Sans" w:hAnsi="Noto Sans" w:cs="Noto Sans"/>
          <w:sz w:val="20"/>
          <w:szCs w:val="20"/>
        </w:rPr>
        <w:t xml:space="preserve"> [Proclamación junio]</w:t>
      </w:r>
    </w:p>
    <w:p w14:paraId="1EA96535" w14:textId="77777777" w:rsidR="00160DBE" w:rsidRPr="004129F1" w:rsidRDefault="00160DBE" w:rsidP="00160DBE">
      <w:pPr>
        <w:jc w:val="both"/>
        <w:rPr>
          <w:rFonts w:ascii="Noto Sans" w:hAnsi="Noto Sans" w:cs="Noto Sans"/>
          <w:b/>
          <w:bCs/>
          <w:sz w:val="20"/>
          <w:szCs w:val="20"/>
        </w:rPr>
      </w:pPr>
    </w:p>
    <w:p w14:paraId="71F135B5" w14:textId="77777777" w:rsidR="004129F1" w:rsidRPr="004129F1" w:rsidRDefault="004129F1" w:rsidP="004129F1">
      <w:pPr>
        <w:jc w:val="both"/>
        <w:rPr>
          <w:rFonts w:ascii="Noto Sans" w:hAnsi="Noto Sans" w:cs="Noto Sans"/>
          <w:b/>
          <w:bCs/>
          <w:sz w:val="20"/>
          <w:szCs w:val="20"/>
        </w:rPr>
      </w:pPr>
      <w:r w:rsidRPr="004129F1">
        <w:rPr>
          <w:rFonts w:ascii="Noto Sans" w:hAnsi="Noto Sans" w:cs="Noto Sans"/>
          <w:b/>
          <w:bCs/>
          <w:sz w:val="20"/>
          <w:szCs w:val="20"/>
        </w:rPr>
        <w:t>Mecanismo de Desglose T-MEC</w:t>
      </w:r>
    </w:p>
    <w:p w14:paraId="7B0007E9" w14:textId="553BCB40" w:rsidR="004129F1" w:rsidRPr="004129F1" w:rsidRDefault="004129F1" w:rsidP="004129F1">
      <w:pPr>
        <w:jc w:val="both"/>
        <w:rPr>
          <w:rFonts w:ascii="Noto Sans" w:hAnsi="Noto Sans" w:cs="Noto Sans"/>
          <w:sz w:val="20"/>
          <w:szCs w:val="20"/>
        </w:rPr>
      </w:pPr>
      <w:r w:rsidRPr="004129F1">
        <w:rPr>
          <w:rFonts w:ascii="Noto Sans" w:hAnsi="Noto Sans" w:cs="Noto Sans"/>
          <w:sz w:val="20"/>
          <w:szCs w:val="20"/>
        </w:rPr>
        <w:t xml:space="preserve">Para los bienes originarios de México y Canadá que califiquen para trato preferencial bajo el T-MEC (específicamente artículos derivados de acero del Anexo I-C), el arancel del </w:t>
      </w:r>
      <w:r w:rsidRPr="00B94785">
        <w:rPr>
          <w:rFonts w:ascii="Noto Sans" w:hAnsi="Noto Sans" w:cs="Noto Sans"/>
          <w:b/>
          <w:bCs/>
          <w:sz w:val="20"/>
          <w:szCs w:val="20"/>
        </w:rPr>
        <w:t>25%</w:t>
      </w:r>
      <w:r w:rsidRPr="004129F1">
        <w:rPr>
          <w:rFonts w:ascii="Noto Sans" w:hAnsi="Noto Sans" w:cs="Noto Sans"/>
          <w:sz w:val="20"/>
          <w:szCs w:val="20"/>
        </w:rPr>
        <w:t xml:space="preserve"> de la Sección 232 se aplicará de manera seccionada sobre el valor del producto:</w:t>
      </w:r>
    </w:p>
    <w:p w14:paraId="6B5C222A" w14:textId="74504BD6" w:rsidR="004129F1" w:rsidRPr="004129F1" w:rsidRDefault="008302E9" w:rsidP="004129F1">
      <w:pPr>
        <w:jc w:val="both"/>
        <w:rPr>
          <w:rFonts w:ascii="Noto Sans" w:hAnsi="Noto Sans" w:cs="Noto Sans"/>
          <w:sz w:val="20"/>
          <w:szCs w:val="20"/>
        </w:rPr>
      </w:pPr>
      <w:r>
        <w:rPr>
          <w:rFonts w:ascii="Noto Sans" w:hAnsi="Noto Sans" w:cs="Noto Sans"/>
          <w:sz w:val="20"/>
          <w:szCs w:val="20"/>
        </w:rPr>
        <w:t xml:space="preserve">1. </w:t>
      </w:r>
      <w:r w:rsidR="004129F1" w:rsidRPr="004129F1">
        <w:rPr>
          <w:rFonts w:ascii="Noto Sans" w:hAnsi="Noto Sans" w:cs="Noto Sans"/>
          <w:sz w:val="20"/>
          <w:szCs w:val="20"/>
        </w:rPr>
        <w:t xml:space="preserve">El </w:t>
      </w:r>
      <w:r w:rsidR="004129F1" w:rsidRPr="00B94785">
        <w:rPr>
          <w:rFonts w:ascii="Noto Sans" w:hAnsi="Noto Sans" w:cs="Noto Sans"/>
          <w:b/>
          <w:bCs/>
          <w:sz w:val="20"/>
          <w:szCs w:val="20"/>
        </w:rPr>
        <w:t>25%</w:t>
      </w:r>
      <w:r w:rsidR="004129F1" w:rsidRPr="004129F1">
        <w:rPr>
          <w:rFonts w:ascii="Noto Sans" w:hAnsi="Noto Sans" w:cs="Noto Sans"/>
          <w:sz w:val="20"/>
          <w:szCs w:val="20"/>
        </w:rPr>
        <w:t xml:space="preserve"> de arancel adicional aplica sobre el valor total del </w:t>
      </w:r>
      <w:r w:rsidR="004129F1" w:rsidRPr="00B94785">
        <w:rPr>
          <w:rFonts w:ascii="Noto Sans" w:hAnsi="Noto Sans" w:cs="Noto Sans"/>
          <w:b/>
          <w:bCs/>
          <w:sz w:val="20"/>
          <w:szCs w:val="20"/>
        </w:rPr>
        <w:t>contenido no estadounidense</w:t>
      </w:r>
      <w:r w:rsidR="004129F1" w:rsidRPr="004129F1">
        <w:rPr>
          <w:rFonts w:ascii="Noto Sans" w:hAnsi="Noto Sans" w:cs="Noto Sans"/>
          <w:sz w:val="20"/>
          <w:szCs w:val="20"/>
        </w:rPr>
        <w:t xml:space="preserve">. </w:t>
      </w:r>
    </w:p>
    <w:p w14:paraId="7877C271" w14:textId="04D028F6" w:rsidR="004129F1" w:rsidRPr="004129F1" w:rsidRDefault="008302E9" w:rsidP="004129F1">
      <w:pPr>
        <w:jc w:val="both"/>
        <w:rPr>
          <w:rFonts w:ascii="Noto Sans" w:hAnsi="Noto Sans" w:cs="Noto Sans"/>
          <w:sz w:val="20"/>
          <w:szCs w:val="20"/>
        </w:rPr>
      </w:pPr>
      <w:r>
        <w:rPr>
          <w:rFonts w:ascii="Noto Sans" w:hAnsi="Noto Sans" w:cs="Noto Sans"/>
          <w:sz w:val="20"/>
          <w:szCs w:val="20"/>
        </w:rPr>
        <w:t xml:space="preserve">2. </w:t>
      </w:r>
      <w:r w:rsidR="004129F1" w:rsidRPr="004129F1">
        <w:rPr>
          <w:rFonts w:ascii="Noto Sans" w:hAnsi="Noto Sans" w:cs="Noto Sans"/>
          <w:sz w:val="20"/>
          <w:szCs w:val="20"/>
        </w:rPr>
        <w:t xml:space="preserve">Sobre el contenido estadounidense, la porción que represente hasta el </w:t>
      </w:r>
      <w:r w:rsidR="004129F1" w:rsidRPr="00B94785">
        <w:rPr>
          <w:rFonts w:ascii="Noto Sans" w:hAnsi="Noto Sans" w:cs="Noto Sans"/>
          <w:b/>
          <w:bCs/>
          <w:sz w:val="20"/>
          <w:szCs w:val="20"/>
        </w:rPr>
        <w:t>40%</w:t>
      </w:r>
      <w:r w:rsidR="004129F1" w:rsidRPr="004129F1">
        <w:rPr>
          <w:rFonts w:ascii="Noto Sans" w:hAnsi="Noto Sans" w:cs="Noto Sans"/>
          <w:sz w:val="20"/>
          <w:szCs w:val="20"/>
        </w:rPr>
        <w:t xml:space="preserve"> del valor total del producto queda exenta del arancel. Si el contenido estadounidense supera el 40% del valor total, la porción excedente sí paga el </w:t>
      </w:r>
      <w:r w:rsidR="004129F1" w:rsidRPr="00B94785">
        <w:rPr>
          <w:rFonts w:ascii="Noto Sans" w:hAnsi="Noto Sans" w:cs="Noto Sans"/>
          <w:b/>
          <w:bCs/>
          <w:sz w:val="20"/>
          <w:szCs w:val="20"/>
        </w:rPr>
        <w:t>25%</w:t>
      </w:r>
      <w:r w:rsidR="004129F1" w:rsidRPr="004129F1">
        <w:rPr>
          <w:rFonts w:ascii="Noto Sans" w:hAnsi="Noto Sans" w:cs="Noto Sans"/>
          <w:sz w:val="20"/>
          <w:szCs w:val="20"/>
        </w:rPr>
        <w:t xml:space="preserve"> de arancel.</w:t>
      </w:r>
    </w:p>
    <w:p w14:paraId="256B637C" w14:textId="3E7EDC9E" w:rsidR="004129F1" w:rsidRPr="004129F1" w:rsidRDefault="008302E9" w:rsidP="004129F1">
      <w:pPr>
        <w:jc w:val="both"/>
        <w:rPr>
          <w:rFonts w:ascii="Noto Sans" w:hAnsi="Noto Sans" w:cs="Noto Sans"/>
          <w:sz w:val="20"/>
          <w:szCs w:val="20"/>
        </w:rPr>
      </w:pPr>
      <w:r>
        <w:rPr>
          <w:rFonts w:ascii="Noto Sans" w:hAnsi="Noto Sans" w:cs="Noto Sans"/>
          <w:sz w:val="20"/>
          <w:szCs w:val="20"/>
        </w:rPr>
        <w:t xml:space="preserve">3. </w:t>
      </w:r>
      <w:r w:rsidR="004129F1" w:rsidRPr="004129F1">
        <w:rPr>
          <w:rFonts w:ascii="Noto Sans" w:hAnsi="Noto Sans" w:cs="Noto Sans"/>
          <w:sz w:val="20"/>
          <w:szCs w:val="20"/>
        </w:rPr>
        <w:t xml:space="preserve">Restricción de piso mínimo: Sin importar el resultado matemático del desglose de contenido anterior, el arancel efectivo total cobrado sobre el producto importado nunca podrá ser inferior al </w:t>
      </w:r>
      <w:r w:rsidR="004129F1" w:rsidRPr="00B94785">
        <w:rPr>
          <w:rFonts w:ascii="Noto Sans" w:hAnsi="Noto Sans" w:cs="Noto Sans"/>
          <w:b/>
          <w:bCs/>
          <w:sz w:val="20"/>
          <w:szCs w:val="20"/>
        </w:rPr>
        <w:t>15% ad valorem</w:t>
      </w:r>
      <w:r w:rsidR="004129F1" w:rsidRPr="004129F1">
        <w:rPr>
          <w:rFonts w:ascii="Noto Sans" w:hAnsi="Noto Sans" w:cs="Noto Sans"/>
          <w:sz w:val="20"/>
          <w:szCs w:val="20"/>
        </w:rPr>
        <w:t>.</w:t>
      </w:r>
    </w:p>
    <w:p w14:paraId="662D0DB8" w14:textId="77777777" w:rsidR="00160DBE" w:rsidRPr="00160DBE" w:rsidRDefault="00160DBE" w:rsidP="00160DBE">
      <w:pPr>
        <w:jc w:val="both"/>
        <w:rPr>
          <w:rFonts w:ascii="Noto Sans" w:hAnsi="Noto Sans" w:cs="Noto Sans"/>
          <w:sz w:val="20"/>
          <w:szCs w:val="20"/>
        </w:rPr>
      </w:pPr>
    </w:p>
    <w:p w14:paraId="6E4E1D99" w14:textId="3AF7CF19" w:rsidR="004129F1" w:rsidRPr="0086486F" w:rsidRDefault="008302E9" w:rsidP="004129F1">
      <w:pPr>
        <w:jc w:val="both"/>
        <w:rPr>
          <w:rFonts w:ascii="Noto Sans" w:hAnsi="Noto Sans" w:cs="Noto Sans"/>
          <w:sz w:val="20"/>
          <w:szCs w:val="20"/>
        </w:rPr>
      </w:pPr>
      <w:r>
        <w:rPr>
          <w:rFonts w:ascii="Noto Sans" w:hAnsi="Noto Sans" w:cs="Noto Sans"/>
          <w:sz w:val="20"/>
          <w:szCs w:val="20"/>
        </w:rPr>
        <w:t xml:space="preserve">(2)(d): </w:t>
      </w:r>
      <w:r w:rsidR="004129F1" w:rsidRPr="004129F1">
        <w:rPr>
          <w:rFonts w:ascii="Noto Sans" w:hAnsi="Noto Sans" w:cs="Noto Sans"/>
          <w:i/>
          <w:iCs/>
          <w:sz w:val="20"/>
          <w:szCs w:val="20"/>
        </w:rPr>
        <w:t xml:space="preserve">"For products of Canada and Mexico that qualify for preferential tariff treatment under the United States-Mexico-Canada Agreement, a duty of 25 </w:t>
      </w:r>
      <w:r w:rsidR="004129F1" w:rsidRPr="004129F1">
        <w:rPr>
          <w:rFonts w:ascii="Noto Sans" w:hAnsi="Noto Sans" w:cs="Noto Sans"/>
          <w:i/>
          <w:iCs/>
          <w:sz w:val="20"/>
          <w:szCs w:val="20"/>
        </w:rPr>
        <w:lastRenderedPageBreak/>
        <w:t>percent shall apply only to the non-U.S. content of the product... Notwithstanding the foregoing, the total effective duty on the imported product assessed under this subclause shall not be less than 15 percent ad valorem..."</w:t>
      </w:r>
      <w:r w:rsidR="0086486F">
        <w:rPr>
          <w:rFonts w:ascii="Noto Sans" w:hAnsi="Noto Sans" w:cs="Noto Sans"/>
          <w:sz w:val="20"/>
          <w:szCs w:val="20"/>
        </w:rPr>
        <w:t xml:space="preserve"> [Proclamación junio]</w:t>
      </w:r>
    </w:p>
    <w:p w14:paraId="6CE39942" w14:textId="77777777" w:rsidR="004129F1" w:rsidRPr="004129F1" w:rsidRDefault="004129F1" w:rsidP="004129F1">
      <w:pPr>
        <w:jc w:val="both"/>
        <w:rPr>
          <w:rFonts w:ascii="Noto Sans" w:hAnsi="Noto Sans" w:cs="Noto Sans"/>
          <w:sz w:val="20"/>
          <w:szCs w:val="20"/>
        </w:rPr>
      </w:pPr>
    </w:p>
    <w:p w14:paraId="151AFA16" w14:textId="5758E2FD" w:rsidR="004129F1" w:rsidRPr="0086486F" w:rsidRDefault="0086486F" w:rsidP="004129F1">
      <w:pPr>
        <w:jc w:val="both"/>
        <w:rPr>
          <w:rFonts w:ascii="Noto Sans" w:hAnsi="Noto Sans" w:cs="Noto Sans"/>
          <w:sz w:val="20"/>
          <w:szCs w:val="20"/>
        </w:rPr>
      </w:pPr>
      <w:r w:rsidRPr="0086486F">
        <w:rPr>
          <w:rFonts w:ascii="Noto Sans" w:hAnsi="Noto Sans" w:cs="Noto Sans"/>
          <w:sz w:val="20"/>
          <w:szCs w:val="20"/>
        </w:rPr>
        <w:t>(4)(j):</w:t>
      </w:r>
      <w:r>
        <w:rPr>
          <w:rFonts w:ascii="Noto Sans" w:hAnsi="Noto Sans" w:cs="Noto Sans"/>
          <w:i/>
          <w:iCs/>
          <w:sz w:val="20"/>
          <w:szCs w:val="20"/>
        </w:rPr>
        <w:t xml:space="preserve"> </w:t>
      </w:r>
      <w:r w:rsidR="004129F1" w:rsidRPr="004129F1">
        <w:rPr>
          <w:rFonts w:ascii="Noto Sans" w:hAnsi="Noto Sans" w:cs="Noto Sans"/>
          <w:i/>
          <w:iCs/>
          <w:sz w:val="20"/>
          <w:szCs w:val="20"/>
        </w:rPr>
        <w:t>"Heading 9903.82.20 applies to the non-U.S. content of such derivative steel articles and to U.S. content that exceeds 40 percent of the value of such derivative steel articles. Heading 9903.82.21 applies to the U.S. content that does not exceed 40 percent of the value of such derivative steel articles."</w:t>
      </w:r>
      <w:r>
        <w:rPr>
          <w:rFonts w:ascii="Noto Sans" w:hAnsi="Noto Sans" w:cs="Noto Sans"/>
          <w:sz w:val="20"/>
          <w:szCs w:val="20"/>
        </w:rPr>
        <w:t xml:space="preserve"> [Anexo IV]</w:t>
      </w:r>
    </w:p>
    <w:p w14:paraId="35ED7AB3" w14:textId="77777777" w:rsidR="00C90039" w:rsidRPr="004129F1" w:rsidRDefault="00C90039" w:rsidP="008D4CC6">
      <w:pPr>
        <w:jc w:val="both"/>
        <w:rPr>
          <w:rFonts w:ascii="Noto Sans" w:hAnsi="Noto Sans" w:cs="Noto Sans"/>
          <w:i/>
          <w:iCs/>
          <w:sz w:val="20"/>
          <w:szCs w:val="20"/>
        </w:rPr>
      </w:pPr>
    </w:p>
    <w:p w14:paraId="7C33FFC4" w14:textId="75D74880" w:rsidR="00C90039" w:rsidRPr="00C90039" w:rsidRDefault="00C90039" w:rsidP="00C90039">
      <w:pPr>
        <w:jc w:val="both"/>
        <w:rPr>
          <w:rFonts w:ascii="Noto Sans" w:hAnsi="Noto Sans" w:cs="Noto Sans"/>
          <w:b/>
          <w:bCs/>
          <w:sz w:val="20"/>
          <w:szCs w:val="20"/>
        </w:rPr>
      </w:pPr>
      <w:r w:rsidRPr="00C90039">
        <w:rPr>
          <w:rFonts w:ascii="Noto Sans" w:hAnsi="Noto Sans" w:cs="Noto Sans"/>
          <w:b/>
          <w:bCs/>
          <w:sz w:val="20"/>
          <w:szCs w:val="20"/>
        </w:rPr>
        <w:t>Exención Motocicletas (Anexo I</w:t>
      </w:r>
      <w:r w:rsidRPr="004129F1">
        <w:rPr>
          <w:rFonts w:ascii="Noto Sans" w:hAnsi="Noto Sans" w:cs="Noto Sans"/>
          <w:b/>
          <w:bCs/>
          <w:sz w:val="20"/>
          <w:szCs w:val="20"/>
        </w:rPr>
        <w:t>-B</w:t>
      </w:r>
      <w:r w:rsidRPr="00C90039">
        <w:rPr>
          <w:rFonts w:ascii="Noto Sans" w:hAnsi="Noto Sans" w:cs="Noto Sans"/>
          <w:b/>
          <w:bCs/>
          <w:sz w:val="20"/>
          <w:szCs w:val="20"/>
        </w:rPr>
        <w:t>)</w:t>
      </w:r>
    </w:p>
    <w:p w14:paraId="6AA5F910" w14:textId="63EF8556" w:rsidR="00C90039" w:rsidRPr="004129F1" w:rsidRDefault="00C90039" w:rsidP="00C90039">
      <w:pPr>
        <w:jc w:val="both"/>
        <w:rPr>
          <w:rFonts w:ascii="Noto Sans" w:hAnsi="Noto Sans" w:cs="Noto Sans"/>
          <w:sz w:val="20"/>
          <w:szCs w:val="20"/>
        </w:rPr>
      </w:pPr>
      <w:r w:rsidRPr="00C90039">
        <w:rPr>
          <w:rFonts w:ascii="Noto Sans" w:hAnsi="Noto Sans" w:cs="Noto Sans"/>
          <w:sz w:val="20"/>
          <w:szCs w:val="20"/>
        </w:rPr>
        <w:t xml:space="preserve">Cualquier parte clasificable en los capítulos </w:t>
      </w:r>
      <w:r w:rsidRPr="005C36E0">
        <w:rPr>
          <w:rFonts w:ascii="Noto Sans" w:hAnsi="Noto Sans" w:cs="Noto Sans"/>
          <w:b/>
          <w:bCs/>
          <w:sz w:val="20"/>
          <w:szCs w:val="20"/>
        </w:rPr>
        <w:t>84, 85 u 87</w:t>
      </w:r>
      <w:r w:rsidRPr="00C90039">
        <w:rPr>
          <w:rFonts w:ascii="Noto Sans" w:hAnsi="Noto Sans" w:cs="Noto Sans"/>
          <w:sz w:val="20"/>
          <w:szCs w:val="20"/>
        </w:rPr>
        <w:t xml:space="preserve"> del HTSUS e incluida en el Anexo I-B, quedará totalmente exenta del pago de la Sec. 232 si se importa exclusivamente para la manufactura de motocicletas. </w:t>
      </w:r>
    </w:p>
    <w:p w14:paraId="51CE32B7" w14:textId="77777777" w:rsidR="00C90039" w:rsidRPr="00C90039" w:rsidRDefault="00C90039" w:rsidP="00C90039">
      <w:pPr>
        <w:jc w:val="both"/>
        <w:rPr>
          <w:rFonts w:ascii="Noto Sans" w:hAnsi="Noto Sans" w:cs="Noto Sans"/>
          <w:sz w:val="20"/>
          <w:szCs w:val="20"/>
        </w:rPr>
      </w:pPr>
    </w:p>
    <w:p w14:paraId="7C50D05F" w14:textId="586E3645" w:rsidR="00C90039" w:rsidRPr="005C36E0" w:rsidRDefault="00C90039" w:rsidP="00C90039">
      <w:pPr>
        <w:jc w:val="both"/>
        <w:rPr>
          <w:rFonts w:ascii="Noto Sans" w:hAnsi="Noto Sans" w:cs="Noto Sans"/>
          <w:sz w:val="20"/>
          <w:szCs w:val="20"/>
        </w:rPr>
      </w:pPr>
      <w:r w:rsidRPr="00C90039">
        <w:rPr>
          <w:rFonts w:ascii="Noto Sans" w:hAnsi="Noto Sans" w:cs="Noto Sans"/>
          <w:i/>
          <w:iCs/>
          <w:sz w:val="20"/>
          <w:szCs w:val="20"/>
        </w:rPr>
        <w:t>"</w:t>
      </w:r>
      <w:r w:rsidR="005C36E0">
        <w:rPr>
          <w:rFonts w:ascii="Noto Sans" w:hAnsi="Noto Sans" w:cs="Noto Sans"/>
          <w:i/>
          <w:iCs/>
          <w:sz w:val="20"/>
          <w:szCs w:val="20"/>
        </w:rPr>
        <w:t xml:space="preserve">Note: […] </w:t>
      </w:r>
      <w:r w:rsidRPr="00C90039">
        <w:rPr>
          <w:rFonts w:ascii="Noto Sans" w:hAnsi="Noto Sans" w:cs="Noto Sans"/>
          <w:i/>
          <w:iCs/>
          <w:sz w:val="20"/>
          <w:szCs w:val="20"/>
        </w:rPr>
        <w:t>In addition, any motorcycle part classifiable in chapters 84, 85 or 87 of the Harmonized Tariff Schedule of the United States and listed in Annex 1-B to this proclamation shall not be subject to Section 232 aluminum, steel or copper tariffs when imported exclusively for use in the manufacturing of motorcycles.</w:t>
      </w:r>
      <w:r w:rsidR="005C36E0" w:rsidRPr="00C90039">
        <w:rPr>
          <w:rFonts w:ascii="Noto Sans" w:hAnsi="Noto Sans" w:cs="Noto Sans"/>
          <w:i/>
          <w:iCs/>
          <w:sz w:val="20"/>
          <w:szCs w:val="20"/>
        </w:rPr>
        <w:t xml:space="preserve"> </w:t>
      </w:r>
      <w:r w:rsidRPr="00C90039">
        <w:rPr>
          <w:rFonts w:ascii="Noto Sans" w:hAnsi="Noto Sans" w:cs="Noto Sans"/>
          <w:i/>
          <w:iCs/>
          <w:sz w:val="20"/>
          <w:szCs w:val="20"/>
        </w:rPr>
        <w:t>"</w:t>
      </w:r>
      <w:r w:rsidR="005C36E0">
        <w:rPr>
          <w:rFonts w:ascii="Noto Sans" w:hAnsi="Noto Sans" w:cs="Noto Sans"/>
          <w:sz w:val="20"/>
          <w:szCs w:val="20"/>
        </w:rPr>
        <w:t xml:space="preserve"> [Anexo II]</w:t>
      </w:r>
    </w:p>
    <w:p w14:paraId="5AB5AB77" w14:textId="77777777" w:rsidR="001B52DC" w:rsidRPr="005C36E0" w:rsidRDefault="001B52DC" w:rsidP="00C90039">
      <w:pPr>
        <w:jc w:val="both"/>
        <w:rPr>
          <w:rFonts w:ascii="Noto Sans" w:hAnsi="Noto Sans" w:cs="Noto Sans"/>
          <w:sz w:val="20"/>
          <w:szCs w:val="20"/>
          <w:u w:val="single"/>
        </w:rPr>
      </w:pPr>
    </w:p>
    <w:p w14:paraId="12F5623C" w14:textId="77777777" w:rsidR="001B52DC" w:rsidRDefault="001B52DC" w:rsidP="001B52DC">
      <w:pPr>
        <w:jc w:val="both"/>
        <w:rPr>
          <w:rFonts w:ascii="Noto Sans" w:hAnsi="Noto Sans" w:cs="Noto Sans"/>
          <w:sz w:val="20"/>
          <w:szCs w:val="20"/>
        </w:rPr>
      </w:pPr>
      <w:r w:rsidRPr="001B52DC">
        <w:rPr>
          <w:rFonts w:ascii="Noto Sans" w:hAnsi="Noto Sans" w:cs="Noto Sans"/>
          <w:b/>
          <w:bCs/>
          <w:sz w:val="20"/>
          <w:szCs w:val="20"/>
        </w:rPr>
        <w:t>Castigo arancelario a Rusia</w:t>
      </w:r>
    </w:p>
    <w:p w14:paraId="3C908C05" w14:textId="16D560F5" w:rsidR="001B52DC" w:rsidRPr="001B52DC" w:rsidRDefault="001B52DC" w:rsidP="001B52DC">
      <w:pPr>
        <w:jc w:val="both"/>
        <w:rPr>
          <w:rFonts w:ascii="Noto Sans" w:hAnsi="Noto Sans" w:cs="Noto Sans"/>
          <w:sz w:val="20"/>
          <w:szCs w:val="20"/>
        </w:rPr>
      </w:pPr>
      <w:r w:rsidRPr="001B52DC">
        <w:rPr>
          <w:rFonts w:ascii="Noto Sans" w:hAnsi="Noto Sans" w:cs="Noto Sans"/>
          <w:sz w:val="20"/>
          <w:szCs w:val="20"/>
        </w:rPr>
        <w:t xml:space="preserve">Cualquier artículo de los </w:t>
      </w:r>
      <w:r w:rsidRPr="001B52DC">
        <w:rPr>
          <w:rFonts w:ascii="Noto Sans" w:hAnsi="Noto Sans" w:cs="Noto Sans"/>
          <w:b/>
          <w:bCs/>
          <w:sz w:val="20"/>
          <w:szCs w:val="20"/>
        </w:rPr>
        <w:t>Anexos I-A, I-B o III</w:t>
      </w:r>
      <w:r w:rsidRPr="001B52DC">
        <w:rPr>
          <w:rFonts w:ascii="Noto Sans" w:hAnsi="Noto Sans" w:cs="Noto Sans"/>
          <w:sz w:val="20"/>
          <w:szCs w:val="20"/>
        </w:rPr>
        <w:t xml:space="preserve"> que sea producto de </w:t>
      </w:r>
      <w:r w:rsidRPr="001B52DC">
        <w:rPr>
          <w:rFonts w:ascii="Noto Sans" w:hAnsi="Noto Sans" w:cs="Noto Sans"/>
          <w:b/>
          <w:bCs/>
          <w:sz w:val="20"/>
          <w:szCs w:val="20"/>
        </w:rPr>
        <w:t>Rusia</w:t>
      </w:r>
      <w:r w:rsidRPr="001B52DC">
        <w:rPr>
          <w:rFonts w:ascii="Noto Sans" w:hAnsi="Noto Sans" w:cs="Noto Sans"/>
          <w:sz w:val="20"/>
          <w:szCs w:val="20"/>
        </w:rPr>
        <w:t xml:space="preserve">, o donde cualquier cantidad del aluminio primario sea fundido o moldeado en Rusia, está sujeto a un arancel del </w:t>
      </w:r>
      <w:r w:rsidRPr="001B52DC">
        <w:rPr>
          <w:rFonts w:ascii="Noto Sans" w:hAnsi="Noto Sans" w:cs="Noto Sans"/>
          <w:b/>
          <w:bCs/>
          <w:sz w:val="20"/>
          <w:szCs w:val="20"/>
        </w:rPr>
        <w:t>200%</w:t>
      </w:r>
      <w:r w:rsidRPr="001B52DC">
        <w:rPr>
          <w:rFonts w:ascii="Noto Sans" w:hAnsi="Noto Sans" w:cs="Noto Sans"/>
          <w:sz w:val="20"/>
          <w:szCs w:val="20"/>
        </w:rPr>
        <w:t xml:space="preserve"> ad valorem, anulando cualquier reducción o trato preferencial.</w:t>
      </w:r>
    </w:p>
    <w:p w14:paraId="565EF5CA" w14:textId="77777777" w:rsidR="001B52DC" w:rsidRDefault="001B52DC" w:rsidP="001B52DC">
      <w:pPr>
        <w:jc w:val="both"/>
        <w:rPr>
          <w:rFonts w:ascii="Noto Sans" w:hAnsi="Noto Sans" w:cs="Noto Sans"/>
          <w:sz w:val="20"/>
          <w:szCs w:val="20"/>
        </w:rPr>
      </w:pPr>
    </w:p>
    <w:p w14:paraId="7230A1C4" w14:textId="04AE3880" w:rsidR="001B52DC" w:rsidRPr="001B52DC" w:rsidRDefault="001B52DC" w:rsidP="00C90039">
      <w:pPr>
        <w:jc w:val="both"/>
        <w:rPr>
          <w:rFonts w:ascii="Noto Sans" w:hAnsi="Noto Sans" w:cs="Noto Sans"/>
          <w:sz w:val="20"/>
          <w:szCs w:val="20"/>
        </w:rPr>
      </w:pPr>
      <w:r w:rsidRPr="001B52DC">
        <w:rPr>
          <w:rFonts w:ascii="Noto Sans" w:hAnsi="Noto Sans" w:cs="Noto Sans"/>
          <w:i/>
          <w:iCs/>
          <w:sz w:val="20"/>
          <w:szCs w:val="20"/>
        </w:rPr>
        <w:t xml:space="preserve">“(8)  All imports of aluminum articles and aluminum derivative articles specified in Annex I-A, Annex I-B, or Annex III to this proclamation that are the product of Russia or where any amount of primary aluminum used in the manufacture of these articles is smelted in Russia, or these aluminum articles are cast in Russia, shall continue to be subject to the 200 percent ad valorem rate of duty established in Proclamation 10522 of February 24, 2023 (Adjusting Imports of </w:t>
      </w:r>
      <w:r w:rsidRPr="001B52DC">
        <w:rPr>
          <w:rFonts w:ascii="Noto Sans" w:hAnsi="Noto Sans" w:cs="Noto Sans"/>
          <w:i/>
          <w:iCs/>
          <w:sz w:val="20"/>
          <w:szCs w:val="20"/>
        </w:rPr>
        <w:t>Aluminum Into the United States), with respect to goods entered for consumption, or withdrawn from warehouse for consumption, on or after the effective dates of clauses (2), (3), and (5) of this proclamation.”</w:t>
      </w:r>
      <w:r>
        <w:rPr>
          <w:rFonts w:ascii="Noto Sans" w:hAnsi="Noto Sans" w:cs="Noto Sans"/>
          <w:sz w:val="20"/>
          <w:szCs w:val="20"/>
        </w:rPr>
        <w:t xml:space="preserve"> [Proclamación abril]</w:t>
      </w:r>
    </w:p>
    <w:p w14:paraId="08900B66" w14:textId="77777777" w:rsidR="00C90039" w:rsidRDefault="00C90039" w:rsidP="008D4CC6">
      <w:pPr>
        <w:jc w:val="both"/>
        <w:rPr>
          <w:rFonts w:ascii="Noto Sans" w:hAnsi="Noto Sans" w:cs="Noto Sans"/>
          <w:sz w:val="20"/>
          <w:szCs w:val="20"/>
        </w:rPr>
      </w:pPr>
    </w:p>
    <w:p w14:paraId="12B93883" w14:textId="77777777" w:rsidR="00B94785" w:rsidRDefault="00B94785" w:rsidP="00B94785">
      <w:pPr>
        <w:jc w:val="both"/>
        <w:rPr>
          <w:rFonts w:ascii="Noto Sans" w:hAnsi="Noto Sans" w:cs="Noto Sans"/>
          <w:b/>
          <w:bCs/>
          <w:sz w:val="20"/>
          <w:szCs w:val="20"/>
        </w:rPr>
      </w:pPr>
      <w:r w:rsidRPr="00B94785">
        <w:rPr>
          <w:rFonts w:ascii="Noto Sans" w:hAnsi="Noto Sans" w:cs="Noto Sans"/>
          <w:b/>
          <w:bCs/>
          <w:sz w:val="20"/>
          <w:szCs w:val="20"/>
        </w:rPr>
        <w:t>Socios sin Relaciones Comerciales Normales</w:t>
      </w:r>
    </w:p>
    <w:p w14:paraId="43BA39BB" w14:textId="33552509" w:rsidR="00B94785" w:rsidRDefault="00B94785" w:rsidP="00B94785">
      <w:pPr>
        <w:jc w:val="both"/>
        <w:rPr>
          <w:rFonts w:ascii="Noto Sans" w:hAnsi="Noto Sans" w:cs="Noto Sans"/>
          <w:sz w:val="20"/>
          <w:szCs w:val="20"/>
        </w:rPr>
      </w:pPr>
      <w:r w:rsidRPr="00B94785">
        <w:rPr>
          <w:rFonts w:ascii="Noto Sans" w:hAnsi="Noto Sans" w:cs="Noto Sans"/>
          <w:sz w:val="20"/>
          <w:szCs w:val="20"/>
        </w:rPr>
        <w:t xml:space="preserve">En el </w:t>
      </w:r>
      <w:r w:rsidRPr="00B94785">
        <w:rPr>
          <w:rFonts w:ascii="Noto Sans" w:hAnsi="Noto Sans" w:cs="Noto Sans"/>
          <w:b/>
          <w:bCs/>
          <w:sz w:val="20"/>
          <w:szCs w:val="20"/>
        </w:rPr>
        <w:t>Anexo III</w:t>
      </w:r>
      <w:r w:rsidRPr="00B94785">
        <w:rPr>
          <w:rFonts w:ascii="Noto Sans" w:hAnsi="Noto Sans" w:cs="Noto Sans"/>
          <w:sz w:val="20"/>
          <w:szCs w:val="20"/>
        </w:rPr>
        <w:t xml:space="preserve">, los productos no gozan del esquema de tope o reducción si provienen de países con los que Estados Unidos no mantiene relaciones comerciales normales, debiendo pagar una tasa fija del </w:t>
      </w:r>
      <w:r w:rsidRPr="00B94785">
        <w:rPr>
          <w:rFonts w:ascii="Noto Sans" w:hAnsi="Noto Sans" w:cs="Noto Sans"/>
          <w:b/>
          <w:bCs/>
          <w:sz w:val="20"/>
          <w:szCs w:val="20"/>
        </w:rPr>
        <w:t>25%</w:t>
      </w:r>
      <w:r w:rsidRPr="00B94785">
        <w:rPr>
          <w:rFonts w:ascii="Noto Sans" w:hAnsi="Noto Sans" w:cs="Noto Sans"/>
          <w:sz w:val="20"/>
          <w:szCs w:val="20"/>
        </w:rPr>
        <w:t>.</w:t>
      </w:r>
    </w:p>
    <w:p w14:paraId="3C0EF947" w14:textId="77777777" w:rsidR="00B94785" w:rsidRPr="00B94785" w:rsidRDefault="00B94785" w:rsidP="00B94785">
      <w:pPr>
        <w:jc w:val="both"/>
        <w:rPr>
          <w:rFonts w:ascii="Noto Sans" w:hAnsi="Noto Sans" w:cs="Noto Sans"/>
          <w:sz w:val="20"/>
          <w:szCs w:val="20"/>
        </w:rPr>
      </w:pPr>
    </w:p>
    <w:p w14:paraId="20E9AA5A" w14:textId="544C7C44" w:rsidR="0086486F" w:rsidRDefault="00B94785" w:rsidP="00B94785">
      <w:pPr>
        <w:jc w:val="both"/>
        <w:rPr>
          <w:rFonts w:ascii="Noto Sans" w:hAnsi="Noto Sans" w:cs="Noto Sans"/>
          <w:sz w:val="20"/>
          <w:szCs w:val="20"/>
        </w:rPr>
      </w:pPr>
      <w:r>
        <w:rPr>
          <w:rFonts w:ascii="Noto Sans" w:hAnsi="Noto Sans" w:cs="Noto Sans"/>
          <w:sz w:val="20"/>
          <w:szCs w:val="20"/>
        </w:rPr>
        <w:t xml:space="preserve">(5)(c): </w:t>
      </w:r>
      <w:r w:rsidRPr="00B94785">
        <w:rPr>
          <w:rFonts w:ascii="Noto Sans" w:hAnsi="Noto Sans" w:cs="Noto Sans"/>
          <w:i/>
          <w:iCs/>
          <w:sz w:val="20"/>
          <w:szCs w:val="20"/>
        </w:rPr>
        <w:t>"25 percent for products imported from trading partners with whom the United States does not maintain normal trading relations."</w:t>
      </w:r>
      <w:r>
        <w:rPr>
          <w:rFonts w:ascii="Noto Sans" w:hAnsi="Noto Sans" w:cs="Noto Sans"/>
          <w:sz w:val="20"/>
          <w:szCs w:val="20"/>
        </w:rPr>
        <w:t xml:space="preserve"> [Proclamación abril]</w:t>
      </w:r>
    </w:p>
    <w:p w14:paraId="114464A9" w14:textId="77777777" w:rsidR="004F4DC2" w:rsidRDefault="004F4DC2" w:rsidP="00B94785">
      <w:pPr>
        <w:jc w:val="both"/>
        <w:rPr>
          <w:rFonts w:ascii="Noto Sans" w:hAnsi="Noto Sans" w:cs="Noto Sans"/>
          <w:sz w:val="20"/>
          <w:szCs w:val="20"/>
        </w:rPr>
      </w:pPr>
    </w:p>
    <w:p w14:paraId="1839D603" w14:textId="77777777" w:rsidR="004F4DC2" w:rsidRDefault="004F4DC2" w:rsidP="00B94785">
      <w:pPr>
        <w:jc w:val="both"/>
        <w:rPr>
          <w:rFonts w:ascii="Noto Sans" w:hAnsi="Noto Sans" w:cs="Noto Sans"/>
          <w:b/>
          <w:bCs/>
          <w:sz w:val="20"/>
          <w:szCs w:val="20"/>
        </w:rPr>
      </w:pPr>
      <w:r w:rsidRPr="004F4DC2">
        <w:rPr>
          <w:rFonts w:ascii="Noto Sans" w:hAnsi="Noto Sans" w:cs="Noto Sans"/>
          <w:b/>
          <w:bCs/>
          <w:sz w:val="20"/>
          <w:szCs w:val="20"/>
        </w:rPr>
        <w:t>Devolución de Aranceles</w:t>
      </w:r>
    </w:p>
    <w:p w14:paraId="53A6A8B1" w14:textId="1E0EAF5B" w:rsidR="004F4DC2" w:rsidRDefault="004F4DC2" w:rsidP="00B94785">
      <w:pPr>
        <w:jc w:val="both"/>
        <w:rPr>
          <w:rFonts w:ascii="Noto Sans" w:hAnsi="Noto Sans" w:cs="Noto Sans"/>
          <w:sz w:val="20"/>
          <w:szCs w:val="20"/>
        </w:rPr>
      </w:pPr>
      <w:r w:rsidRPr="004F4DC2">
        <w:rPr>
          <w:rFonts w:ascii="Noto Sans" w:hAnsi="Noto Sans" w:cs="Noto Sans"/>
          <w:sz w:val="20"/>
          <w:szCs w:val="20"/>
        </w:rPr>
        <w:t>Las reclamaciones de devolución de aranceles de manufactura (</w:t>
      </w:r>
      <w:r w:rsidRPr="004F4DC2">
        <w:rPr>
          <w:rFonts w:ascii="Noto Sans" w:hAnsi="Noto Sans" w:cs="Noto Sans"/>
          <w:i/>
          <w:iCs/>
          <w:sz w:val="20"/>
          <w:szCs w:val="20"/>
        </w:rPr>
        <w:t>drawback</w:t>
      </w:r>
      <w:r w:rsidRPr="004F4DC2">
        <w:rPr>
          <w:rFonts w:ascii="Noto Sans" w:hAnsi="Noto Sans" w:cs="Noto Sans"/>
          <w:sz w:val="20"/>
          <w:szCs w:val="20"/>
        </w:rPr>
        <w:t xml:space="preserve">) están permitidas para los aranceles impuestos por esta proclamación, pero están estrictamente condicionadas. El artículo debe estar listado en el Anexo I-B o Anexo III, no debe estar sujeto a cuotas compensatorias o antidumping, y debe ser producto exclusivo de un socio comercial con acuerdo vigente (Reino Unido, Unión Europea, Japón, Corea del Sur, México o Canadá). Además, el </w:t>
      </w:r>
      <w:r w:rsidR="00FB1CD1">
        <w:rPr>
          <w:rFonts w:ascii="Noto Sans" w:hAnsi="Noto Sans" w:cs="Noto Sans"/>
          <w:sz w:val="20"/>
          <w:szCs w:val="20"/>
        </w:rPr>
        <w:t>100%</w:t>
      </w:r>
      <w:r w:rsidRPr="004F4DC2">
        <w:rPr>
          <w:rFonts w:ascii="Noto Sans" w:hAnsi="Noto Sans" w:cs="Noto Sans"/>
          <w:sz w:val="20"/>
          <w:szCs w:val="20"/>
        </w:rPr>
        <w:t xml:space="preserve"> de su contenido de aluminio, acero o cobre debió ser fundido y moldeado, o derretido y vertido, dentro de estos países socios.</w:t>
      </w:r>
    </w:p>
    <w:p w14:paraId="5F2B2A31" w14:textId="77777777" w:rsidR="00FB1CD1" w:rsidRDefault="00FB1CD1" w:rsidP="00B94785">
      <w:pPr>
        <w:jc w:val="both"/>
        <w:rPr>
          <w:rFonts w:ascii="Noto Sans" w:hAnsi="Noto Sans" w:cs="Noto Sans"/>
          <w:sz w:val="20"/>
          <w:szCs w:val="20"/>
        </w:rPr>
      </w:pPr>
    </w:p>
    <w:p w14:paraId="70FE6548" w14:textId="77777777" w:rsidR="00FB1CD1" w:rsidRDefault="00FB1CD1" w:rsidP="00B94785">
      <w:pPr>
        <w:jc w:val="both"/>
        <w:rPr>
          <w:rFonts w:ascii="Noto Sans" w:hAnsi="Noto Sans" w:cs="Noto Sans"/>
          <w:i/>
          <w:iCs/>
          <w:sz w:val="20"/>
          <w:szCs w:val="20"/>
        </w:rPr>
      </w:pPr>
      <w:r w:rsidRPr="00FB1CD1">
        <w:rPr>
          <w:rFonts w:ascii="Noto Sans" w:hAnsi="Noto Sans" w:cs="Noto Sans"/>
          <w:i/>
          <w:iCs/>
          <w:sz w:val="20"/>
          <w:szCs w:val="20"/>
        </w:rPr>
        <w:t>"(13) Manufacturing drawback claims made in accordance with subsections (a) and (b) of section 313 of the Tariff Act of 1930, as amended, 19 U.S.C. 1313(a)-(b), shall be available with respect to the duties imposed pursuant to this proclamation on articles that meet the following conditions:</w:t>
      </w:r>
    </w:p>
    <w:p w14:paraId="5B6008E4" w14:textId="77777777" w:rsidR="00FB1CD1" w:rsidRDefault="00FB1CD1" w:rsidP="00B94785">
      <w:pPr>
        <w:jc w:val="both"/>
        <w:rPr>
          <w:rFonts w:ascii="Noto Sans" w:hAnsi="Noto Sans" w:cs="Noto Sans"/>
          <w:i/>
          <w:iCs/>
          <w:sz w:val="20"/>
          <w:szCs w:val="20"/>
        </w:rPr>
      </w:pPr>
    </w:p>
    <w:p w14:paraId="620C46C2" w14:textId="77777777" w:rsidR="00FB1CD1" w:rsidRDefault="00FB1CD1" w:rsidP="00B94785">
      <w:pPr>
        <w:jc w:val="both"/>
        <w:rPr>
          <w:rFonts w:ascii="Noto Sans" w:hAnsi="Noto Sans" w:cs="Noto Sans"/>
          <w:i/>
          <w:iCs/>
          <w:sz w:val="20"/>
          <w:szCs w:val="20"/>
        </w:rPr>
      </w:pPr>
      <w:r w:rsidRPr="00FB1CD1">
        <w:rPr>
          <w:rFonts w:ascii="Noto Sans" w:hAnsi="Noto Sans" w:cs="Noto Sans"/>
          <w:i/>
          <w:iCs/>
          <w:sz w:val="20"/>
          <w:szCs w:val="20"/>
        </w:rPr>
        <w:t>(a) The article is classifiable in an HTSUS provision that is listed in Annex I-B or Annex III to this proclamation...</w:t>
      </w:r>
    </w:p>
    <w:p w14:paraId="7BFC756F" w14:textId="77777777" w:rsidR="00FB1CD1" w:rsidRDefault="00FB1CD1" w:rsidP="00B94785">
      <w:pPr>
        <w:jc w:val="both"/>
        <w:rPr>
          <w:rFonts w:ascii="Noto Sans" w:hAnsi="Noto Sans" w:cs="Noto Sans"/>
          <w:i/>
          <w:iCs/>
          <w:sz w:val="20"/>
          <w:szCs w:val="20"/>
        </w:rPr>
      </w:pPr>
    </w:p>
    <w:p w14:paraId="444D8F64" w14:textId="77777777" w:rsidR="00FB1CD1" w:rsidRDefault="00FB1CD1" w:rsidP="00B94785">
      <w:pPr>
        <w:jc w:val="both"/>
        <w:rPr>
          <w:rFonts w:ascii="Noto Sans" w:hAnsi="Noto Sans" w:cs="Noto Sans"/>
          <w:i/>
          <w:iCs/>
          <w:sz w:val="20"/>
          <w:szCs w:val="20"/>
        </w:rPr>
      </w:pPr>
      <w:r w:rsidRPr="00FB1CD1">
        <w:rPr>
          <w:rFonts w:ascii="Noto Sans" w:hAnsi="Noto Sans" w:cs="Noto Sans"/>
          <w:i/>
          <w:iCs/>
          <w:sz w:val="20"/>
          <w:szCs w:val="20"/>
        </w:rPr>
        <w:t>(b) The article is not of a type of merchandise subject to an antidumping or countervailing duty order...</w:t>
      </w:r>
    </w:p>
    <w:p w14:paraId="2C0A35AC" w14:textId="77777777" w:rsidR="00FB1CD1" w:rsidRDefault="00FB1CD1" w:rsidP="00B94785">
      <w:pPr>
        <w:jc w:val="both"/>
        <w:rPr>
          <w:rFonts w:ascii="Noto Sans" w:hAnsi="Noto Sans" w:cs="Noto Sans"/>
          <w:i/>
          <w:iCs/>
          <w:sz w:val="20"/>
          <w:szCs w:val="20"/>
        </w:rPr>
      </w:pPr>
    </w:p>
    <w:p w14:paraId="51F0D0B8" w14:textId="77777777" w:rsidR="00FB1CD1" w:rsidRDefault="00FB1CD1" w:rsidP="00B94785">
      <w:pPr>
        <w:jc w:val="both"/>
        <w:rPr>
          <w:rFonts w:ascii="Noto Sans" w:hAnsi="Noto Sans" w:cs="Noto Sans"/>
          <w:i/>
          <w:iCs/>
          <w:sz w:val="20"/>
          <w:szCs w:val="20"/>
        </w:rPr>
      </w:pPr>
      <w:r w:rsidRPr="00FB1CD1">
        <w:rPr>
          <w:rFonts w:ascii="Noto Sans" w:hAnsi="Noto Sans" w:cs="Noto Sans"/>
          <w:i/>
          <w:iCs/>
          <w:sz w:val="20"/>
          <w:szCs w:val="20"/>
        </w:rPr>
        <w:t>(c) The article is a product of Trade Agreement Partners, composed of the United Kingdom, the European Union, Japan, the Republic of Korea, Mexico, Canada... and</w:t>
      </w:r>
    </w:p>
    <w:p w14:paraId="4A50626D" w14:textId="77777777" w:rsidR="00FB1CD1" w:rsidRDefault="00FB1CD1" w:rsidP="00B94785">
      <w:pPr>
        <w:jc w:val="both"/>
        <w:rPr>
          <w:rFonts w:ascii="Noto Sans" w:hAnsi="Noto Sans" w:cs="Noto Sans"/>
          <w:i/>
          <w:iCs/>
          <w:sz w:val="20"/>
          <w:szCs w:val="20"/>
        </w:rPr>
      </w:pPr>
    </w:p>
    <w:p w14:paraId="5FFD1159" w14:textId="006FFE95" w:rsidR="00FB1CD1" w:rsidRPr="00BA51B3" w:rsidRDefault="00FB1CD1" w:rsidP="00B94785">
      <w:pPr>
        <w:jc w:val="both"/>
        <w:rPr>
          <w:rFonts w:ascii="Noto Sans" w:hAnsi="Noto Sans" w:cs="Noto Sans"/>
          <w:sz w:val="20"/>
          <w:szCs w:val="20"/>
        </w:rPr>
      </w:pPr>
      <w:r w:rsidRPr="00FB1CD1">
        <w:rPr>
          <w:rFonts w:ascii="Noto Sans" w:hAnsi="Noto Sans" w:cs="Noto Sans"/>
          <w:i/>
          <w:iCs/>
          <w:sz w:val="20"/>
          <w:szCs w:val="20"/>
        </w:rPr>
        <w:t>(d) The aluminum content of the article is composed entirely of aluminum that was smelted and cast in a Trade Agreement Partner country, the steel content of which is composed entirely of steel that was melted and poured in a Trade Agreement Partner country, or the copper content of which is composed entirely of copper that was smelted and cast in a Trade Agreement Partner country."</w:t>
      </w:r>
      <w:r w:rsidR="00BA51B3">
        <w:rPr>
          <w:rFonts w:ascii="Noto Sans" w:hAnsi="Noto Sans" w:cs="Noto Sans"/>
          <w:sz w:val="20"/>
          <w:szCs w:val="20"/>
        </w:rPr>
        <w:t xml:space="preserve"> [Proclamación abril]</w:t>
      </w:r>
    </w:p>
    <w:sectPr w:rsidR="00FB1CD1" w:rsidRPr="00BA51B3" w:rsidSect="008D4CC6">
      <w:type w:val="continuous"/>
      <w:pgSz w:w="12240" w:h="15840" w:code="1"/>
      <w:pgMar w:top="1701" w:right="1021" w:bottom="1701" w:left="1021" w:header="284" w:footer="284"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41843" w14:textId="77777777" w:rsidR="007921C3" w:rsidRDefault="007921C3" w:rsidP="00025DA4">
      <w:r>
        <w:separator/>
      </w:r>
    </w:p>
  </w:endnote>
  <w:endnote w:type="continuationSeparator" w:id="0">
    <w:p w14:paraId="57B62F93" w14:textId="77777777" w:rsidR="007921C3" w:rsidRDefault="007921C3" w:rsidP="00025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panose1 w:val="020B0502040504020204"/>
    <w:charset w:val="00"/>
    <w:family w:val="swiss"/>
    <w:pitch w:val="variable"/>
    <w:sig w:usb0="E00002FF" w:usb1="4000201F" w:usb2="0800002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83D28" w14:textId="77777777" w:rsidR="000765AE" w:rsidRDefault="000765AE">
    <w:pPr>
      <w:pStyle w:val="Piedepgina"/>
    </w:pPr>
  </w:p>
  <w:p w14:paraId="3C5A5569" w14:textId="77777777" w:rsidR="000765AE" w:rsidRDefault="000765AE">
    <w:pPr>
      <w:pStyle w:val="Piedepgina"/>
    </w:pPr>
  </w:p>
  <w:p w14:paraId="072C0B95" w14:textId="084E3BD7" w:rsidR="000765AE" w:rsidRDefault="000765AE">
    <w:pPr>
      <w:pStyle w:val="Piedepgina"/>
    </w:pPr>
    <w:r>
      <w:rPr>
        <w:noProof/>
      </w:rPr>
      <w:drawing>
        <wp:anchor distT="0" distB="0" distL="114300" distR="114300" simplePos="0" relativeHeight="251665408" behindDoc="1" locked="0" layoutInCell="1" allowOverlap="1" wp14:anchorId="3FC51045" wp14:editId="060E094D">
          <wp:simplePos x="0" y="0"/>
          <wp:positionH relativeFrom="page">
            <wp:align>right</wp:align>
          </wp:positionH>
          <wp:positionV relativeFrom="page">
            <wp:align>bottom</wp:align>
          </wp:positionV>
          <wp:extent cx="7765876" cy="907473"/>
          <wp:effectExtent l="0" t="0" r="6985" b="6985"/>
          <wp:wrapNone/>
          <wp:docPr id="16"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5053" name="Imagen 2" descr="Interfaz de usuario gráfica, Texto,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t="87482" b="3488"/>
                  <a:stretch>
                    <a:fillRect/>
                  </a:stretch>
                </pic:blipFill>
                <pic:spPr bwMode="auto">
                  <a:xfrm>
                    <a:off x="0" y="0"/>
                    <a:ext cx="7765876" cy="9074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EBEE4" w14:textId="77777777" w:rsidR="007921C3" w:rsidRDefault="007921C3" w:rsidP="00025DA4">
      <w:r>
        <w:separator/>
      </w:r>
    </w:p>
  </w:footnote>
  <w:footnote w:type="continuationSeparator" w:id="0">
    <w:p w14:paraId="1F526F46" w14:textId="77777777" w:rsidR="007921C3" w:rsidRDefault="007921C3" w:rsidP="00025DA4">
      <w:r>
        <w:continuationSeparator/>
      </w:r>
    </w:p>
  </w:footnote>
  <w:footnote w:id="1">
    <w:p w14:paraId="6C77BDBD" w14:textId="476804C2" w:rsidR="00272B09" w:rsidRDefault="00272B09" w:rsidP="009C7C4D">
      <w:pPr>
        <w:pStyle w:val="Textonotapie"/>
        <w:jc w:val="both"/>
      </w:pPr>
      <w:r>
        <w:rPr>
          <w:rStyle w:val="Refdenotaalpie"/>
        </w:rPr>
        <w:footnoteRef/>
      </w:r>
      <w:r>
        <w:t xml:space="preserve"> </w:t>
      </w:r>
      <w:r w:rsidRPr="003C49C2">
        <w:t xml:space="preserve">Executive Office of the President. (2026, </w:t>
      </w:r>
      <w:r>
        <w:t>01</w:t>
      </w:r>
      <w:r w:rsidRPr="003C49C2">
        <w:t xml:space="preserve"> de junio). </w:t>
      </w:r>
      <w:hyperlink r:id="rId1" w:history="1">
        <w:r w:rsidRPr="00272B09">
          <w:rPr>
            <w:rStyle w:val="Hipervnculo"/>
          </w:rPr>
          <w:t>Annex I-A: 50% Section 232 Tariff on Full Value.</w:t>
        </w:r>
      </w:hyperlink>
      <w:r>
        <w:t xml:space="preserve"> </w:t>
      </w:r>
      <w:r w:rsidRPr="003C49C2">
        <w:t>The White House.</w:t>
      </w:r>
    </w:p>
  </w:footnote>
  <w:footnote w:id="2">
    <w:p w14:paraId="598DC608" w14:textId="3BDE8DF7" w:rsidR="009C7C4D" w:rsidRDefault="009C7C4D" w:rsidP="009C7C4D">
      <w:pPr>
        <w:pStyle w:val="Textonotapie"/>
        <w:jc w:val="both"/>
      </w:pPr>
      <w:r>
        <w:rPr>
          <w:rStyle w:val="Refdenotaalpie"/>
        </w:rPr>
        <w:footnoteRef/>
      </w:r>
      <w:r>
        <w:t xml:space="preserve"> </w:t>
      </w:r>
      <w:r w:rsidRPr="009C7C4D">
        <w:t>Not</w:t>
      </w:r>
      <w:r w:rsidRPr="009C7C4D">
        <w:t>a</w:t>
      </w:r>
      <w:r>
        <w:t xml:space="preserve"> de terminología</w:t>
      </w:r>
      <w:r w:rsidRPr="009C7C4D">
        <w:t xml:space="preserve">: Para fines de claridad en el presente documento, el concepto </w:t>
      </w:r>
      <w:r>
        <w:t>“</w:t>
      </w:r>
      <w:r w:rsidRPr="009C7C4D">
        <w:t>umbral de fundido y moldeado en E</w:t>
      </w:r>
      <w:r>
        <w:t>UA”</w:t>
      </w:r>
      <w:r w:rsidRPr="009C7C4D">
        <w:t xml:space="preserve"> se utiliza como un término homologado para referirse a los criterios legales de origen de la normativa: aluminio y cobre fundidos y moldeados (</w:t>
      </w:r>
      <w:r w:rsidRPr="009C7C4D">
        <w:rPr>
          <w:i/>
          <w:iCs/>
        </w:rPr>
        <w:t>smelted and cast</w:t>
      </w:r>
      <w:r w:rsidRPr="009C7C4D">
        <w:t>), así como acero derretido y vertido (</w:t>
      </w:r>
      <w:r w:rsidRPr="009C7C4D">
        <w:rPr>
          <w:i/>
          <w:iCs/>
        </w:rPr>
        <w:t>melted and poured</w:t>
      </w:r>
      <w:r w:rsidRPr="009C7C4D">
        <w:t>) de manera íntegra en los Estados Unidos.</w:t>
      </w:r>
    </w:p>
  </w:footnote>
  <w:footnote w:id="3">
    <w:p w14:paraId="62AAC0BF" w14:textId="1BF1FAA8" w:rsidR="003C49C2" w:rsidRDefault="003C49C2" w:rsidP="009C7C4D">
      <w:pPr>
        <w:pStyle w:val="Textonotapie"/>
        <w:jc w:val="both"/>
      </w:pPr>
      <w:r>
        <w:rPr>
          <w:rStyle w:val="Refdenotaalpie"/>
        </w:rPr>
        <w:footnoteRef/>
      </w:r>
      <w:r>
        <w:t xml:space="preserve"> </w:t>
      </w:r>
      <w:r w:rsidRPr="003C49C2">
        <w:t xml:space="preserve">Executive Office of the President. (2026, </w:t>
      </w:r>
      <w:r>
        <w:t>02</w:t>
      </w:r>
      <w:r w:rsidRPr="003C49C2">
        <w:t xml:space="preserve"> de </w:t>
      </w:r>
      <w:r>
        <w:t>abril</w:t>
      </w:r>
      <w:r w:rsidRPr="003C49C2">
        <w:t xml:space="preserve">). </w:t>
      </w:r>
      <w:hyperlink r:id="rId2" w:history="1">
        <w:r w:rsidRPr="003C49C2">
          <w:rPr>
            <w:rStyle w:val="Hipervnculo"/>
          </w:rPr>
          <w:t>Strengthening actions taken to adjust imports of aluminum, steel, and copper into the United States.</w:t>
        </w:r>
      </w:hyperlink>
      <w:r w:rsidRPr="003C49C2">
        <w:t xml:space="preserve"> The White House.</w:t>
      </w:r>
    </w:p>
  </w:footnote>
  <w:footnote w:id="4">
    <w:p w14:paraId="0A14B3F0" w14:textId="5175C243" w:rsidR="00272B09" w:rsidRDefault="00272B09" w:rsidP="009C7C4D">
      <w:pPr>
        <w:pStyle w:val="Textonotapie"/>
        <w:jc w:val="both"/>
      </w:pPr>
      <w:r>
        <w:rPr>
          <w:rStyle w:val="Refdenotaalpie"/>
        </w:rPr>
        <w:footnoteRef/>
      </w:r>
      <w:r>
        <w:t xml:space="preserve"> </w:t>
      </w:r>
      <w:r w:rsidRPr="003C49C2">
        <w:t xml:space="preserve">Executive Office of the President. (2026, </w:t>
      </w:r>
      <w:r>
        <w:t>01</w:t>
      </w:r>
      <w:r w:rsidRPr="003C49C2">
        <w:t xml:space="preserve"> de junio). </w:t>
      </w:r>
      <w:hyperlink r:id="rId3" w:history="1">
        <w:r w:rsidRPr="00272B09">
          <w:rPr>
            <w:rStyle w:val="Hipervnculo"/>
          </w:rPr>
          <w:t>Annex I-B: 25% Section 232 Tariff on Full Value</w:t>
        </w:r>
      </w:hyperlink>
      <w:r>
        <w:t xml:space="preserve">. </w:t>
      </w:r>
      <w:r w:rsidRPr="003C49C2">
        <w:t>The White House.</w:t>
      </w:r>
    </w:p>
  </w:footnote>
  <w:footnote w:id="5">
    <w:p w14:paraId="30A80EE8" w14:textId="1305CF72" w:rsidR="00E347FC" w:rsidRDefault="00E347FC" w:rsidP="009C7C4D">
      <w:pPr>
        <w:pStyle w:val="Textonotapie"/>
        <w:jc w:val="both"/>
      </w:pPr>
      <w:r>
        <w:rPr>
          <w:rStyle w:val="Refdenotaalpie"/>
        </w:rPr>
        <w:footnoteRef/>
      </w:r>
      <w:r>
        <w:t xml:space="preserve"> </w:t>
      </w:r>
      <w:r w:rsidRPr="003C49C2">
        <w:t xml:space="preserve">Executive Office of the President. (2026, </w:t>
      </w:r>
      <w:r>
        <w:t>01</w:t>
      </w:r>
      <w:r w:rsidRPr="003C49C2">
        <w:t xml:space="preserve"> de junio). </w:t>
      </w:r>
      <w:hyperlink r:id="rId4" w:history="1">
        <w:r w:rsidRPr="003C49C2">
          <w:rPr>
            <w:rStyle w:val="Hipervnculo"/>
          </w:rPr>
          <w:t>Further adjusting the tariff regimes for imports of aluminum, steel, and copper into the United States</w:t>
        </w:r>
      </w:hyperlink>
      <w:r w:rsidRPr="003C49C2">
        <w:t>. The White House.</w:t>
      </w:r>
    </w:p>
  </w:footnote>
  <w:footnote w:id="6">
    <w:p w14:paraId="4936F4E9" w14:textId="1B3883A0" w:rsidR="00272B09" w:rsidRDefault="00272B09" w:rsidP="009C7C4D">
      <w:pPr>
        <w:pStyle w:val="Textonotapie"/>
        <w:jc w:val="both"/>
      </w:pPr>
      <w:r>
        <w:rPr>
          <w:rStyle w:val="Refdenotaalpie"/>
        </w:rPr>
        <w:footnoteRef/>
      </w:r>
      <w:r>
        <w:t xml:space="preserve"> </w:t>
      </w:r>
      <w:r w:rsidRPr="003C49C2">
        <w:t xml:space="preserve">Executive Office of the President. (2026, </w:t>
      </w:r>
      <w:r>
        <w:t>01</w:t>
      </w:r>
      <w:r w:rsidRPr="003C49C2">
        <w:t xml:space="preserve"> de junio).</w:t>
      </w:r>
      <w:r w:rsidRPr="00272B09">
        <w:t xml:space="preserve"> </w:t>
      </w:r>
      <w:hyperlink r:id="rId5" w:history="1">
        <w:r w:rsidRPr="00272B09">
          <w:rPr>
            <w:rStyle w:val="Hipervnculo"/>
          </w:rPr>
          <w:t>Annex I-C: Section 232 Tariff on Full Value</w:t>
        </w:r>
      </w:hyperlink>
      <w:r>
        <w:t xml:space="preserve">. </w:t>
      </w:r>
      <w:r w:rsidRPr="003C49C2">
        <w:t>The White House.</w:t>
      </w:r>
    </w:p>
  </w:footnote>
  <w:footnote w:id="7">
    <w:p w14:paraId="431DF62D" w14:textId="065890FA" w:rsidR="00272B09" w:rsidRDefault="00272B09" w:rsidP="009C7C4D">
      <w:pPr>
        <w:pStyle w:val="Textonotapie"/>
        <w:jc w:val="both"/>
      </w:pPr>
      <w:r>
        <w:rPr>
          <w:rStyle w:val="Refdenotaalpie"/>
        </w:rPr>
        <w:footnoteRef/>
      </w:r>
      <w:r>
        <w:t xml:space="preserve"> </w:t>
      </w:r>
      <w:r w:rsidRPr="003C49C2">
        <w:t xml:space="preserve">Executive Office of the President. (2026, </w:t>
      </w:r>
      <w:r>
        <w:t>01</w:t>
      </w:r>
      <w:r w:rsidRPr="003C49C2">
        <w:t xml:space="preserve"> de junio). </w:t>
      </w:r>
      <w:hyperlink r:id="rId6" w:history="1">
        <w:r w:rsidR="007C1614" w:rsidRPr="007C1614">
          <w:rPr>
            <w:rStyle w:val="Hipervnculo"/>
          </w:rPr>
          <w:t>Annex III: Temporary Reduction List for Section 232 Steel and Aluminum Derivatives</w:t>
        </w:r>
      </w:hyperlink>
      <w:r>
        <w:t xml:space="preserve">. </w:t>
      </w:r>
      <w:r w:rsidRPr="003C49C2">
        <w:t>The White House.</w:t>
      </w:r>
    </w:p>
  </w:footnote>
  <w:footnote w:id="8">
    <w:p w14:paraId="3CE00404" w14:textId="02027429" w:rsidR="00272B09" w:rsidRDefault="00272B09" w:rsidP="009C7C4D">
      <w:pPr>
        <w:pStyle w:val="Textonotapie"/>
        <w:jc w:val="both"/>
      </w:pPr>
      <w:r>
        <w:rPr>
          <w:rStyle w:val="Refdenotaalpie"/>
        </w:rPr>
        <w:footnoteRef/>
      </w:r>
      <w:r>
        <w:t xml:space="preserve"> </w:t>
      </w:r>
      <w:r w:rsidRPr="003C49C2">
        <w:t xml:space="preserve">Executive Office of the President. (2026, </w:t>
      </w:r>
      <w:r>
        <w:t>01</w:t>
      </w:r>
      <w:r w:rsidRPr="003C49C2">
        <w:t xml:space="preserve"> de junio).</w:t>
      </w:r>
      <w:r w:rsidR="008302E9" w:rsidRPr="008302E9">
        <w:t xml:space="preserve"> </w:t>
      </w:r>
      <w:hyperlink r:id="rId7" w:history="1">
        <w:r w:rsidR="008302E9" w:rsidRPr="008302E9">
          <w:rPr>
            <w:rStyle w:val="Hipervnculo"/>
          </w:rPr>
          <w:t>Annex II: Removed from Scope of Section 232 Steel and Aluminum Derivatives</w:t>
        </w:r>
      </w:hyperlink>
      <w:r>
        <w:t xml:space="preserve">. </w:t>
      </w:r>
      <w:r w:rsidRPr="003C49C2">
        <w:t>The White House.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4BE49" w14:textId="57500B5D" w:rsidR="000765AE" w:rsidRDefault="000765AE">
    <w:pPr>
      <w:pStyle w:val="Encabezado"/>
    </w:pPr>
    <w:r>
      <w:ptab w:relativeTo="margin" w:alignment="center" w:leader="none"/>
    </w:r>
    <w:r>
      <w:rPr>
        <w:noProof/>
      </w:rPr>
      <w:drawing>
        <wp:anchor distT="0" distB="0" distL="114300" distR="114300" simplePos="0" relativeHeight="251663360" behindDoc="1" locked="0" layoutInCell="1" allowOverlap="1" wp14:anchorId="5F64BA41" wp14:editId="364A313F">
          <wp:simplePos x="0" y="0"/>
          <wp:positionH relativeFrom="page">
            <wp:align>right</wp:align>
          </wp:positionH>
          <wp:positionV relativeFrom="page">
            <wp:align>top</wp:align>
          </wp:positionV>
          <wp:extent cx="7767867" cy="1038571"/>
          <wp:effectExtent l="0" t="0" r="5080" b="952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99149" name="Imagen 2"/>
                  <pic:cNvPicPr/>
                </pic:nvPicPr>
                <pic:blipFill rotWithShape="1">
                  <a:blip r:embed="rId1">
                    <a:extLst>
                      <a:ext uri="{28A0092B-C50C-407E-A947-70E740481C1C}">
                        <a14:useLocalDpi xmlns:a14="http://schemas.microsoft.com/office/drawing/2010/main" val="0"/>
                      </a:ext>
                    </a:extLst>
                  </a:blip>
                  <a:srcRect t="3444" b="86224"/>
                  <a:stretch>
                    <a:fillRect/>
                  </a:stretch>
                </pic:blipFill>
                <pic:spPr bwMode="auto">
                  <a:xfrm>
                    <a:off x="0" y="0"/>
                    <a:ext cx="7767867" cy="10385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6AC1"/>
    <w:multiLevelType w:val="multilevel"/>
    <w:tmpl w:val="5D56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B56E3"/>
    <w:multiLevelType w:val="hybridMultilevel"/>
    <w:tmpl w:val="075808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1430EAC"/>
    <w:multiLevelType w:val="hybridMultilevel"/>
    <w:tmpl w:val="3B5A738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8793AE8"/>
    <w:multiLevelType w:val="multilevel"/>
    <w:tmpl w:val="4B184272"/>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21817DD"/>
    <w:multiLevelType w:val="multilevel"/>
    <w:tmpl w:val="4E2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25B65"/>
    <w:multiLevelType w:val="multilevel"/>
    <w:tmpl w:val="DE12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669C8"/>
    <w:multiLevelType w:val="multilevel"/>
    <w:tmpl w:val="C2E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573767"/>
    <w:multiLevelType w:val="multilevel"/>
    <w:tmpl w:val="4C5C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E4EA4"/>
    <w:multiLevelType w:val="multilevel"/>
    <w:tmpl w:val="4B74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427905">
    <w:abstractNumId w:val="2"/>
  </w:num>
  <w:num w:numId="2" w16cid:durableId="8260388">
    <w:abstractNumId w:val="1"/>
  </w:num>
  <w:num w:numId="3" w16cid:durableId="584607041">
    <w:abstractNumId w:val="3"/>
  </w:num>
  <w:num w:numId="4" w16cid:durableId="1728989162">
    <w:abstractNumId w:val="5"/>
  </w:num>
  <w:num w:numId="5" w16cid:durableId="381295845">
    <w:abstractNumId w:val="4"/>
  </w:num>
  <w:num w:numId="6" w16cid:durableId="1492983450">
    <w:abstractNumId w:val="8"/>
  </w:num>
  <w:num w:numId="7" w16cid:durableId="411202478">
    <w:abstractNumId w:val="7"/>
  </w:num>
  <w:num w:numId="8" w16cid:durableId="844245720">
    <w:abstractNumId w:val="0"/>
  </w:num>
  <w:num w:numId="9" w16cid:durableId="1076995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mirrorMargi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A4"/>
    <w:rsid w:val="0001161E"/>
    <w:rsid w:val="00025DA4"/>
    <w:rsid w:val="000765AE"/>
    <w:rsid w:val="00086804"/>
    <w:rsid w:val="00097CEB"/>
    <w:rsid w:val="000B6E64"/>
    <w:rsid w:val="000C2ACF"/>
    <w:rsid w:val="000D2A24"/>
    <w:rsid w:val="00114F68"/>
    <w:rsid w:val="001316AF"/>
    <w:rsid w:val="00146C99"/>
    <w:rsid w:val="00160DBE"/>
    <w:rsid w:val="001654A1"/>
    <w:rsid w:val="00180653"/>
    <w:rsid w:val="001825E8"/>
    <w:rsid w:val="00195A92"/>
    <w:rsid w:val="001B52DC"/>
    <w:rsid w:val="001B5EE3"/>
    <w:rsid w:val="001E17B2"/>
    <w:rsid w:val="001E3B05"/>
    <w:rsid w:val="00220365"/>
    <w:rsid w:val="00236859"/>
    <w:rsid w:val="00241288"/>
    <w:rsid w:val="002520A4"/>
    <w:rsid w:val="002557AE"/>
    <w:rsid w:val="00272B09"/>
    <w:rsid w:val="00274B95"/>
    <w:rsid w:val="0028024F"/>
    <w:rsid w:val="002B291F"/>
    <w:rsid w:val="002D4FF2"/>
    <w:rsid w:val="002E260E"/>
    <w:rsid w:val="0032079D"/>
    <w:rsid w:val="00323B4E"/>
    <w:rsid w:val="00324D77"/>
    <w:rsid w:val="0035523C"/>
    <w:rsid w:val="00355D5C"/>
    <w:rsid w:val="00361086"/>
    <w:rsid w:val="0036180E"/>
    <w:rsid w:val="0036277C"/>
    <w:rsid w:val="00365B50"/>
    <w:rsid w:val="003752C9"/>
    <w:rsid w:val="003779F5"/>
    <w:rsid w:val="003C0D14"/>
    <w:rsid w:val="003C1450"/>
    <w:rsid w:val="003C49C2"/>
    <w:rsid w:val="003F002C"/>
    <w:rsid w:val="004018EA"/>
    <w:rsid w:val="00406802"/>
    <w:rsid w:val="00410D6F"/>
    <w:rsid w:val="004129F1"/>
    <w:rsid w:val="004209BC"/>
    <w:rsid w:val="00421659"/>
    <w:rsid w:val="004345BB"/>
    <w:rsid w:val="00467D71"/>
    <w:rsid w:val="00480265"/>
    <w:rsid w:val="00482083"/>
    <w:rsid w:val="0048623D"/>
    <w:rsid w:val="004872EE"/>
    <w:rsid w:val="004D51B8"/>
    <w:rsid w:val="004F2678"/>
    <w:rsid w:val="004F4DC2"/>
    <w:rsid w:val="00550D6A"/>
    <w:rsid w:val="00563D56"/>
    <w:rsid w:val="00566E38"/>
    <w:rsid w:val="00582D53"/>
    <w:rsid w:val="005A394B"/>
    <w:rsid w:val="005A4207"/>
    <w:rsid w:val="005B457C"/>
    <w:rsid w:val="005C36E0"/>
    <w:rsid w:val="005F0B80"/>
    <w:rsid w:val="005F5650"/>
    <w:rsid w:val="00621AA5"/>
    <w:rsid w:val="0062255E"/>
    <w:rsid w:val="00635727"/>
    <w:rsid w:val="006756E3"/>
    <w:rsid w:val="00682ECB"/>
    <w:rsid w:val="00686005"/>
    <w:rsid w:val="00690639"/>
    <w:rsid w:val="0069134B"/>
    <w:rsid w:val="00695AA3"/>
    <w:rsid w:val="0069793F"/>
    <w:rsid w:val="006B53FB"/>
    <w:rsid w:val="006D6557"/>
    <w:rsid w:val="00714C6E"/>
    <w:rsid w:val="0073075A"/>
    <w:rsid w:val="00730EC3"/>
    <w:rsid w:val="007418D9"/>
    <w:rsid w:val="00744782"/>
    <w:rsid w:val="00744E06"/>
    <w:rsid w:val="00746D66"/>
    <w:rsid w:val="007533DB"/>
    <w:rsid w:val="0075400D"/>
    <w:rsid w:val="00782773"/>
    <w:rsid w:val="00791087"/>
    <w:rsid w:val="007921C3"/>
    <w:rsid w:val="007A6EFD"/>
    <w:rsid w:val="007B6D98"/>
    <w:rsid w:val="007C1614"/>
    <w:rsid w:val="007C320B"/>
    <w:rsid w:val="007F0DCB"/>
    <w:rsid w:val="00813427"/>
    <w:rsid w:val="008302E9"/>
    <w:rsid w:val="00862702"/>
    <w:rsid w:val="0086486F"/>
    <w:rsid w:val="008B3D0C"/>
    <w:rsid w:val="008C47C5"/>
    <w:rsid w:val="008D4CC6"/>
    <w:rsid w:val="00900042"/>
    <w:rsid w:val="00937D7D"/>
    <w:rsid w:val="00937F78"/>
    <w:rsid w:val="00942ADB"/>
    <w:rsid w:val="00967697"/>
    <w:rsid w:val="00970DAB"/>
    <w:rsid w:val="009A1C1C"/>
    <w:rsid w:val="009B3B62"/>
    <w:rsid w:val="009C63C0"/>
    <w:rsid w:val="009C7C4D"/>
    <w:rsid w:val="009D14FC"/>
    <w:rsid w:val="009D1B97"/>
    <w:rsid w:val="009D6D3E"/>
    <w:rsid w:val="00A30441"/>
    <w:rsid w:val="00A35FF8"/>
    <w:rsid w:val="00A61579"/>
    <w:rsid w:val="00A75550"/>
    <w:rsid w:val="00A75E62"/>
    <w:rsid w:val="00A82B1B"/>
    <w:rsid w:val="00A95335"/>
    <w:rsid w:val="00AB098F"/>
    <w:rsid w:val="00AB4810"/>
    <w:rsid w:val="00AB52AE"/>
    <w:rsid w:val="00AD0D8D"/>
    <w:rsid w:val="00AE3C52"/>
    <w:rsid w:val="00B149EA"/>
    <w:rsid w:val="00B57C24"/>
    <w:rsid w:val="00B61442"/>
    <w:rsid w:val="00B722A8"/>
    <w:rsid w:val="00B85E50"/>
    <w:rsid w:val="00B910CD"/>
    <w:rsid w:val="00B94785"/>
    <w:rsid w:val="00BA320C"/>
    <w:rsid w:val="00BA51B3"/>
    <w:rsid w:val="00BD5912"/>
    <w:rsid w:val="00BD7E96"/>
    <w:rsid w:val="00C56D24"/>
    <w:rsid w:val="00C613BC"/>
    <w:rsid w:val="00C6505C"/>
    <w:rsid w:val="00C82A16"/>
    <w:rsid w:val="00C90039"/>
    <w:rsid w:val="00CA1605"/>
    <w:rsid w:val="00CD6CD9"/>
    <w:rsid w:val="00CE4235"/>
    <w:rsid w:val="00D05976"/>
    <w:rsid w:val="00D45FDE"/>
    <w:rsid w:val="00D8737D"/>
    <w:rsid w:val="00DA14E2"/>
    <w:rsid w:val="00DB5E7F"/>
    <w:rsid w:val="00DD313F"/>
    <w:rsid w:val="00E0211A"/>
    <w:rsid w:val="00E20B1C"/>
    <w:rsid w:val="00E27B60"/>
    <w:rsid w:val="00E347FC"/>
    <w:rsid w:val="00E47E9E"/>
    <w:rsid w:val="00E82632"/>
    <w:rsid w:val="00E85796"/>
    <w:rsid w:val="00E87641"/>
    <w:rsid w:val="00E9025C"/>
    <w:rsid w:val="00E936E2"/>
    <w:rsid w:val="00EC6FB0"/>
    <w:rsid w:val="00ED03CC"/>
    <w:rsid w:val="00ED7F3D"/>
    <w:rsid w:val="00EF0754"/>
    <w:rsid w:val="00F15E57"/>
    <w:rsid w:val="00F4185A"/>
    <w:rsid w:val="00F500A0"/>
    <w:rsid w:val="00F544A9"/>
    <w:rsid w:val="00F66696"/>
    <w:rsid w:val="00F67854"/>
    <w:rsid w:val="00F96A29"/>
    <w:rsid w:val="00FA31C4"/>
    <w:rsid w:val="00FB1CD1"/>
    <w:rsid w:val="00FB76E5"/>
    <w:rsid w:val="00FC56D7"/>
    <w:rsid w:val="00FC7697"/>
    <w:rsid w:val="00FD73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715B9"/>
  <w15:chartTrackingRefBased/>
  <w15:docId w15:val="{767889B3-EEB5-3042-8086-20392CDB2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5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5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5D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5D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5D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5DA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5DA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5DA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5DA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5D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5D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5D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5D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5D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5D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5D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5D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5DA4"/>
    <w:rPr>
      <w:rFonts w:eastAsiaTheme="majorEastAsia" w:cstheme="majorBidi"/>
      <w:color w:val="272727" w:themeColor="text1" w:themeTint="D8"/>
    </w:rPr>
  </w:style>
  <w:style w:type="paragraph" w:styleId="Ttulo">
    <w:name w:val="Title"/>
    <w:basedOn w:val="Normal"/>
    <w:next w:val="Normal"/>
    <w:link w:val="TtuloCar"/>
    <w:uiPriority w:val="10"/>
    <w:qFormat/>
    <w:rsid w:val="00025DA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5D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5DA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5D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5DA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25DA4"/>
    <w:rPr>
      <w:i/>
      <w:iCs/>
      <w:color w:val="404040" w:themeColor="text1" w:themeTint="BF"/>
    </w:rPr>
  </w:style>
  <w:style w:type="paragraph" w:styleId="Prrafodelista">
    <w:name w:val="List Paragraph"/>
    <w:basedOn w:val="Normal"/>
    <w:uiPriority w:val="34"/>
    <w:qFormat/>
    <w:rsid w:val="00025DA4"/>
    <w:pPr>
      <w:ind w:left="720"/>
      <w:contextualSpacing/>
    </w:pPr>
  </w:style>
  <w:style w:type="character" w:styleId="nfasisintenso">
    <w:name w:val="Intense Emphasis"/>
    <w:basedOn w:val="Fuentedeprrafopredeter"/>
    <w:uiPriority w:val="21"/>
    <w:qFormat/>
    <w:rsid w:val="00025DA4"/>
    <w:rPr>
      <w:i/>
      <w:iCs/>
      <w:color w:val="0F4761" w:themeColor="accent1" w:themeShade="BF"/>
    </w:rPr>
  </w:style>
  <w:style w:type="paragraph" w:styleId="Citadestacada">
    <w:name w:val="Intense Quote"/>
    <w:basedOn w:val="Normal"/>
    <w:next w:val="Normal"/>
    <w:link w:val="CitadestacadaCar"/>
    <w:uiPriority w:val="30"/>
    <w:qFormat/>
    <w:rsid w:val="00025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5DA4"/>
    <w:rPr>
      <w:i/>
      <w:iCs/>
      <w:color w:val="0F4761" w:themeColor="accent1" w:themeShade="BF"/>
    </w:rPr>
  </w:style>
  <w:style w:type="character" w:styleId="Referenciaintensa">
    <w:name w:val="Intense Reference"/>
    <w:basedOn w:val="Fuentedeprrafopredeter"/>
    <w:uiPriority w:val="32"/>
    <w:qFormat/>
    <w:rsid w:val="00025DA4"/>
    <w:rPr>
      <w:b/>
      <w:bCs/>
      <w:smallCaps/>
      <w:color w:val="0F4761" w:themeColor="accent1" w:themeShade="BF"/>
      <w:spacing w:val="5"/>
    </w:rPr>
  </w:style>
  <w:style w:type="paragraph" w:styleId="Encabezado">
    <w:name w:val="header"/>
    <w:basedOn w:val="Normal"/>
    <w:link w:val="EncabezadoCar"/>
    <w:uiPriority w:val="99"/>
    <w:unhideWhenUsed/>
    <w:rsid w:val="00025DA4"/>
    <w:pPr>
      <w:tabs>
        <w:tab w:val="center" w:pos="4419"/>
        <w:tab w:val="right" w:pos="8838"/>
      </w:tabs>
    </w:pPr>
  </w:style>
  <w:style w:type="character" w:customStyle="1" w:styleId="EncabezadoCar">
    <w:name w:val="Encabezado Car"/>
    <w:basedOn w:val="Fuentedeprrafopredeter"/>
    <w:link w:val="Encabezado"/>
    <w:uiPriority w:val="99"/>
    <w:rsid w:val="00025DA4"/>
  </w:style>
  <w:style w:type="paragraph" w:styleId="Piedepgina">
    <w:name w:val="footer"/>
    <w:basedOn w:val="Normal"/>
    <w:link w:val="PiedepginaCar"/>
    <w:uiPriority w:val="99"/>
    <w:unhideWhenUsed/>
    <w:rsid w:val="00025DA4"/>
    <w:pPr>
      <w:tabs>
        <w:tab w:val="center" w:pos="4419"/>
        <w:tab w:val="right" w:pos="8838"/>
      </w:tabs>
    </w:pPr>
  </w:style>
  <w:style w:type="character" w:customStyle="1" w:styleId="PiedepginaCar">
    <w:name w:val="Pie de página Car"/>
    <w:basedOn w:val="Fuentedeprrafopredeter"/>
    <w:link w:val="Piedepgina"/>
    <w:uiPriority w:val="99"/>
    <w:rsid w:val="00025DA4"/>
  </w:style>
  <w:style w:type="paragraph" w:styleId="Descripcin">
    <w:name w:val="caption"/>
    <w:basedOn w:val="Normal"/>
    <w:next w:val="Normal"/>
    <w:uiPriority w:val="35"/>
    <w:unhideWhenUsed/>
    <w:qFormat/>
    <w:rsid w:val="001654A1"/>
    <w:pPr>
      <w:spacing w:after="200"/>
      <w:jc w:val="both"/>
    </w:pPr>
    <w:rPr>
      <w:rFonts w:ascii="Noto Sans" w:eastAsia="Times New Roman" w:hAnsi="Noto Sans" w:cs="Times New Roman"/>
      <w:i/>
      <w:iCs/>
      <w:color w:val="0E2841" w:themeColor="text2"/>
      <w:kern w:val="0"/>
      <w:sz w:val="18"/>
      <w:szCs w:val="18"/>
      <w:lang w:eastAsia="es-MX"/>
      <w14:ligatures w14:val="none"/>
    </w:rPr>
  </w:style>
  <w:style w:type="character" w:styleId="Textodelmarcadordeposicin">
    <w:name w:val="Placeholder Text"/>
    <w:basedOn w:val="Fuentedeprrafopredeter"/>
    <w:uiPriority w:val="99"/>
    <w:semiHidden/>
    <w:rsid w:val="00714C6E"/>
    <w:rPr>
      <w:color w:val="666666"/>
    </w:rPr>
  </w:style>
  <w:style w:type="paragraph" w:styleId="Revisin">
    <w:name w:val="Revision"/>
    <w:hidden/>
    <w:uiPriority w:val="99"/>
    <w:semiHidden/>
    <w:rsid w:val="00361086"/>
  </w:style>
  <w:style w:type="paragraph" w:styleId="NormalWeb">
    <w:name w:val="Normal (Web)"/>
    <w:basedOn w:val="Normal"/>
    <w:uiPriority w:val="99"/>
    <w:semiHidden/>
    <w:unhideWhenUsed/>
    <w:rsid w:val="008D4CC6"/>
    <w:pPr>
      <w:spacing w:before="100" w:beforeAutospacing="1" w:after="100" w:afterAutospacing="1"/>
    </w:pPr>
    <w:rPr>
      <w:rFonts w:ascii="Times New Roman" w:eastAsia="Times New Roman" w:hAnsi="Times New Roman" w:cs="Times New Roman"/>
      <w:kern w:val="0"/>
      <w:lang w:eastAsia="es-MX"/>
      <w14:ligatures w14:val="none"/>
    </w:rPr>
  </w:style>
  <w:style w:type="paragraph" w:styleId="Textonotapie">
    <w:name w:val="footnote text"/>
    <w:basedOn w:val="Normal"/>
    <w:link w:val="TextonotapieCar"/>
    <w:uiPriority w:val="99"/>
    <w:semiHidden/>
    <w:unhideWhenUsed/>
    <w:rsid w:val="003C49C2"/>
    <w:rPr>
      <w:sz w:val="20"/>
      <w:szCs w:val="20"/>
    </w:rPr>
  </w:style>
  <w:style w:type="character" w:customStyle="1" w:styleId="TextonotapieCar">
    <w:name w:val="Texto nota pie Car"/>
    <w:basedOn w:val="Fuentedeprrafopredeter"/>
    <w:link w:val="Textonotapie"/>
    <w:uiPriority w:val="99"/>
    <w:semiHidden/>
    <w:rsid w:val="003C49C2"/>
    <w:rPr>
      <w:sz w:val="20"/>
      <w:szCs w:val="20"/>
    </w:rPr>
  </w:style>
  <w:style w:type="character" w:styleId="Refdenotaalpie">
    <w:name w:val="footnote reference"/>
    <w:basedOn w:val="Fuentedeprrafopredeter"/>
    <w:uiPriority w:val="99"/>
    <w:semiHidden/>
    <w:unhideWhenUsed/>
    <w:rsid w:val="003C49C2"/>
    <w:rPr>
      <w:vertAlign w:val="superscript"/>
    </w:rPr>
  </w:style>
  <w:style w:type="character" w:styleId="Hipervnculo">
    <w:name w:val="Hyperlink"/>
    <w:basedOn w:val="Fuentedeprrafopredeter"/>
    <w:uiPriority w:val="99"/>
    <w:unhideWhenUsed/>
    <w:rsid w:val="003C49C2"/>
    <w:rPr>
      <w:color w:val="467886" w:themeColor="hyperlink"/>
      <w:u w:val="single"/>
    </w:rPr>
  </w:style>
  <w:style w:type="character" w:styleId="Mencinsinresolver">
    <w:name w:val="Unresolved Mention"/>
    <w:basedOn w:val="Fuentedeprrafopredeter"/>
    <w:uiPriority w:val="99"/>
    <w:semiHidden/>
    <w:unhideWhenUsed/>
    <w:rsid w:val="003C49C2"/>
    <w:rPr>
      <w:color w:val="605E5C"/>
      <w:shd w:val="clear" w:color="auto" w:fill="E1DFDD"/>
    </w:rPr>
  </w:style>
  <w:style w:type="character" w:styleId="Hipervnculovisitado">
    <w:name w:val="FollowedHyperlink"/>
    <w:basedOn w:val="Fuentedeprrafopredeter"/>
    <w:uiPriority w:val="99"/>
    <w:semiHidden/>
    <w:unhideWhenUsed/>
    <w:rsid w:val="003C49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6260">
      <w:bodyDiv w:val="1"/>
      <w:marLeft w:val="0"/>
      <w:marRight w:val="0"/>
      <w:marTop w:val="0"/>
      <w:marBottom w:val="0"/>
      <w:divBdr>
        <w:top w:val="none" w:sz="0" w:space="0" w:color="auto"/>
        <w:left w:val="none" w:sz="0" w:space="0" w:color="auto"/>
        <w:bottom w:val="none" w:sz="0" w:space="0" w:color="auto"/>
        <w:right w:val="none" w:sz="0" w:space="0" w:color="auto"/>
      </w:divBdr>
      <w:divsChild>
        <w:div w:id="1431125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30615">
      <w:bodyDiv w:val="1"/>
      <w:marLeft w:val="0"/>
      <w:marRight w:val="0"/>
      <w:marTop w:val="0"/>
      <w:marBottom w:val="0"/>
      <w:divBdr>
        <w:top w:val="none" w:sz="0" w:space="0" w:color="auto"/>
        <w:left w:val="none" w:sz="0" w:space="0" w:color="auto"/>
        <w:bottom w:val="none" w:sz="0" w:space="0" w:color="auto"/>
        <w:right w:val="none" w:sz="0" w:space="0" w:color="auto"/>
      </w:divBdr>
    </w:div>
    <w:div w:id="80104626">
      <w:bodyDiv w:val="1"/>
      <w:marLeft w:val="0"/>
      <w:marRight w:val="0"/>
      <w:marTop w:val="0"/>
      <w:marBottom w:val="0"/>
      <w:divBdr>
        <w:top w:val="none" w:sz="0" w:space="0" w:color="auto"/>
        <w:left w:val="none" w:sz="0" w:space="0" w:color="auto"/>
        <w:bottom w:val="none" w:sz="0" w:space="0" w:color="auto"/>
        <w:right w:val="none" w:sz="0" w:space="0" w:color="auto"/>
      </w:divBdr>
    </w:div>
    <w:div w:id="80494616">
      <w:bodyDiv w:val="1"/>
      <w:marLeft w:val="0"/>
      <w:marRight w:val="0"/>
      <w:marTop w:val="0"/>
      <w:marBottom w:val="0"/>
      <w:divBdr>
        <w:top w:val="none" w:sz="0" w:space="0" w:color="auto"/>
        <w:left w:val="none" w:sz="0" w:space="0" w:color="auto"/>
        <w:bottom w:val="none" w:sz="0" w:space="0" w:color="auto"/>
        <w:right w:val="none" w:sz="0" w:space="0" w:color="auto"/>
      </w:divBdr>
    </w:div>
    <w:div w:id="146746832">
      <w:bodyDiv w:val="1"/>
      <w:marLeft w:val="0"/>
      <w:marRight w:val="0"/>
      <w:marTop w:val="0"/>
      <w:marBottom w:val="0"/>
      <w:divBdr>
        <w:top w:val="none" w:sz="0" w:space="0" w:color="auto"/>
        <w:left w:val="none" w:sz="0" w:space="0" w:color="auto"/>
        <w:bottom w:val="none" w:sz="0" w:space="0" w:color="auto"/>
        <w:right w:val="none" w:sz="0" w:space="0" w:color="auto"/>
      </w:divBdr>
    </w:div>
    <w:div w:id="151986745">
      <w:bodyDiv w:val="1"/>
      <w:marLeft w:val="0"/>
      <w:marRight w:val="0"/>
      <w:marTop w:val="0"/>
      <w:marBottom w:val="0"/>
      <w:divBdr>
        <w:top w:val="none" w:sz="0" w:space="0" w:color="auto"/>
        <w:left w:val="none" w:sz="0" w:space="0" w:color="auto"/>
        <w:bottom w:val="none" w:sz="0" w:space="0" w:color="auto"/>
        <w:right w:val="none" w:sz="0" w:space="0" w:color="auto"/>
      </w:divBdr>
    </w:div>
    <w:div w:id="172885344">
      <w:bodyDiv w:val="1"/>
      <w:marLeft w:val="0"/>
      <w:marRight w:val="0"/>
      <w:marTop w:val="0"/>
      <w:marBottom w:val="0"/>
      <w:divBdr>
        <w:top w:val="none" w:sz="0" w:space="0" w:color="auto"/>
        <w:left w:val="none" w:sz="0" w:space="0" w:color="auto"/>
        <w:bottom w:val="none" w:sz="0" w:space="0" w:color="auto"/>
        <w:right w:val="none" w:sz="0" w:space="0" w:color="auto"/>
      </w:divBdr>
      <w:divsChild>
        <w:div w:id="1451899144">
          <w:marLeft w:val="0"/>
          <w:marRight w:val="0"/>
          <w:marTop w:val="0"/>
          <w:marBottom w:val="0"/>
          <w:divBdr>
            <w:top w:val="none" w:sz="0" w:space="0" w:color="auto"/>
            <w:left w:val="none" w:sz="0" w:space="0" w:color="auto"/>
            <w:bottom w:val="none" w:sz="0" w:space="0" w:color="auto"/>
            <w:right w:val="none" w:sz="0" w:space="0" w:color="auto"/>
          </w:divBdr>
          <w:divsChild>
            <w:div w:id="1686977069">
              <w:marLeft w:val="0"/>
              <w:marRight w:val="0"/>
              <w:marTop w:val="0"/>
              <w:marBottom w:val="0"/>
              <w:divBdr>
                <w:top w:val="none" w:sz="0" w:space="0" w:color="auto"/>
                <w:left w:val="none" w:sz="0" w:space="0" w:color="auto"/>
                <w:bottom w:val="none" w:sz="0" w:space="0" w:color="auto"/>
                <w:right w:val="none" w:sz="0" w:space="0" w:color="auto"/>
              </w:divBdr>
            </w:div>
          </w:divsChild>
        </w:div>
        <w:div w:id="249200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05756">
      <w:bodyDiv w:val="1"/>
      <w:marLeft w:val="0"/>
      <w:marRight w:val="0"/>
      <w:marTop w:val="0"/>
      <w:marBottom w:val="0"/>
      <w:divBdr>
        <w:top w:val="none" w:sz="0" w:space="0" w:color="auto"/>
        <w:left w:val="none" w:sz="0" w:space="0" w:color="auto"/>
        <w:bottom w:val="none" w:sz="0" w:space="0" w:color="auto"/>
        <w:right w:val="none" w:sz="0" w:space="0" w:color="auto"/>
      </w:divBdr>
    </w:div>
    <w:div w:id="301467152">
      <w:bodyDiv w:val="1"/>
      <w:marLeft w:val="0"/>
      <w:marRight w:val="0"/>
      <w:marTop w:val="0"/>
      <w:marBottom w:val="0"/>
      <w:divBdr>
        <w:top w:val="none" w:sz="0" w:space="0" w:color="auto"/>
        <w:left w:val="none" w:sz="0" w:space="0" w:color="auto"/>
        <w:bottom w:val="none" w:sz="0" w:space="0" w:color="auto"/>
        <w:right w:val="none" w:sz="0" w:space="0" w:color="auto"/>
      </w:divBdr>
    </w:div>
    <w:div w:id="332605095">
      <w:bodyDiv w:val="1"/>
      <w:marLeft w:val="0"/>
      <w:marRight w:val="0"/>
      <w:marTop w:val="0"/>
      <w:marBottom w:val="0"/>
      <w:divBdr>
        <w:top w:val="none" w:sz="0" w:space="0" w:color="auto"/>
        <w:left w:val="none" w:sz="0" w:space="0" w:color="auto"/>
        <w:bottom w:val="none" w:sz="0" w:space="0" w:color="auto"/>
        <w:right w:val="none" w:sz="0" w:space="0" w:color="auto"/>
      </w:divBdr>
    </w:div>
    <w:div w:id="342586794">
      <w:bodyDiv w:val="1"/>
      <w:marLeft w:val="0"/>
      <w:marRight w:val="0"/>
      <w:marTop w:val="0"/>
      <w:marBottom w:val="0"/>
      <w:divBdr>
        <w:top w:val="none" w:sz="0" w:space="0" w:color="auto"/>
        <w:left w:val="none" w:sz="0" w:space="0" w:color="auto"/>
        <w:bottom w:val="none" w:sz="0" w:space="0" w:color="auto"/>
        <w:right w:val="none" w:sz="0" w:space="0" w:color="auto"/>
      </w:divBdr>
    </w:div>
    <w:div w:id="345984016">
      <w:bodyDiv w:val="1"/>
      <w:marLeft w:val="0"/>
      <w:marRight w:val="0"/>
      <w:marTop w:val="0"/>
      <w:marBottom w:val="0"/>
      <w:divBdr>
        <w:top w:val="none" w:sz="0" w:space="0" w:color="auto"/>
        <w:left w:val="none" w:sz="0" w:space="0" w:color="auto"/>
        <w:bottom w:val="none" w:sz="0" w:space="0" w:color="auto"/>
        <w:right w:val="none" w:sz="0" w:space="0" w:color="auto"/>
      </w:divBdr>
      <w:divsChild>
        <w:div w:id="1500997999">
          <w:marLeft w:val="0"/>
          <w:marRight w:val="0"/>
          <w:marTop w:val="0"/>
          <w:marBottom w:val="0"/>
          <w:divBdr>
            <w:top w:val="none" w:sz="0" w:space="0" w:color="auto"/>
            <w:left w:val="none" w:sz="0" w:space="0" w:color="auto"/>
            <w:bottom w:val="none" w:sz="0" w:space="0" w:color="auto"/>
            <w:right w:val="none" w:sz="0" w:space="0" w:color="auto"/>
          </w:divBdr>
          <w:divsChild>
            <w:div w:id="1183782222">
              <w:marLeft w:val="0"/>
              <w:marRight w:val="0"/>
              <w:marTop w:val="0"/>
              <w:marBottom w:val="0"/>
              <w:divBdr>
                <w:top w:val="none" w:sz="0" w:space="0" w:color="auto"/>
                <w:left w:val="none" w:sz="0" w:space="0" w:color="auto"/>
                <w:bottom w:val="none" w:sz="0" w:space="0" w:color="auto"/>
                <w:right w:val="none" w:sz="0" w:space="0" w:color="auto"/>
              </w:divBdr>
            </w:div>
          </w:divsChild>
        </w:div>
        <w:div w:id="1703625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1876">
      <w:bodyDiv w:val="1"/>
      <w:marLeft w:val="0"/>
      <w:marRight w:val="0"/>
      <w:marTop w:val="0"/>
      <w:marBottom w:val="0"/>
      <w:divBdr>
        <w:top w:val="none" w:sz="0" w:space="0" w:color="auto"/>
        <w:left w:val="none" w:sz="0" w:space="0" w:color="auto"/>
        <w:bottom w:val="none" w:sz="0" w:space="0" w:color="auto"/>
        <w:right w:val="none" w:sz="0" w:space="0" w:color="auto"/>
      </w:divBdr>
    </w:div>
    <w:div w:id="365562174">
      <w:bodyDiv w:val="1"/>
      <w:marLeft w:val="0"/>
      <w:marRight w:val="0"/>
      <w:marTop w:val="0"/>
      <w:marBottom w:val="0"/>
      <w:divBdr>
        <w:top w:val="none" w:sz="0" w:space="0" w:color="auto"/>
        <w:left w:val="none" w:sz="0" w:space="0" w:color="auto"/>
        <w:bottom w:val="none" w:sz="0" w:space="0" w:color="auto"/>
        <w:right w:val="none" w:sz="0" w:space="0" w:color="auto"/>
      </w:divBdr>
      <w:divsChild>
        <w:div w:id="1804545056">
          <w:marLeft w:val="0"/>
          <w:marRight w:val="0"/>
          <w:marTop w:val="0"/>
          <w:marBottom w:val="0"/>
          <w:divBdr>
            <w:top w:val="none" w:sz="0" w:space="0" w:color="auto"/>
            <w:left w:val="none" w:sz="0" w:space="0" w:color="auto"/>
            <w:bottom w:val="none" w:sz="0" w:space="0" w:color="auto"/>
            <w:right w:val="none" w:sz="0" w:space="0" w:color="auto"/>
          </w:divBdr>
          <w:divsChild>
            <w:div w:id="1014501483">
              <w:marLeft w:val="0"/>
              <w:marRight w:val="0"/>
              <w:marTop w:val="0"/>
              <w:marBottom w:val="0"/>
              <w:divBdr>
                <w:top w:val="none" w:sz="0" w:space="0" w:color="auto"/>
                <w:left w:val="none" w:sz="0" w:space="0" w:color="auto"/>
                <w:bottom w:val="none" w:sz="0" w:space="0" w:color="auto"/>
                <w:right w:val="none" w:sz="0" w:space="0" w:color="auto"/>
              </w:divBdr>
            </w:div>
          </w:divsChild>
        </w:div>
        <w:div w:id="1352293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153286">
      <w:bodyDiv w:val="1"/>
      <w:marLeft w:val="0"/>
      <w:marRight w:val="0"/>
      <w:marTop w:val="0"/>
      <w:marBottom w:val="0"/>
      <w:divBdr>
        <w:top w:val="none" w:sz="0" w:space="0" w:color="auto"/>
        <w:left w:val="none" w:sz="0" w:space="0" w:color="auto"/>
        <w:bottom w:val="none" w:sz="0" w:space="0" w:color="auto"/>
        <w:right w:val="none" w:sz="0" w:space="0" w:color="auto"/>
      </w:divBdr>
      <w:divsChild>
        <w:div w:id="190266937">
          <w:marLeft w:val="0"/>
          <w:marRight w:val="0"/>
          <w:marTop w:val="0"/>
          <w:marBottom w:val="0"/>
          <w:divBdr>
            <w:top w:val="none" w:sz="0" w:space="0" w:color="auto"/>
            <w:left w:val="none" w:sz="0" w:space="0" w:color="auto"/>
            <w:bottom w:val="none" w:sz="0" w:space="0" w:color="auto"/>
            <w:right w:val="none" w:sz="0" w:space="0" w:color="auto"/>
          </w:divBdr>
          <w:divsChild>
            <w:div w:id="1559973290">
              <w:marLeft w:val="0"/>
              <w:marRight w:val="0"/>
              <w:marTop w:val="0"/>
              <w:marBottom w:val="0"/>
              <w:divBdr>
                <w:top w:val="none" w:sz="0" w:space="0" w:color="auto"/>
                <w:left w:val="none" w:sz="0" w:space="0" w:color="auto"/>
                <w:bottom w:val="none" w:sz="0" w:space="0" w:color="auto"/>
                <w:right w:val="none" w:sz="0" w:space="0" w:color="auto"/>
              </w:divBdr>
            </w:div>
          </w:divsChild>
        </w:div>
        <w:div w:id="1488520540">
          <w:marLeft w:val="0"/>
          <w:marRight w:val="0"/>
          <w:marTop w:val="0"/>
          <w:marBottom w:val="0"/>
          <w:divBdr>
            <w:top w:val="none" w:sz="0" w:space="0" w:color="auto"/>
            <w:left w:val="none" w:sz="0" w:space="0" w:color="auto"/>
            <w:bottom w:val="none" w:sz="0" w:space="0" w:color="auto"/>
            <w:right w:val="none" w:sz="0" w:space="0" w:color="auto"/>
          </w:divBdr>
          <w:divsChild>
            <w:div w:id="777455445">
              <w:marLeft w:val="0"/>
              <w:marRight w:val="0"/>
              <w:marTop w:val="0"/>
              <w:marBottom w:val="0"/>
              <w:divBdr>
                <w:top w:val="none" w:sz="0" w:space="0" w:color="auto"/>
                <w:left w:val="none" w:sz="0" w:space="0" w:color="auto"/>
                <w:bottom w:val="none" w:sz="0" w:space="0" w:color="auto"/>
                <w:right w:val="none" w:sz="0" w:space="0" w:color="auto"/>
              </w:divBdr>
            </w:div>
          </w:divsChild>
        </w:div>
        <w:div w:id="985472489">
          <w:marLeft w:val="0"/>
          <w:marRight w:val="0"/>
          <w:marTop w:val="0"/>
          <w:marBottom w:val="0"/>
          <w:divBdr>
            <w:top w:val="none" w:sz="0" w:space="0" w:color="auto"/>
            <w:left w:val="none" w:sz="0" w:space="0" w:color="auto"/>
            <w:bottom w:val="none" w:sz="0" w:space="0" w:color="auto"/>
            <w:right w:val="none" w:sz="0" w:space="0" w:color="auto"/>
          </w:divBdr>
          <w:divsChild>
            <w:div w:id="78099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99898">
      <w:bodyDiv w:val="1"/>
      <w:marLeft w:val="0"/>
      <w:marRight w:val="0"/>
      <w:marTop w:val="0"/>
      <w:marBottom w:val="0"/>
      <w:divBdr>
        <w:top w:val="none" w:sz="0" w:space="0" w:color="auto"/>
        <w:left w:val="none" w:sz="0" w:space="0" w:color="auto"/>
        <w:bottom w:val="none" w:sz="0" w:space="0" w:color="auto"/>
        <w:right w:val="none" w:sz="0" w:space="0" w:color="auto"/>
      </w:divBdr>
    </w:div>
    <w:div w:id="463237677">
      <w:bodyDiv w:val="1"/>
      <w:marLeft w:val="0"/>
      <w:marRight w:val="0"/>
      <w:marTop w:val="0"/>
      <w:marBottom w:val="0"/>
      <w:divBdr>
        <w:top w:val="none" w:sz="0" w:space="0" w:color="auto"/>
        <w:left w:val="none" w:sz="0" w:space="0" w:color="auto"/>
        <w:bottom w:val="none" w:sz="0" w:space="0" w:color="auto"/>
        <w:right w:val="none" w:sz="0" w:space="0" w:color="auto"/>
      </w:divBdr>
      <w:divsChild>
        <w:div w:id="917906865">
          <w:marLeft w:val="0"/>
          <w:marRight w:val="0"/>
          <w:marTop w:val="0"/>
          <w:marBottom w:val="0"/>
          <w:divBdr>
            <w:top w:val="none" w:sz="0" w:space="0" w:color="auto"/>
            <w:left w:val="none" w:sz="0" w:space="0" w:color="auto"/>
            <w:bottom w:val="none" w:sz="0" w:space="0" w:color="auto"/>
            <w:right w:val="none" w:sz="0" w:space="0" w:color="auto"/>
          </w:divBdr>
          <w:divsChild>
            <w:div w:id="1159425440">
              <w:marLeft w:val="0"/>
              <w:marRight w:val="0"/>
              <w:marTop w:val="0"/>
              <w:marBottom w:val="0"/>
              <w:divBdr>
                <w:top w:val="none" w:sz="0" w:space="0" w:color="auto"/>
                <w:left w:val="none" w:sz="0" w:space="0" w:color="auto"/>
                <w:bottom w:val="none" w:sz="0" w:space="0" w:color="auto"/>
                <w:right w:val="none" w:sz="0" w:space="0" w:color="auto"/>
              </w:divBdr>
            </w:div>
          </w:divsChild>
        </w:div>
        <w:div w:id="35947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514073">
      <w:bodyDiv w:val="1"/>
      <w:marLeft w:val="0"/>
      <w:marRight w:val="0"/>
      <w:marTop w:val="0"/>
      <w:marBottom w:val="0"/>
      <w:divBdr>
        <w:top w:val="none" w:sz="0" w:space="0" w:color="auto"/>
        <w:left w:val="none" w:sz="0" w:space="0" w:color="auto"/>
        <w:bottom w:val="none" w:sz="0" w:space="0" w:color="auto"/>
        <w:right w:val="none" w:sz="0" w:space="0" w:color="auto"/>
      </w:divBdr>
      <w:divsChild>
        <w:div w:id="953755932">
          <w:marLeft w:val="0"/>
          <w:marRight w:val="0"/>
          <w:marTop w:val="0"/>
          <w:marBottom w:val="0"/>
          <w:divBdr>
            <w:top w:val="none" w:sz="0" w:space="0" w:color="auto"/>
            <w:left w:val="none" w:sz="0" w:space="0" w:color="auto"/>
            <w:bottom w:val="none" w:sz="0" w:space="0" w:color="auto"/>
            <w:right w:val="none" w:sz="0" w:space="0" w:color="auto"/>
          </w:divBdr>
          <w:divsChild>
            <w:div w:id="7345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46768">
      <w:bodyDiv w:val="1"/>
      <w:marLeft w:val="0"/>
      <w:marRight w:val="0"/>
      <w:marTop w:val="0"/>
      <w:marBottom w:val="0"/>
      <w:divBdr>
        <w:top w:val="none" w:sz="0" w:space="0" w:color="auto"/>
        <w:left w:val="none" w:sz="0" w:space="0" w:color="auto"/>
        <w:bottom w:val="none" w:sz="0" w:space="0" w:color="auto"/>
        <w:right w:val="none" w:sz="0" w:space="0" w:color="auto"/>
      </w:divBdr>
      <w:divsChild>
        <w:div w:id="2026638521">
          <w:marLeft w:val="0"/>
          <w:marRight w:val="0"/>
          <w:marTop w:val="0"/>
          <w:marBottom w:val="0"/>
          <w:divBdr>
            <w:top w:val="none" w:sz="0" w:space="0" w:color="auto"/>
            <w:left w:val="none" w:sz="0" w:space="0" w:color="auto"/>
            <w:bottom w:val="none" w:sz="0" w:space="0" w:color="auto"/>
            <w:right w:val="none" w:sz="0" w:space="0" w:color="auto"/>
          </w:divBdr>
          <w:divsChild>
            <w:div w:id="813254781">
              <w:marLeft w:val="0"/>
              <w:marRight w:val="0"/>
              <w:marTop w:val="0"/>
              <w:marBottom w:val="0"/>
              <w:divBdr>
                <w:top w:val="none" w:sz="0" w:space="0" w:color="auto"/>
                <w:left w:val="none" w:sz="0" w:space="0" w:color="auto"/>
                <w:bottom w:val="none" w:sz="0" w:space="0" w:color="auto"/>
                <w:right w:val="none" w:sz="0" w:space="0" w:color="auto"/>
              </w:divBdr>
            </w:div>
          </w:divsChild>
        </w:div>
        <w:div w:id="543450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309764">
      <w:bodyDiv w:val="1"/>
      <w:marLeft w:val="0"/>
      <w:marRight w:val="0"/>
      <w:marTop w:val="0"/>
      <w:marBottom w:val="0"/>
      <w:divBdr>
        <w:top w:val="none" w:sz="0" w:space="0" w:color="auto"/>
        <w:left w:val="none" w:sz="0" w:space="0" w:color="auto"/>
        <w:bottom w:val="none" w:sz="0" w:space="0" w:color="auto"/>
        <w:right w:val="none" w:sz="0" w:space="0" w:color="auto"/>
      </w:divBdr>
    </w:div>
    <w:div w:id="583220066">
      <w:bodyDiv w:val="1"/>
      <w:marLeft w:val="0"/>
      <w:marRight w:val="0"/>
      <w:marTop w:val="0"/>
      <w:marBottom w:val="0"/>
      <w:divBdr>
        <w:top w:val="none" w:sz="0" w:space="0" w:color="auto"/>
        <w:left w:val="none" w:sz="0" w:space="0" w:color="auto"/>
        <w:bottom w:val="none" w:sz="0" w:space="0" w:color="auto"/>
        <w:right w:val="none" w:sz="0" w:space="0" w:color="auto"/>
      </w:divBdr>
    </w:div>
    <w:div w:id="602542598">
      <w:bodyDiv w:val="1"/>
      <w:marLeft w:val="0"/>
      <w:marRight w:val="0"/>
      <w:marTop w:val="0"/>
      <w:marBottom w:val="0"/>
      <w:divBdr>
        <w:top w:val="none" w:sz="0" w:space="0" w:color="auto"/>
        <w:left w:val="none" w:sz="0" w:space="0" w:color="auto"/>
        <w:bottom w:val="none" w:sz="0" w:space="0" w:color="auto"/>
        <w:right w:val="none" w:sz="0" w:space="0" w:color="auto"/>
      </w:divBdr>
      <w:divsChild>
        <w:div w:id="506406471">
          <w:marLeft w:val="0"/>
          <w:marRight w:val="0"/>
          <w:marTop w:val="0"/>
          <w:marBottom w:val="0"/>
          <w:divBdr>
            <w:top w:val="none" w:sz="0" w:space="0" w:color="auto"/>
            <w:left w:val="none" w:sz="0" w:space="0" w:color="auto"/>
            <w:bottom w:val="none" w:sz="0" w:space="0" w:color="auto"/>
            <w:right w:val="none" w:sz="0" w:space="0" w:color="auto"/>
          </w:divBdr>
          <w:divsChild>
            <w:div w:id="1767657061">
              <w:marLeft w:val="0"/>
              <w:marRight w:val="0"/>
              <w:marTop w:val="0"/>
              <w:marBottom w:val="0"/>
              <w:divBdr>
                <w:top w:val="none" w:sz="0" w:space="0" w:color="auto"/>
                <w:left w:val="none" w:sz="0" w:space="0" w:color="auto"/>
                <w:bottom w:val="none" w:sz="0" w:space="0" w:color="auto"/>
                <w:right w:val="none" w:sz="0" w:space="0" w:color="auto"/>
              </w:divBdr>
            </w:div>
          </w:divsChild>
        </w:div>
        <w:div w:id="1553812654">
          <w:marLeft w:val="0"/>
          <w:marRight w:val="0"/>
          <w:marTop w:val="0"/>
          <w:marBottom w:val="0"/>
          <w:divBdr>
            <w:top w:val="none" w:sz="0" w:space="0" w:color="auto"/>
            <w:left w:val="none" w:sz="0" w:space="0" w:color="auto"/>
            <w:bottom w:val="none" w:sz="0" w:space="0" w:color="auto"/>
            <w:right w:val="none" w:sz="0" w:space="0" w:color="auto"/>
          </w:divBdr>
          <w:divsChild>
            <w:div w:id="503011640">
              <w:marLeft w:val="0"/>
              <w:marRight w:val="0"/>
              <w:marTop w:val="0"/>
              <w:marBottom w:val="0"/>
              <w:divBdr>
                <w:top w:val="none" w:sz="0" w:space="0" w:color="auto"/>
                <w:left w:val="none" w:sz="0" w:space="0" w:color="auto"/>
                <w:bottom w:val="none" w:sz="0" w:space="0" w:color="auto"/>
                <w:right w:val="none" w:sz="0" w:space="0" w:color="auto"/>
              </w:divBdr>
            </w:div>
          </w:divsChild>
        </w:div>
        <w:div w:id="1181358561">
          <w:marLeft w:val="0"/>
          <w:marRight w:val="0"/>
          <w:marTop w:val="0"/>
          <w:marBottom w:val="0"/>
          <w:divBdr>
            <w:top w:val="none" w:sz="0" w:space="0" w:color="auto"/>
            <w:left w:val="none" w:sz="0" w:space="0" w:color="auto"/>
            <w:bottom w:val="none" w:sz="0" w:space="0" w:color="auto"/>
            <w:right w:val="none" w:sz="0" w:space="0" w:color="auto"/>
          </w:divBdr>
          <w:divsChild>
            <w:div w:id="1366054349">
              <w:marLeft w:val="0"/>
              <w:marRight w:val="0"/>
              <w:marTop w:val="0"/>
              <w:marBottom w:val="0"/>
              <w:divBdr>
                <w:top w:val="none" w:sz="0" w:space="0" w:color="auto"/>
                <w:left w:val="none" w:sz="0" w:space="0" w:color="auto"/>
                <w:bottom w:val="none" w:sz="0" w:space="0" w:color="auto"/>
                <w:right w:val="none" w:sz="0" w:space="0" w:color="auto"/>
              </w:divBdr>
            </w:div>
          </w:divsChild>
        </w:div>
        <w:div w:id="1064373344">
          <w:marLeft w:val="0"/>
          <w:marRight w:val="0"/>
          <w:marTop w:val="0"/>
          <w:marBottom w:val="0"/>
          <w:divBdr>
            <w:top w:val="none" w:sz="0" w:space="0" w:color="auto"/>
            <w:left w:val="none" w:sz="0" w:space="0" w:color="auto"/>
            <w:bottom w:val="none" w:sz="0" w:space="0" w:color="auto"/>
            <w:right w:val="none" w:sz="0" w:space="0" w:color="auto"/>
          </w:divBdr>
          <w:divsChild>
            <w:div w:id="428506416">
              <w:marLeft w:val="0"/>
              <w:marRight w:val="0"/>
              <w:marTop w:val="0"/>
              <w:marBottom w:val="0"/>
              <w:divBdr>
                <w:top w:val="none" w:sz="0" w:space="0" w:color="auto"/>
                <w:left w:val="none" w:sz="0" w:space="0" w:color="auto"/>
                <w:bottom w:val="none" w:sz="0" w:space="0" w:color="auto"/>
                <w:right w:val="none" w:sz="0" w:space="0" w:color="auto"/>
              </w:divBdr>
            </w:div>
          </w:divsChild>
        </w:div>
        <w:div w:id="1353991293">
          <w:marLeft w:val="0"/>
          <w:marRight w:val="0"/>
          <w:marTop w:val="0"/>
          <w:marBottom w:val="0"/>
          <w:divBdr>
            <w:top w:val="none" w:sz="0" w:space="0" w:color="auto"/>
            <w:left w:val="none" w:sz="0" w:space="0" w:color="auto"/>
            <w:bottom w:val="none" w:sz="0" w:space="0" w:color="auto"/>
            <w:right w:val="none" w:sz="0" w:space="0" w:color="auto"/>
          </w:divBdr>
          <w:divsChild>
            <w:div w:id="20823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17214">
      <w:bodyDiv w:val="1"/>
      <w:marLeft w:val="0"/>
      <w:marRight w:val="0"/>
      <w:marTop w:val="0"/>
      <w:marBottom w:val="0"/>
      <w:divBdr>
        <w:top w:val="none" w:sz="0" w:space="0" w:color="auto"/>
        <w:left w:val="none" w:sz="0" w:space="0" w:color="auto"/>
        <w:bottom w:val="none" w:sz="0" w:space="0" w:color="auto"/>
        <w:right w:val="none" w:sz="0" w:space="0" w:color="auto"/>
      </w:divBdr>
    </w:div>
    <w:div w:id="835847455">
      <w:bodyDiv w:val="1"/>
      <w:marLeft w:val="0"/>
      <w:marRight w:val="0"/>
      <w:marTop w:val="0"/>
      <w:marBottom w:val="0"/>
      <w:divBdr>
        <w:top w:val="none" w:sz="0" w:space="0" w:color="auto"/>
        <w:left w:val="none" w:sz="0" w:space="0" w:color="auto"/>
        <w:bottom w:val="none" w:sz="0" w:space="0" w:color="auto"/>
        <w:right w:val="none" w:sz="0" w:space="0" w:color="auto"/>
      </w:divBdr>
      <w:divsChild>
        <w:div w:id="713043047">
          <w:marLeft w:val="0"/>
          <w:marRight w:val="0"/>
          <w:marTop w:val="0"/>
          <w:marBottom w:val="0"/>
          <w:divBdr>
            <w:top w:val="none" w:sz="0" w:space="0" w:color="auto"/>
            <w:left w:val="none" w:sz="0" w:space="0" w:color="auto"/>
            <w:bottom w:val="none" w:sz="0" w:space="0" w:color="auto"/>
            <w:right w:val="none" w:sz="0" w:space="0" w:color="auto"/>
          </w:divBdr>
          <w:divsChild>
            <w:div w:id="1226523080">
              <w:marLeft w:val="0"/>
              <w:marRight w:val="0"/>
              <w:marTop w:val="0"/>
              <w:marBottom w:val="0"/>
              <w:divBdr>
                <w:top w:val="none" w:sz="0" w:space="0" w:color="auto"/>
                <w:left w:val="none" w:sz="0" w:space="0" w:color="auto"/>
                <w:bottom w:val="none" w:sz="0" w:space="0" w:color="auto"/>
                <w:right w:val="none" w:sz="0" w:space="0" w:color="auto"/>
              </w:divBdr>
            </w:div>
          </w:divsChild>
        </w:div>
        <w:div w:id="2009094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8658131">
      <w:bodyDiv w:val="1"/>
      <w:marLeft w:val="0"/>
      <w:marRight w:val="0"/>
      <w:marTop w:val="0"/>
      <w:marBottom w:val="0"/>
      <w:divBdr>
        <w:top w:val="none" w:sz="0" w:space="0" w:color="auto"/>
        <w:left w:val="none" w:sz="0" w:space="0" w:color="auto"/>
        <w:bottom w:val="none" w:sz="0" w:space="0" w:color="auto"/>
        <w:right w:val="none" w:sz="0" w:space="0" w:color="auto"/>
      </w:divBdr>
    </w:div>
    <w:div w:id="993989859">
      <w:bodyDiv w:val="1"/>
      <w:marLeft w:val="0"/>
      <w:marRight w:val="0"/>
      <w:marTop w:val="0"/>
      <w:marBottom w:val="0"/>
      <w:divBdr>
        <w:top w:val="none" w:sz="0" w:space="0" w:color="auto"/>
        <w:left w:val="none" w:sz="0" w:space="0" w:color="auto"/>
        <w:bottom w:val="none" w:sz="0" w:space="0" w:color="auto"/>
        <w:right w:val="none" w:sz="0" w:space="0" w:color="auto"/>
      </w:divBdr>
    </w:div>
    <w:div w:id="994332168">
      <w:bodyDiv w:val="1"/>
      <w:marLeft w:val="0"/>
      <w:marRight w:val="0"/>
      <w:marTop w:val="0"/>
      <w:marBottom w:val="0"/>
      <w:divBdr>
        <w:top w:val="none" w:sz="0" w:space="0" w:color="auto"/>
        <w:left w:val="none" w:sz="0" w:space="0" w:color="auto"/>
        <w:bottom w:val="none" w:sz="0" w:space="0" w:color="auto"/>
        <w:right w:val="none" w:sz="0" w:space="0" w:color="auto"/>
      </w:divBdr>
      <w:divsChild>
        <w:div w:id="115934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496316">
      <w:bodyDiv w:val="1"/>
      <w:marLeft w:val="0"/>
      <w:marRight w:val="0"/>
      <w:marTop w:val="0"/>
      <w:marBottom w:val="0"/>
      <w:divBdr>
        <w:top w:val="none" w:sz="0" w:space="0" w:color="auto"/>
        <w:left w:val="none" w:sz="0" w:space="0" w:color="auto"/>
        <w:bottom w:val="none" w:sz="0" w:space="0" w:color="auto"/>
        <w:right w:val="none" w:sz="0" w:space="0" w:color="auto"/>
      </w:divBdr>
      <w:divsChild>
        <w:div w:id="529998890">
          <w:marLeft w:val="0"/>
          <w:marRight w:val="0"/>
          <w:marTop w:val="0"/>
          <w:marBottom w:val="0"/>
          <w:divBdr>
            <w:top w:val="none" w:sz="0" w:space="0" w:color="auto"/>
            <w:left w:val="none" w:sz="0" w:space="0" w:color="auto"/>
            <w:bottom w:val="none" w:sz="0" w:space="0" w:color="auto"/>
            <w:right w:val="none" w:sz="0" w:space="0" w:color="auto"/>
          </w:divBdr>
          <w:divsChild>
            <w:div w:id="722212693">
              <w:marLeft w:val="0"/>
              <w:marRight w:val="0"/>
              <w:marTop w:val="0"/>
              <w:marBottom w:val="0"/>
              <w:divBdr>
                <w:top w:val="none" w:sz="0" w:space="0" w:color="auto"/>
                <w:left w:val="none" w:sz="0" w:space="0" w:color="auto"/>
                <w:bottom w:val="none" w:sz="0" w:space="0" w:color="auto"/>
                <w:right w:val="none" w:sz="0" w:space="0" w:color="auto"/>
              </w:divBdr>
            </w:div>
          </w:divsChild>
        </w:div>
        <w:div w:id="1707291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6806839">
      <w:bodyDiv w:val="1"/>
      <w:marLeft w:val="0"/>
      <w:marRight w:val="0"/>
      <w:marTop w:val="0"/>
      <w:marBottom w:val="0"/>
      <w:divBdr>
        <w:top w:val="none" w:sz="0" w:space="0" w:color="auto"/>
        <w:left w:val="none" w:sz="0" w:space="0" w:color="auto"/>
        <w:bottom w:val="none" w:sz="0" w:space="0" w:color="auto"/>
        <w:right w:val="none" w:sz="0" w:space="0" w:color="auto"/>
      </w:divBdr>
      <w:divsChild>
        <w:div w:id="76364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665819">
      <w:bodyDiv w:val="1"/>
      <w:marLeft w:val="0"/>
      <w:marRight w:val="0"/>
      <w:marTop w:val="0"/>
      <w:marBottom w:val="0"/>
      <w:divBdr>
        <w:top w:val="none" w:sz="0" w:space="0" w:color="auto"/>
        <w:left w:val="none" w:sz="0" w:space="0" w:color="auto"/>
        <w:bottom w:val="none" w:sz="0" w:space="0" w:color="auto"/>
        <w:right w:val="none" w:sz="0" w:space="0" w:color="auto"/>
      </w:divBdr>
      <w:divsChild>
        <w:div w:id="1163862518">
          <w:marLeft w:val="0"/>
          <w:marRight w:val="0"/>
          <w:marTop w:val="0"/>
          <w:marBottom w:val="0"/>
          <w:divBdr>
            <w:top w:val="none" w:sz="0" w:space="0" w:color="auto"/>
            <w:left w:val="none" w:sz="0" w:space="0" w:color="auto"/>
            <w:bottom w:val="none" w:sz="0" w:space="0" w:color="auto"/>
            <w:right w:val="none" w:sz="0" w:space="0" w:color="auto"/>
          </w:divBdr>
          <w:divsChild>
            <w:div w:id="663169936">
              <w:marLeft w:val="0"/>
              <w:marRight w:val="0"/>
              <w:marTop w:val="0"/>
              <w:marBottom w:val="0"/>
              <w:divBdr>
                <w:top w:val="none" w:sz="0" w:space="0" w:color="auto"/>
                <w:left w:val="none" w:sz="0" w:space="0" w:color="auto"/>
                <w:bottom w:val="none" w:sz="0" w:space="0" w:color="auto"/>
                <w:right w:val="none" w:sz="0" w:space="0" w:color="auto"/>
              </w:divBdr>
            </w:div>
          </w:divsChild>
        </w:div>
        <w:div w:id="1755855154">
          <w:marLeft w:val="0"/>
          <w:marRight w:val="0"/>
          <w:marTop w:val="0"/>
          <w:marBottom w:val="0"/>
          <w:divBdr>
            <w:top w:val="none" w:sz="0" w:space="0" w:color="auto"/>
            <w:left w:val="none" w:sz="0" w:space="0" w:color="auto"/>
            <w:bottom w:val="none" w:sz="0" w:space="0" w:color="auto"/>
            <w:right w:val="none" w:sz="0" w:space="0" w:color="auto"/>
          </w:divBdr>
          <w:divsChild>
            <w:div w:id="2133358977">
              <w:marLeft w:val="0"/>
              <w:marRight w:val="0"/>
              <w:marTop w:val="0"/>
              <w:marBottom w:val="0"/>
              <w:divBdr>
                <w:top w:val="none" w:sz="0" w:space="0" w:color="auto"/>
                <w:left w:val="none" w:sz="0" w:space="0" w:color="auto"/>
                <w:bottom w:val="none" w:sz="0" w:space="0" w:color="auto"/>
                <w:right w:val="none" w:sz="0" w:space="0" w:color="auto"/>
              </w:divBdr>
            </w:div>
          </w:divsChild>
        </w:div>
        <w:div w:id="1104302658">
          <w:marLeft w:val="0"/>
          <w:marRight w:val="0"/>
          <w:marTop w:val="0"/>
          <w:marBottom w:val="0"/>
          <w:divBdr>
            <w:top w:val="none" w:sz="0" w:space="0" w:color="auto"/>
            <w:left w:val="none" w:sz="0" w:space="0" w:color="auto"/>
            <w:bottom w:val="none" w:sz="0" w:space="0" w:color="auto"/>
            <w:right w:val="none" w:sz="0" w:space="0" w:color="auto"/>
          </w:divBdr>
          <w:divsChild>
            <w:div w:id="131860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5424">
      <w:bodyDiv w:val="1"/>
      <w:marLeft w:val="0"/>
      <w:marRight w:val="0"/>
      <w:marTop w:val="0"/>
      <w:marBottom w:val="0"/>
      <w:divBdr>
        <w:top w:val="none" w:sz="0" w:space="0" w:color="auto"/>
        <w:left w:val="none" w:sz="0" w:space="0" w:color="auto"/>
        <w:bottom w:val="none" w:sz="0" w:space="0" w:color="auto"/>
        <w:right w:val="none" w:sz="0" w:space="0" w:color="auto"/>
      </w:divBdr>
      <w:divsChild>
        <w:div w:id="352265259">
          <w:marLeft w:val="0"/>
          <w:marRight w:val="0"/>
          <w:marTop w:val="0"/>
          <w:marBottom w:val="0"/>
          <w:divBdr>
            <w:top w:val="none" w:sz="0" w:space="0" w:color="auto"/>
            <w:left w:val="none" w:sz="0" w:space="0" w:color="auto"/>
            <w:bottom w:val="none" w:sz="0" w:space="0" w:color="auto"/>
            <w:right w:val="none" w:sz="0" w:space="0" w:color="auto"/>
          </w:divBdr>
          <w:divsChild>
            <w:div w:id="2090542667">
              <w:marLeft w:val="0"/>
              <w:marRight w:val="0"/>
              <w:marTop w:val="0"/>
              <w:marBottom w:val="0"/>
              <w:divBdr>
                <w:top w:val="none" w:sz="0" w:space="0" w:color="auto"/>
                <w:left w:val="none" w:sz="0" w:space="0" w:color="auto"/>
                <w:bottom w:val="none" w:sz="0" w:space="0" w:color="auto"/>
                <w:right w:val="none" w:sz="0" w:space="0" w:color="auto"/>
              </w:divBdr>
            </w:div>
          </w:divsChild>
        </w:div>
        <w:div w:id="480313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483479">
      <w:bodyDiv w:val="1"/>
      <w:marLeft w:val="0"/>
      <w:marRight w:val="0"/>
      <w:marTop w:val="0"/>
      <w:marBottom w:val="0"/>
      <w:divBdr>
        <w:top w:val="none" w:sz="0" w:space="0" w:color="auto"/>
        <w:left w:val="none" w:sz="0" w:space="0" w:color="auto"/>
        <w:bottom w:val="none" w:sz="0" w:space="0" w:color="auto"/>
        <w:right w:val="none" w:sz="0" w:space="0" w:color="auto"/>
      </w:divBdr>
    </w:div>
    <w:div w:id="1209151674">
      <w:bodyDiv w:val="1"/>
      <w:marLeft w:val="0"/>
      <w:marRight w:val="0"/>
      <w:marTop w:val="0"/>
      <w:marBottom w:val="0"/>
      <w:divBdr>
        <w:top w:val="none" w:sz="0" w:space="0" w:color="auto"/>
        <w:left w:val="none" w:sz="0" w:space="0" w:color="auto"/>
        <w:bottom w:val="none" w:sz="0" w:space="0" w:color="auto"/>
        <w:right w:val="none" w:sz="0" w:space="0" w:color="auto"/>
      </w:divBdr>
    </w:div>
    <w:div w:id="1249657171">
      <w:bodyDiv w:val="1"/>
      <w:marLeft w:val="0"/>
      <w:marRight w:val="0"/>
      <w:marTop w:val="0"/>
      <w:marBottom w:val="0"/>
      <w:divBdr>
        <w:top w:val="none" w:sz="0" w:space="0" w:color="auto"/>
        <w:left w:val="none" w:sz="0" w:space="0" w:color="auto"/>
        <w:bottom w:val="none" w:sz="0" w:space="0" w:color="auto"/>
        <w:right w:val="none" w:sz="0" w:space="0" w:color="auto"/>
      </w:divBdr>
    </w:div>
    <w:div w:id="1294558163">
      <w:bodyDiv w:val="1"/>
      <w:marLeft w:val="0"/>
      <w:marRight w:val="0"/>
      <w:marTop w:val="0"/>
      <w:marBottom w:val="0"/>
      <w:divBdr>
        <w:top w:val="none" w:sz="0" w:space="0" w:color="auto"/>
        <w:left w:val="none" w:sz="0" w:space="0" w:color="auto"/>
        <w:bottom w:val="none" w:sz="0" w:space="0" w:color="auto"/>
        <w:right w:val="none" w:sz="0" w:space="0" w:color="auto"/>
      </w:divBdr>
      <w:divsChild>
        <w:div w:id="1905020376">
          <w:marLeft w:val="0"/>
          <w:marRight w:val="0"/>
          <w:marTop w:val="0"/>
          <w:marBottom w:val="0"/>
          <w:divBdr>
            <w:top w:val="none" w:sz="0" w:space="0" w:color="auto"/>
            <w:left w:val="none" w:sz="0" w:space="0" w:color="auto"/>
            <w:bottom w:val="none" w:sz="0" w:space="0" w:color="auto"/>
            <w:right w:val="none" w:sz="0" w:space="0" w:color="auto"/>
          </w:divBdr>
          <w:divsChild>
            <w:div w:id="439224534">
              <w:marLeft w:val="0"/>
              <w:marRight w:val="0"/>
              <w:marTop w:val="0"/>
              <w:marBottom w:val="0"/>
              <w:divBdr>
                <w:top w:val="none" w:sz="0" w:space="0" w:color="auto"/>
                <w:left w:val="none" w:sz="0" w:space="0" w:color="auto"/>
                <w:bottom w:val="none" w:sz="0" w:space="0" w:color="auto"/>
                <w:right w:val="none" w:sz="0" w:space="0" w:color="auto"/>
              </w:divBdr>
            </w:div>
          </w:divsChild>
        </w:div>
        <w:div w:id="1816338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712348">
      <w:bodyDiv w:val="1"/>
      <w:marLeft w:val="0"/>
      <w:marRight w:val="0"/>
      <w:marTop w:val="0"/>
      <w:marBottom w:val="0"/>
      <w:divBdr>
        <w:top w:val="none" w:sz="0" w:space="0" w:color="auto"/>
        <w:left w:val="none" w:sz="0" w:space="0" w:color="auto"/>
        <w:bottom w:val="none" w:sz="0" w:space="0" w:color="auto"/>
        <w:right w:val="none" w:sz="0" w:space="0" w:color="auto"/>
      </w:divBdr>
    </w:div>
    <w:div w:id="1349986733">
      <w:bodyDiv w:val="1"/>
      <w:marLeft w:val="0"/>
      <w:marRight w:val="0"/>
      <w:marTop w:val="0"/>
      <w:marBottom w:val="0"/>
      <w:divBdr>
        <w:top w:val="none" w:sz="0" w:space="0" w:color="auto"/>
        <w:left w:val="none" w:sz="0" w:space="0" w:color="auto"/>
        <w:bottom w:val="none" w:sz="0" w:space="0" w:color="auto"/>
        <w:right w:val="none" w:sz="0" w:space="0" w:color="auto"/>
      </w:divBdr>
    </w:div>
    <w:div w:id="1354117029">
      <w:bodyDiv w:val="1"/>
      <w:marLeft w:val="0"/>
      <w:marRight w:val="0"/>
      <w:marTop w:val="0"/>
      <w:marBottom w:val="0"/>
      <w:divBdr>
        <w:top w:val="none" w:sz="0" w:space="0" w:color="auto"/>
        <w:left w:val="none" w:sz="0" w:space="0" w:color="auto"/>
        <w:bottom w:val="none" w:sz="0" w:space="0" w:color="auto"/>
        <w:right w:val="none" w:sz="0" w:space="0" w:color="auto"/>
      </w:divBdr>
      <w:divsChild>
        <w:div w:id="197469148">
          <w:marLeft w:val="0"/>
          <w:marRight w:val="0"/>
          <w:marTop w:val="0"/>
          <w:marBottom w:val="0"/>
          <w:divBdr>
            <w:top w:val="none" w:sz="0" w:space="0" w:color="auto"/>
            <w:left w:val="none" w:sz="0" w:space="0" w:color="auto"/>
            <w:bottom w:val="none" w:sz="0" w:space="0" w:color="auto"/>
            <w:right w:val="none" w:sz="0" w:space="0" w:color="auto"/>
          </w:divBdr>
          <w:divsChild>
            <w:div w:id="85781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1353">
      <w:bodyDiv w:val="1"/>
      <w:marLeft w:val="0"/>
      <w:marRight w:val="0"/>
      <w:marTop w:val="0"/>
      <w:marBottom w:val="0"/>
      <w:divBdr>
        <w:top w:val="none" w:sz="0" w:space="0" w:color="auto"/>
        <w:left w:val="none" w:sz="0" w:space="0" w:color="auto"/>
        <w:bottom w:val="none" w:sz="0" w:space="0" w:color="auto"/>
        <w:right w:val="none" w:sz="0" w:space="0" w:color="auto"/>
      </w:divBdr>
      <w:divsChild>
        <w:div w:id="1233545536">
          <w:marLeft w:val="0"/>
          <w:marRight w:val="0"/>
          <w:marTop w:val="0"/>
          <w:marBottom w:val="0"/>
          <w:divBdr>
            <w:top w:val="none" w:sz="0" w:space="0" w:color="auto"/>
            <w:left w:val="none" w:sz="0" w:space="0" w:color="auto"/>
            <w:bottom w:val="none" w:sz="0" w:space="0" w:color="auto"/>
            <w:right w:val="none" w:sz="0" w:space="0" w:color="auto"/>
          </w:divBdr>
          <w:divsChild>
            <w:div w:id="1517311150">
              <w:marLeft w:val="0"/>
              <w:marRight w:val="0"/>
              <w:marTop w:val="0"/>
              <w:marBottom w:val="0"/>
              <w:divBdr>
                <w:top w:val="none" w:sz="0" w:space="0" w:color="auto"/>
                <w:left w:val="none" w:sz="0" w:space="0" w:color="auto"/>
                <w:bottom w:val="none" w:sz="0" w:space="0" w:color="auto"/>
                <w:right w:val="none" w:sz="0" w:space="0" w:color="auto"/>
              </w:divBdr>
            </w:div>
          </w:divsChild>
        </w:div>
        <w:div w:id="191366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47325">
      <w:bodyDiv w:val="1"/>
      <w:marLeft w:val="0"/>
      <w:marRight w:val="0"/>
      <w:marTop w:val="0"/>
      <w:marBottom w:val="0"/>
      <w:divBdr>
        <w:top w:val="none" w:sz="0" w:space="0" w:color="auto"/>
        <w:left w:val="none" w:sz="0" w:space="0" w:color="auto"/>
        <w:bottom w:val="none" w:sz="0" w:space="0" w:color="auto"/>
        <w:right w:val="none" w:sz="0" w:space="0" w:color="auto"/>
      </w:divBdr>
      <w:divsChild>
        <w:div w:id="317419983">
          <w:marLeft w:val="0"/>
          <w:marRight w:val="0"/>
          <w:marTop w:val="0"/>
          <w:marBottom w:val="0"/>
          <w:divBdr>
            <w:top w:val="none" w:sz="0" w:space="0" w:color="auto"/>
            <w:left w:val="none" w:sz="0" w:space="0" w:color="auto"/>
            <w:bottom w:val="none" w:sz="0" w:space="0" w:color="auto"/>
            <w:right w:val="none" w:sz="0" w:space="0" w:color="auto"/>
          </w:divBdr>
          <w:divsChild>
            <w:div w:id="1916862641">
              <w:marLeft w:val="0"/>
              <w:marRight w:val="0"/>
              <w:marTop w:val="0"/>
              <w:marBottom w:val="0"/>
              <w:divBdr>
                <w:top w:val="none" w:sz="0" w:space="0" w:color="auto"/>
                <w:left w:val="none" w:sz="0" w:space="0" w:color="auto"/>
                <w:bottom w:val="none" w:sz="0" w:space="0" w:color="auto"/>
                <w:right w:val="none" w:sz="0" w:space="0" w:color="auto"/>
              </w:divBdr>
            </w:div>
          </w:divsChild>
        </w:div>
        <w:div w:id="1211764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606414">
      <w:bodyDiv w:val="1"/>
      <w:marLeft w:val="0"/>
      <w:marRight w:val="0"/>
      <w:marTop w:val="0"/>
      <w:marBottom w:val="0"/>
      <w:divBdr>
        <w:top w:val="none" w:sz="0" w:space="0" w:color="auto"/>
        <w:left w:val="none" w:sz="0" w:space="0" w:color="auto"/>
        <w:bottom w:val="none" w:sz="0" w:space="0" w:color="auto"/>
        <w:right w:val="none" w:sz="0" w:space="0" w:color="auto"/>
      </w:divBdr>
      <w:divsChild>
        <w:div w:id="123623766">
          <w:marLeft w:val="0"/>
          <w:marRight w:val="0"/>
          <w:marTop w:val="0"/>
          <w:marBottom w:val="0"/>
          <w:divBdr>
            <w:top w:val="none" w:sz="0" w:space="0" w:color="auto"/>
            <w:left w:val="none" w:sz="0" w:space="0" w:color="auto"/>
            <w:bottom w:val="none" w:sz="0" w:space="0" w:color="auto"/>
            <w:right w:val="none" w:sz="0" w:space="0" w:color="auto"/>
          </w:divBdr>
          <w:divsChild>
            <w:div w:id="1263611761">
              <w:marLeft w:val="0"/>
              <w:marRight w:val="0"/>
              <w:marTop w:val="0"/>
              <w:marBottom w:val="0"/>
              <w:divBdr>
                <w:top w:val="none" w:sz="0" w:space="0" w:color="auto"/>
                <w:left w:val="none" w:sz="0" w:space="0" w:color="auto"/>
                <w:bottom w:val="none" w:sz="0" w:space="0" w:color="auto"/>
                <w:right w:val="none" w:sz="0" w:space="0" w:color="auto"/>
              </w:divBdr>
            </w:div>
          </w:divsChild>
        </w:div>
        <w:div w:id="1551766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038683">
      <w:bodyDiv w:val="1"/>
      <w:marLeft w:val="0"/>
      <w:marRight w:val="0"/>
      <w:marTop w:val="0"/>
      <w:marBottom w:val="0"/>
      <w:divBdr>
        <w:top w:val="none" w:sz="0" w:space="0" w:color="auto"/>
        <w:left w:val="none" w:sz="0" w:space="0" w:color="auto"/>
        <w:bottom w:val="none" w:sz="0" w:space="0" w:color="auto"/>
        <w:right w:val="none" w:sz="0" w:space="0" w:color="auto"/>
      </w:divBdr>
    </w:div>
    <w:div w:id="1597400202">
      <w:bodyDiv w:val="1"/>
      <w:marLeft w:val="0"/>
      <w:marRight w:val="0"/>
      <w:marTop w:val="0"/>
      <w:marBottom w:val="0"/>
      <w:divBdr>
        <w:top w:val="none" w:sz="0" w:space="0" w:color="auto"/>
        <w:left w:val="none" w:sz="0" w:space="0" w:color="auto"/>
        <w:bottom w:val="none" w:sz="0" w:space="0" w:color="auto"/>
        <w:right w:val="none" w:sz="0" w:space="0" w:color="auto"/>
      </w:divBdr>
      <w:divsChild>
        <w:div w:id="837771896">
          <w:marLeft w:val="0"/>
          <w:marRight w:val="0"/>
          <w:marTop w:val="0"/>
          <w:marBottom w:val="0"/>
          <w:divBdr>
            <w:top w:val="none" w:sz="0" w:space="0" w:color="auto"/>
            <w:left w:val="none" w:sz="0" w:space="0" w:color="auto"/>
            <w:bottom w:val="none" w:sz="0" w:space="0" w:color="auto"/>
            <w:right w:val="none" w:sz="0" w:space="0" w:color="auto"/>
          </w:divBdr>
          <w:divsChild>
            <w:div w:id="857693318">
              <w:marLeft w:val="0"/>
              <w:marRight w:val="0"/>
              <w:marTop w:val="0"/>
              <w:marBottom w:val="0"/>
              <w:divBdr>
                <w:top w:val="none" w:sz="0" w:space="0" w:color="auto"/>
                <w:left w:val="none" w:sz="0" w:space="0" w:color="auto"/>
                <w:bottom w:val="none" w:sz="0" w:space="0" w:color="auto"/>
                <w:right w:val="none" w:sz="0" w:space="0" w:color="auto"/>
              </w:divBdr>
            </w:div>
          </w:divsChild>
        </w:div>
        <w:div w:id="773745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298113">
      <w:bodyDiv w:val="1"/>
      <w:marLeft w:val="0"/>
      <w:marRight w:val="0"/>
      <w:marTop w:val="0"/>
      <w:marBottom w:val="0"/>
      <w:divBdr>
        <w:top w:val="none" w:sz="0" w:space="0" w:color="auto"/>
        <w:left w:val="none" w:sz="0" w:space="0" w:color="auto"/>
        <w:bottom w:val="none" w:sz="0" w:space="0" w:color="auto"/>
        <w:right w:val="none" w:sz="0" w:space="0" w:color="auto"/>
      </w:divBdr>
      <w:divsChild>
        <w:div w:id="1875267525">
          <w:marLeft w:val="0"/>
          <w:marRight w:val="0"/>
          <w:marTop w:val="0"/>
          <w:marBottom w:val="0"/>
          <w:divBdr>
            <w:top w:val="none" w:sz="0" w:space="0" w:color="auto"/>
            <w:left w:val="none" w:sz="0" w:space="0" w:color="auto"/>
            <w:bottom w:val="none" w:sz="0" w:space="0" w:color="auto"/>
            <w:right w:val="none" w:sz="0" w:space="0" w:color="auto"/>
          </w:divBdr>
          <w:divsChild>
            <w:div w:id="211229711">
              <w:marLeft w:val="0"/>
              <w:marRight w:val="0"/>
              <w:marTop w:val="0"/>
              <w:marBottom w:val="0"/>
              <w:divBdr>
                <w:top w:val="none" w:sz="0" w:space="0" w:color="auto"/>
                <w:left w:val="none" w:sz="0" w:space="0" w:color="auto"/>
                <w:bottom w:val="none" w:sz="0" w:space="0" w:color="auto"/>
                <w:right w:val="none" w:sz="0" w:space="0" w:color="auto"/>
              </w:divBdr>
            </w:div>
          </w:divsChild>
        </w:div>
        <w:div w:id="625310591">
          <w:marLeft w:val="0"/>
          <w:marRight w:val="0"/>
          <w:marTop w:val="0"/>
          <w:marBottom w:val="0"/>
          <w:divBdr>
            <w:top w:val="none" w:sz="0" w:space="0" w:color="auto"/>
            <w:left w:val="none" w:sz="0" w:space="0" w:color="auto"/>
            <w:bottom w:val="none" w:sz="0" w:space="0" w:color="auto"/>
            <w:right w:val="none" w:sz="0" w:space="0" w:color="auto"/>
          </w:divBdr>
          <w:divsChild>
            <w:div w:id="237980608">
              <w:marLeft w:val="0"/>
              <w:marRight w:val="0"/>
              <w:marTop w:val="0"/>
              <w:marBottom w:val="0"/>
              <w:divBdr>
                <w:top w:val="none" w:sz="0" w:space="0" w:color="auto"/>
                <w:left w:val="none" w:sz="0" w:space="0" w:color="auto"/>
                <w:bottom w:val="none" w:sz="0" w:space="0" w:color="auto"/>
                <w:right w:val="none" w:sz="0" w:space="0" w:color="auto"/>
              </w:divBdr>
            </w:div>
          </w:divsChild>
        </w:div>
        <w:div w:id="1766534364">
          <w:marLeft w:val="0"/>
          <w:marRight w:val="0"/>
          <w:marTop w:val="0"/>
          <w:marBottom w:val="0"/>
          <w:divBdr>
            <w:top w:val="none" w:sz="0" w:space="0" w:color="auto"/>
            <w:left w:val="none" w:sz="0" w:space="0" w:color="auto"/>
            <w:bottom w:val="none" w:sz="0" w:space="0" w:color="auto"/>
            <w:right w:val="none" w:sz="0" w:space="0" w:color="auto"/>
          </w:divBdr>
          <w:divsChild>
            <w:div w:id="1159421514">
              <w:marLeft w:val="0"/>
              <w:marRight w:val="0"/>
              <w:marTop w:val="0"/>
              <w:marBottom w:val="0"/>
              <w:divBdr>
                <w:top w:val="none" w:sz="0" w:space="0" w:color="auto"/>
                <w:left w:val="none" w:sz="0" w:space="0" w:color="auto"/>
                <w:bottom w:val="none" w:sz="0" w:space="0" w:color="auto"/>
                <w:right w:val="none" w:sz="0" w:space="0" w:color="auto"/>
              </w:divBdr>
            </w:div>
          </w:divsChild>
        </w:div>
        <w:div w:id="1311590488">
          <w:marLeft w:val="0"/>
          <w:marRight w:val="0"/>
          <w:marTop w:val="0"/>
          <w:marBottom w:val="0"/>
          <w:divBdr>
            <w:top w:val="none" w:sz="0" w:space="0" w:color="auto"/>
            <w:left w:val="none" w:sz="0" w:space="0" w:color="auto"/>
            <w:bottom w:val="none" w:sz="0" w:space="0" w:color="auto"/>
            <w:right w:val="none" w:sz="0" w:space="0" w:color="auto"/>
          </w:divBdr>
          <w:divsChild>
            <w:div w:id="1143279125">
              <w:marLeft w:val="0"/>
              <w:marRight w:val="0"/>
              <w:marTop w:val="0"/>
              <w:marBottom w:val="0"/>
              <w:divBdr>
                <w:top w:val="none" w:sz="0" w:space="0" w:color="auto"/>
                <w:left w:val="none" w:sz="0" w:space="0" w:color="auto"/>
                <w:bottom w:val="none" w:sz="0" w:space="0" w:color="auto"/>
                <w:right w:val="none" w:sz="0" w:space="0" w:color="auto"/>
              </w:divBdr>
            </w:div>
          </w:divsChild>
        </w:div>
        <w:div w:id="2107073970">
          <w:marLeft w:val="0"/>
          <w:marRight w:val="0"/>
          <w:marTop w:val="0"/>
          <w:marBottom w:val="0"/>
          <w:divBdr>
            <w:top w:val="none" w:sz="0" w:space="0" w:color="auto"/>
            <w:left w:val="none" w:sz="0" w:space="0" w:color="auto"/>
            <w:bottom w:val="none" w:sz="0" w:space="0" w:color="auto"/>
            <w:right w:val="none" w:sz="0" w:space="0" w:color="auto"/>
          </w:divBdr>
          <w:divsChild>
            <w:div w:id="8550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11558">
      <w:bodyDiv w:val="1"/>
      <w:marLeft w:val="0"/>
      <w:marRight w:val="0"/>
      <w:marTop w:val="0"/>
      <w:marBottom w:val="0"/>
      <w:divBdr>
        <w:top w:val="none" w:sz="0" w:space="0" w:color="auto"/>
        <w:left w:val="none" w:sz="0" w:space="0" w:color="auto"/>
        <w:bottom w:val="none" w:sz="0" w:space="0" w:color="auto"/>
        <w:right w:val="none" w:sz="0" w:space="0" w:color="auto"/>
      </w:divBdr>
    </w:div>
    <w:div w:id="1693649919">
      <w:bodyDiv w:val="1"/>
      <w:marLeft w:val="0"/>
      <w:marRight w:val="0"/>
      <w:marTop w:val="0"/>
      <w:marBottom w:val="0"/>
      <w:divBdr>
        <w:top w:val="none" w:sz="0" w:space="0" w:color="auto"/>
        <w:left w:val="none" w:sz="0" w:space="0" w:color="auto"/>
        <w:bottom w:val="none" w:sz="0" w:space="0" w:color="auto"/>
        <w:right w:val="none" w:sz="0" w:space="0" w:color="auto"/>
      </w:divBdr>
    </w:div>
    <w:div w:id="1705399832">
      <w:bodyDiv w:val="1"/>
      <w:marLeft w:val="0"/>
      <w:marRight w:val="0"/>
      <w:marTop w:val="0"/>
      <w:marBottom w:val="0"/>
      <w:divBdr>
        <w:top w:val="none" w:sz="0" w:space="0" w:color="auto"/>
        <w:left w:val="none" w:sz="0" w:space="0" w:color="auto"/>
        <w:bottom w:val="none" w:sz="0" w:space="0" w:color="auto"/>
        <w:right w:val="none" w:sz="0" w:space="0" w:color="auto"/>
      </w:divBdr>
      <w:divsChild>
        <w:div w:id="102042440">
          <w:marLeft w:val="0"/>
          <w:marRight w:val="0"/>
          <w:marTop w:val="0"/>
          <w:marBottom w:val="0"/>
          <w:divBdr>
            <w:top w:val="none" w:sz="0" w:space="0" w:color="auto"/>
            <w:left w:val="none" w:sz="0" w:space="0" w:color="auto"/>
            <w:bottom w:val="none" w:sz="0" w:space="0" w:color="auto"/>
            <w:right w:val="none" w:sz="0" w:space="0" w:color="auto"/>
          </w:divBdr>
          <w:divsChild>
            <w:div w:id="1319503979">
              <w:marLeft w:val="0"/>
              <w:marRight w:val="0"/>
              <w:marTop w:val="0"/>
              <w:marBottom w:val="0"/>
              <w:divBdr>
                <w:top w:val="none" w:sz="0" w:space="0" w:color="auto"/>
                <w:left w:val="none" w:sz="0" w:space="0" w:color="auto"/>
                <w:bottom w:val="none" w:sz="0" w:space="0" w:color="auto"/>
                <w:right w:val="none" w:sz="0" w:space="0" w:color="auto"/>
              </w:divBdr>
            </w:div>
          </w:divsChild>
        </w:div>
        <w:div w:id="1561480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602477">
      <w:bodyDiv w:val="1"/>
      <w:marLeft w:val="0"/>
      <w:marRight w:val="0"/>
      <w:marTop w:val="0"/>
      <w:marBottom w:val="0"/>
      <w:divBdr>
        <w:top w:val="none" w:sz="0" w:space="0" w:color="auto"/>
        <w:left w:val="none" w:sz="0" w:space="0" w:color="auto"/>
        <w:bottom w:val="none" w:sz="0" w:space="0" w:color="auto"/>
        <w:right w:val="none" w:sz="0" w:space="0" w:color="auto"/>
      </w:divBdr>
    </w:div>
    <w:div w:id="1774936066">
      <w:bodyDiv w:val="1"/>
      <w:marLeft w:val="0"/>
      <w:marRight w:val="0"/>
      <w:marTop w:val="0"/>
      <w:marBottom w:val="0"/>
      <w:divBdr>
        <w:top w:val="none" w:sz="0" w:space="0" w:color="auto"/>
        <w:left w:val="none" w:sz="0" w:space="0" w:color="auto"/>
        <w:bottom w:val="none" w:sz="0" w:space="0" w:color="auto"/>
        <w:right w:val="none" w:sz="0" w:space="0" w:color="auto"/>
      </w:divBdr>
      <w:divsChild>
        <w:div w:id="1003969971">
          <w:marLeft w:val="0"/>
          <w:marRight w:val="0"/>
          <w:marTop w:val="0"/>
          <w:marBottom w:val="0"/>
          <w:divBdr>
            <w:top w:val="none" w:sz="0" w:space="0" w:color="auto"/>
            <w:left w:val="none" w:sz="0" w:space="0" w:color="auto"/>
            <w:bottom w:val="none" w:sz="0" w:space="0" w:color="auto"/>
            <w:right w:val="none" w:sz="0" w:space="0" w:color="auto"/>
          </w:divBdr>
          <w:divsChild>
            <w:div w:id="1049035064">
              <w:marLeft w:val="0"/>
              <w:marRight w:val="0"/>
              <w:marTop w:val="0"/>
              <w:marBottom w:val="0"/>
              <w:divBdr>
                <w:top w:val="none" w:sz="0" w:space="0" w:color="auto"/>
                <w:left w:val="none" w:sz="0" w:space="0" w:color="auto"/>
                <w:bottom w:val="none" w:sz="0" w:space="0" w:color="auto"/>
                <w:right w:val="none" w:sz="0" w:space="0" w:color="auto"/>
              </w:divBdr>
            </w:div>
          </w:divsChild>
        </w:div>
        <w:div w:id="887764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132944">
      <w:bodyDiv w:val="1"/>
      <w:marLeft w:val="0"/>
      <w:marRight w:val="0"/>
      <w:marTop w:val="0"/>
      <w:marBottom w:val="0"/>
      <w:divBdr>
        <w:top w:val="none" w:sz="0" w:space="0" w:color="auto"/>
        <w:left w:val="none" w:sz="0" w:space="0" w:color="auto"/>
        <w:bottom w:val="none" w:sz="0" w:space="0" w:color="auto"/>
        <w:right w:val="none" w:sz="0" w:space="0" w:color="auto"/>
      </w:divBdr>
      <w:divsChild>
        <w:div w:id="344553124">
          <w:marLeft w:val="0"/>
          <w:marRight w:val="0"/>
          <w:marTop w:val="0"/>
          <w:marBottom w:val="0"/>
          <w:divBdr>
            <w:top w:val="none" w:sz="0" w:space="0" w:color="auto"/>
            <w:left w:val="none" w:sz="0" w:space="0" w:color="auto"/>
            <w:bottom w:val="none" w:sz="0" w:space="0" w:color="auto"/>
            <w:right w:val="none" w:sz="0" w:space="0" w:color="auto"/>
          </w:divBdr>
          <w:divsChild>
            <w:div w:id="1928534468">
              <w:marLeft w:val="0"/>
              <w:marRight w:val="0"/>
              <w:marTop w:val="0"/>
              <w:marBottom w:val="0"/>
              <w:divBdr>
                <w:top w:val="none" w:sz="0" w:space="0" w:color="auto"/>
                <w:left w:val="none" w:sz="0" w:space="0" w:color="auto"/>
                <w:bottom w:val="none" w:sz="0" w:space="0" w:color="auto"/>
                <w:right w:val="none" w:sz="0" w:space="0" w:color="auto"/>
              </w:divBdr>
            </w:div>
          </w:divsChild>
        </w:div>
        <w:div w:id="279725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000549">
      <w:bodyDiv w:val="1"/>
      <w:marLeft w:val="0"/>
      <w:marRight w:val="0"/>
      <w:marTop w:val="0"/>
      <w:marBottom w:val="0"/>
      <w:divBdr>
        <w:top w:val="none" w:sz="0" w:space="0" w:color="auto"/>
        <w:left w:val="none" w:sz="0" w:space="0" w:color="auto"/>
        <w:bottom w:val="none" w:sz="0" w:space="0" w:color="auto"/>
        <w:right w:val="none" w:sz="0" w:space="0" w:color="auto"/>
      </w:divBdr>
      <w:divsChild>
        <w:div w:id="98311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790363">
      <w:bodyDiv w:val="1"/>
      <w:marLeft w:val="0"/>
      <w:marRight w:val="0"/>
      <w:marTop w:val="0"/>
      <w:marBottom w:val="0"/>
      <w:divBdr>
        <w:top w:val="none" w:sz="0" w:space="0" w:color="auto"/>
        <w:left w:val="none" w:sz="0" w:space="0" w:color="auto"/>
        <w:bottom w:val="none" w:sz="0" w:space="0" w:color="auto"/>
        <w:right w:val="none" w:sz="0" w:space="0" w:color="auto"/>
      </w:divBdr>
      <w:divsChild>
        <w:div w:id="1649434939">
          <w:marLeft w:val="0"/>
          <w:marRight w:val="0"/>
          <w:marTop w:val="0"/>
          <w:marBottom w:val="0"/>
          <w:divBdr>
            <w:top w:val="none" w:sz="0" w:space="0" w:color="auto"/>
            <w:left w:val="none" w:sz="0" w:space="0" w:color="auto"/>
            <w:bottom w:val="none" w:sz="0" w:space="0" w:color="auto"/>
            <w:right w:val="none" w:sz="0" w:space="0" w:color="auto"/>
          </w:divBdr>
          <w:divsChild>
            <w:div w:id="1781342470">
              <w:marLeft w:val="0"/>
              <w:marRight w:val="0"/>
              <w:marTop w:val="0"/>
              <w:marBottom w:val="0"/>
              <w:divBdr>
                <w:top w:val="none" w:sz="0" w:space="0" w:color="auto"/>
                <w:left w:val="none" w:sz="0" w:space="0" w:color="auto"/>
                <w:bottom w:val="none" w:sz="0" w:space="0" w:color="auto"/>
                <w:right w:val="none" w:sz="0" w:space="0" w:color="auto"/>
              </w:divBdr>
            </w:div>
          </w:divsChild>
        </w:div>
        <w:div w:id="993878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851700">
      <w:bodyDiv w:val="1"/>
      <w:marLeft w:val="0"/>
      <w:marRight w:val="0"/>
      <w:marTop w:val="0"/>
      <w:marBottom w:val="0"/>
      <w:divBdr>
        <w:top w:val="none" w:sz="0" w:space="0" w:color="auto"/>
        <w:left w:val="none" w:sz="0" w:space="0" w:color="auto"/>
        <w:bottom w:val="none" w:sz="0" w:space="0" w:color="auto"/>
        <w:right w:val="none" w:sz="0" w:space="0" w:color="auto"/>
      </w:divBdr>
    </w:div>
    <w:div w:id="2056925159">
      <w:bodyDiv w:val="1"/>
      <w:marLeft w:val="0"/>
      <w:marRight w:val="0"/>
      <w:marTop w:val="0"/>
      <w:marBottom w:val="0"/>
      <w:divBdr>
        <w:top w:val="none" w:sz="0" w:space="0" w:color="auto"/>
        <w:left w:val="none" w:sz="0" w:space="0" w:color="auto"/>
        <w:bottom w:val="none" w:sz="0" w:space="0" w:color="auto"/>
        <w:right w:val="none" w:sz="0" w:space="0" w:color="auto"/>
      </w:divBdr>
    </w:div>
    <w:div w:id="2061241280">
      <w:bodyDiv w:val="1"/>
      <w:marLeft w:val="0"/>
      <w:marRight w:val="0"/>
      <w:marTop w:val="0"/>
      <w:marBottom w:val="0"/>
      <w:divBdr>
        <w:top w:val="none" w:sz="0" w:space="0" w:color="auto"/>
        <w:left w:val="none" w:sz="0" w:space="0" w:color="auto"/>
        <w:bottom w:val="none" w:sz="0" w:space="0" w:color="auto"/>
        <w:right w:val="none" w:sz="0" w:space="0" w:color="auto"/>
      </w:divBdr>
      <w:divsChild>
        <w:div w:id="529808135">
          <w:marLeft w:val="0"/>
          <w:marRight w:val="0"/>
          <w:marTop w:val="0"/>
          <w:marBottom w:val="0"/>
          <w:divBdr>
            <w:top w:val="none" w:sz="0" w:space="0" w:color="auto"/>
            <w:left w:val="none" w:sz="0" w:space="0" w:color="auto"/>
            <w:bottom w:val="none" w:sz="0" w:space="0" w:color="auto"/>
            <w:right w:val="none" w:sz="0" w:space="0" w:color="auto"/>
          </w:divBdr>
          <w:divsChild>
            <w:div w:id="2072539578">
              <w:marLeft w:val="0"/>
              <w:marRight w:val="0"/>
              <w:marTop w:val="0"/>
              <w:marBottom w:val="0"/>
              <w:divBdr>
                <w:top w:val="none" w:sz="0" w:space="0" w:color="auto"/>
                <w:left w:val="none" w:sz="0" w:space="0" w:color="auto"/>
                <w:bottom w:val="none" w:sz="0" w:space="0" w:color="auto"/>
                <w:right w:val="none" w:sz="0" w:space="0" w:color="auto"/>
              </w:divBdr>
            </w:div>
          </w:divsChild>
        </w:div>
        <w:div w:id="674958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559897">
      <w:bodyDiv w:val="1"/>
      <w:marLeft w:val="0"/>
      <w:marRight w:val="0"/>
      <w:marTop w:val="0"/>
      <w:marBottom w:val="0"/>
      <w:divBdr>
        <w:top w:val="none" w:sz="0" w:space="0" w:color="auto"/>
        <w:left w:val="none" w:sz="0" w:space="0" w:color="auto"/>
        <w:bottom w:val="none" w:sz="0" w:space="0" w:color="auto"/>
        <w:right w:val="none" w:sz="0" w:space="0" w:color="auto"/>
      </w:divBdr>
      <w:divsChild>
        <w:div w:id="1384672839">
          <w:marLeft w:val="0"/>
          <w:marRight w:val="0"/>
          <w:marTop w:val="0"/>
          <w:marBottom w:val="0"/>
          <w:divBdr>
            <w:top w:val="none" w:sz="0" w:space="0" w:color="auto"/>
            <w:left w:val="none" w:sz="0" w:space="0" w:color="auto"/>
            <w:bottom w:val="none" w:sz="0" w:space="0" w:color="auto"/>
            <w:right w:val="none" w:sz="0" w:space="0" w:color="auto"/>
          </w:divBdr>
          <w:divsChild>
            <w:div w:id="2048800440">
              <w:marLeft w:val="0"/>
              <w:marRight w:val="0"/>
              <w:marTop w:val="0"/>
              <w:marBottom w:val="0"/>
              <w:divBdr>
                <w:top w:val="none" w:sz="0" w:space="0" w:color="auto"/>
                <w:left w:val="none" w:sz="0" w:space="0" w:color="auto"/>
                <w:bottom w:val="none" w:sz="0" w:space="0" w:color="auto"/>
                <w:right w:val="none" w:sz="0" w:space="0" w:color="auto"/>
              </w:divBdr>
            </w:div>
          </w:divsChild>
        </w:div>
        <w:div w:id="1436905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829812">
      <w:bodyDiv w:val="1"/>
      <w:marLeft w:val="0"/>
      <w:marRight w:val="0"/>
      <w:marTop w:val="0"/>
      <w:marBottom w:val="0"/>
      <w:divBdr>
        <w:top w:val="none" w:sz="0" w:space="0" w:color="auto"/>
        <w:left w:val="none" w:sz="0" w:space="0" w:color="auto"/>
        <w:bottom w:val="none" w:sz="0" w:space="0" w:color="auto"/>
        <w:right w:val="none" w:sz="0" w:space="0" w:color="auto"/>
      </w:divBdr>
    </w:div>
    <w:div w:id="2070033992">
      <w:bodyDiv w:val="1"/>
      <w:marLeft w:val="0"/>
      <w:marRight w:val="0"/>
      <w:marTop w:val="0"/>
      <w:marBottom w:val="0"/>
      <w:divBdr>
        <w:top w:val="none" w:sz="0" w:space="0" w:color="auto"/>
        <w:left w:val="none" w:sz="0" w:space="0" w:color="auto"/>
        <w:bottom w:val="none" w:sz="0" w:space="0" w:color="auto"/>
        <w:right w:val="none" w:sz="0" w:space="0" w:color="auto"/>
      </w:divBdr>
    </w:div>
    <w:div w:id="2091729718">
      <w:bodyDiv w:val="1"/>
      <w:marLeft w:val="0"/>
      <w:marRight w:val="0"/>
      <w:marTop w:val="0"/>
      <w:marBottom w:val="0"/>
      <w:divBdr>
        <w:top w:val="none" w:sz="0" w:space="0" w:color="auto"/>
        <w:left w:val="none" w:sz="0" w:space="0" w:color="auto"/>
        <w:bottom w:val="none" w:sz="0" w:space="0" w:color="auto"/>
        <w:right w:val="none" w:sz="0" w:space="0" w:color="auto"/>
      </w:divBdr>
    </w:div>
    <w:div w:id="2098670119">
      <w:bodyDiv w:val="1"/>
      <w:marLeft w:val="0"/>
      <w:marRight w:val="0"/>
      <w:marTop w:val="0"/>
      <w:marBottom w:val="0"/>
      <w:divBdr>
        <w:top w:val="none" w:sz="0" w:space="0" w:color="auto"/>
        <w:left w:val="none" w:sz="0" w:space="0" w:color="auto"/>
        <w:bottom w:val="none" w:sz="0" w:space="0" w:color="auto"/>
        <w:right w:val="none" w:sz="0" w:space="0" w:color="auto"/>
      </w:divBdr>
    </w:div>
    <w:div w:id="2114084464">
      <w:bodyDiv w:val="1"/>
      <w:marLeft w:val="0"/>
      <w:marRight w:val="0"/>
      <w:marTop w:val="0"/>
      <w:marBottom w:val="0"/>
      <w:divBdr>
        <w:top w:val="none" w:sz="0" w:space="0" w:color="auto"/>
        <w:left w:val="none" w:sz="0" w:space="0" w:color="auto"/>
        <w:bottom w:val="none" w:sz="0" w:space="0" w:color="auto"/>
        <w:right w:val="none" w:sz="0" w:space="0" w:color="auto"/>
      </w:divBdr>
    </w:div>
    <w:div w:id="212718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www.whitehouse.gov/wp-content/uploads/2026/06/Annex-I-B.pdf" TargetMode="External"/><Relationship Id="rId7" Type="http://schemas.openxmlformats.org/officeDocument/2006/relationships/hyperlink" Target="https://www.whitehouse.gov/wp-content/uploads/2026/06/Annex-II.pdf" TargetMode="External"/><Relationship Id="rId2" Type="http://schemas.openxmlformats.org/officeDocument/2006/relationships/hyperlink" Target="https://www.whitehouse.gov/presidential-actions/2026/04/strengthening-actions-taken-to-adjust-imports-of-aluminum-steel-and-copper-into-the-united-states/" TargetMode="External"/><Relationship Id="rId1" Type="http://schemas.openxmlformats.org/officeDocument/2006/relationships/hyperlink" Target="https://www.whitehouse.gov/wp-content/uploads/2026/06/Annex-I-A.pdf" TargetMode="External"/><Relationship Id="rId6" Type="http://schemas.openxmlformats.org/officeDocument/2006/relationships/hyperlink" Target="https://www.whitehouse.gov/wp-content/uploads/2026/06/Annex-III.pdf" TargetMode="External"/><Relationship Id="rId5" Type="http://schemas.openxmlformats.org/officeDocument/2006/relationships/hyperlink" Target="https://www.whitehouse.gov/wp-content/uploads/2026/06/Annex-I-C.pdf" TargetMode="External"/><Relationship Id="rId4" Type="http://schemas.openxmlformats.org/officeDocument/2006/relationships/hyperlink" Target="https://www.whitehouse.gov/presidential-actions/2026/06/further-adjusting-the-tariff-regimes-for-imports-of-aluminum-steel-and-copper-into-the-united-sta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74439-3402-F64B-BF30-9EB997F93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2558</Words>
  <Characters>14075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Cevallos Maciel</dc:creator>
  <cp:keywords/>
  <dc:description/>
  <cp:lastModifiedBy>Edward Aleksander Dobrusin Larios</cp:lastModifiedBy>
  <cp:revision>4</cp:revision>
  <cp:lastPrinted>2026-05-07T13:23:00Z</cp:lastPrinted>
  <dcterms:created xsi:type="dcterms:W3CDTF">2026-06-04T23:35:00Z</dcterms:created>
  <dcterms:modified xsi:type="dcterms:W3CDTF">2026-06-05T17:19:00Z</dcterms:modified>
</cp:coreProperties>
</file>