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070DB" w14:textId="109E17BD" w:rsidR="008D4CC6" w:rsidRDefault="008D4CC6" w:rsidP="008D4CC6">
      <w:pPr>
        <w:spacing w:after="240"/>
        <w:jc w:val="center"/>
        <w:rPr>
          <w:rFonts w:ascii="Noto Sans" w:hAnsi="Noto Sans" w:cs="Noto Sans"/>
          <w:b/>
          <w:bCs/>
        </w:rPr>
        <w:sectPr w:rsidR="008D4CC6" w:rsidSect="008D4CC6">
          <w:headerReference w:type="default" r:id="rId8"/>
          <w:footerReference w:type="default" r:id="rId9"/>
          <w:type w:val="continuous"/>
          <w:pgSz w:w="12240" w:h="15840" w:code="1"/>
          <w:pgMar w:top="1701" w:right="1021" w:bottom="1701" w:left="1021" w:header="284" w:footer="284" w:gutter="0"/>
          <w:cols w:space="708"/>
          <w:docGrid w:linePitch="360"/>
        </w:sectPr>
      </w:pPr>
      <w:r w:rsidRPr="008D4CC6">
        <w:rPr>
          <w:rFonts w:ascii="Noto Sans" w:hAnsi="Noto Sans" w:cs="Noto Sans"/>
          <w:b/>
          <w:bCs/>
        </w:rPr>
        <w:t>Actualización de Regímenes Arancelarios Sec. 232 (Proclamación junio 20</w:t>
      </w:r>
      <w:r>
        <w:rPr>
          <w:rFonts w:ascii="Noto Sans" w:hAnsi="Noto Sans" w:cs="Noto Sans"/>
          <w:b/>
          <w:bCs/>
        </w:rPr>
        <w:t>26)</w:t>
      </w:r>
    </w:p>
    <w:p w14:paraId="37B04845" w14:textId="05E33C15" w:rsidR="008D4CC6" w:rsidRPr="004129F1" w:rsidRDefault="008D4CC6" w:rsidP="008D4CC6">
      <w:pPr>
        <w:pStyle w:val="Prrafodelista"/>
        <w:numPr>
          <w:ilvl w:val="0"/>
          <w:numId w:val="3"/>
        </w:numPr>
        <w:jc w:val="both"/>
        <w:rPr>
          <w:rFonts w:ascii="Noto Sans" w:hAnsi="Noto Sans" w:cs="Noto Sans"/>
          <w:b/>
          <w:bCs/>
          <w:sz w:val="20"/>
          <w:szCs w:val="20"/>
          <w:u w:val="single"/>
        </w:rPr>
      </w:pPr>
      <w:r w:rsidRPr="004129F1">
        <w:rPr>
          <w:rFonts w:ascii="Noto Sans" w:hAnsi="Noto Sans" w:cs="Noto Sans"/>
          <w:b/>
          <w:bCs/>
          <w:sz w:val="20"/>
          <w:szCs w:val="20"/>
          <w:u w:val="single"/>
        </w:rPr>
        <w:t>Estructura de Tasas Generales por Anexo</w:t>
      </w:r>
    </w:p>
    <w:p w14:paraId="3D75563A" w14:textId="75EC99BD" w:rsidR="008D4CC6" w:rsidRPr="004129F1" w:rsidRDefault="008D4CC6" w:rsidP="004D294F">
      <w:pPr>
        <w:spacing w:before="100" w:beforeAutospacing="1" w:after="100" w:afterAutospacing="1"/>
        <w:jc w:val="both"/>
        <w:rPr>
          <w:rFonts w:ascii="Noto Sans" w:eastAsia="Times New Roman" w:hAnsi="Noto Sans" w:cs="Noto Sans"/>
          <w:kern w:val="0"/>
          <w:sz w:val="20"/>
          <w:szCs w:val="20"/>
          <w:lang w:eastAsia="es-MX"/>
          <w14:ligatures w14:val="none"/>
        </w:rPr>
      </w:pPr>
      <w:r w:rsidRPr="004129F1">
        <w:rPr>
          <w:rFonts w:ascii="Noto Sans" w:eastAsia="Times New Roman" w:hAnsi="Noto Sans" w:cs="Noto Sans"/>
          <w:b/>
          <w:bCs/>
          <w:kern w:val="0"/>
          <w:sz w:val="20"/>
          <w:szCs w:val="20"/>
          <w:lang w:eastAsia="es-MX"/>
          <w14:ligatures w14:val="none"/>
        </w:rPr>
        <w:t>Anexo I-A (Materias Primas y Derivados Principales):</w:t>
      </w:r>
      <w:r w:rsidRPr="004129F1">
        <w:rPr>
          <w:rFonts w:ascii="Noto Sans" w:eastAsia="Times New Roman" w:hAnsi="Noto Sans" w:cs="Noto Sans"/>
          <w:kern w:val="0"/>
          <w:sz w:val="20"/>
          <w:szCs w:val="20"/>
          <w:lang w:eastAsia="es-MX"/>
          <w14:ligatures w14:val="none"/>
        </w:rPr>
        <w:t xml:space="preserve"> Tasa general del </w:t>
      </w:r>
      <w:r w:rsidRPr="004129F1">
        <w:rPr>
          <w:rFonts w:ascii="Noto Sans" w:eastAsia="Times New Roman" w:hAnsi="Noto Sans" w:cs="Noto Sans"/>
          <w:b/>
          <w:bCs/>
          <w:kern w:val="0"/>
          <w:sz w:val="20"/>
          <w:szCs w:val="20"/>
          <w:lang w:eastAsia="es-MX"/>
          <w14:ligatures w14:val="none"/>
        </w:rPr>
        <w:t>50%</w:t>
      </w:r>
      <w:r w:rsidR="00C90039" w:rsidRPr="004129F1">
        <w:rPr>
          <w:rFonts w:ascii="Noto Sans" w:eastAsia="Times New Roman" w:hAnsi="Noto Sans" w:cs="Noto Sans"/>
          <w:b/>
          <w:bCs/>
          <w:kern w:val="0"/>
          <w:sz w:val="20"/>
          <w:szCs w:val="20"/>
          <w:lang w:eastAsia="es-MX"/>
          <w14:ligatures w14:val="none"/>
        </w:rPr>
        <w:t xml:space="preserve"> </w:t>
      </w:r>
      <w:r w:rsidR="00C90039" w:rsidRPr="004129F1">
        <w:rPr>
          <w:rFonts w:ascii="Noto Sans" w:eastAsia="Times New Roman" w:hAnsi="Noto Sans" w:cs="Noto Sans"/>
          <w:kern w:val="0"/>
          <w:sz w:val="20"/>
          <w:szCs w:val="20"/>
          <w:lang w:eastAsia="es-MX"/>
          <w14:ligatures w14:val="none"/>
        </w:rPr>
        <w:t>(</w:t>
      </w:r>
      <w:r w:rsidR="00C90039" w:rsidRPr="004129F1">
        <w:rPr>
          <w:rFonts w:ascii="Noto Sans" w:eastAsia="Times New Roman" w:hAnsi="Noto Sans" w:cs="Noto Sans"/>
          <w:b/>
          <w:bCs/>
          <w:kern w:val="0"/>
          <w:sz w:val="20"/>
          <w:szCs w:val="20"/>
          <w:lang w:eastAsia="es-MX"/>
          <w14:ligatures w14:val="none"/>
        </w:rPr>
        <w:t>10%</w:t>
      </w:r>
      <w:r w:rsidR="00C90039" w:rsidRPr="004129F1">
        <w:rPr>
          <w:rFonts w:ascii="Noto Sans" w:hAnsi="Noto Sans" w:cs="Noto Sans"/>
          <w:sz w:val="20"/>
          <w:szCs w:val="20"/>
        </w:rPr>
        <w:t xml:space="preserve"> sí cumple con el umbral de </w:t>
      </w:r>
      <w:r w:rsidR="004129F1" w:rsidRPr="004129F1">
        <w:rPr>
          <w:rFonts w:ascii="Noto Sans" w:hAnsi="Noto Sans" w:cs="Noto Sans"/>
          <w:sz w:val="20"/>
          <w:szCs w:val="20"/>
        </w:rPr>
        <w:t>fundición y moldeado</w:t>
      </w:r>
      <w:r w:rsidR="00C90039" w:rsidRPr="004129F1">
        <w:rPr>
          <w:rFonts w:ascii="Noto Sans" w:hAnsi="Noto Sans" w:cs="Noto Sans"/>
          <w:sz w:val="20"/>
          <w:szCs w:val="20"/>
        </w:rPr>
        <w:t xml:space="preserve"> de EUA</w:t>
      </w:r>
      <w:r w:rsidR="003C49C2">
        <w:rPr>
          <w:rFonts w:ascii="Noto Sans" w:hAnsi="Noto Sans" w:cs="Noto Sans"/>
          <w:sz w:val="20"/>
          <w:szCs w:val="20"/>
        </w:rPr>
        <w:t xml:space="preserve"> de </w:t>
      </w:r>
      <w:r w:rsidR="003C49C2" w:rsidRPr="0086486F">
        <w:rPr>
          <w:rFonts w:ascii="Noto Sans" w:hAnsi="Noto Sans" w:cs="Noto Sans"/>
          <w:b/>
          <w:bCs/>
          <w:sz w:val="20"/>
          <w:szCs w:val="20"/>
        </w:rPr>
        <w:t>85%</w:t>
      </w:r>
      <w:r w:rsidR="003C49C2">
        <w:rPr>
          <w:rFonts w:ascii="Noto Sans" w:hAnsi="Noto Sans" w:cs="Noto Sans"/>
          <w:sz w:val="20"/>
          <w:szCs w:val="20"/>
        </w:rPr>
        <w:t xml:space="preserve">, previamente </w:t>
      </w:r>
      <w:r w:rsidR="003C49C2" w:rsidRPr="0086486F">
        <w:rPr>
          <w:rFonts w:ascii="Noto Sans" w:hAnsi="Noto Sans" w:cs="Noto Sans"/>
          <w:b/>
          <w:bCs/>
          <w:sz w:val="20"/>
          <w:szCs w:val="20"/>
        </w:rPr>
        <w:t>95%</w:t>
      </w:r>
      <w:r w:rsidR="00C90039" w:rsidRPr="004129F1">
        <w:rPr>
          <w:rFonts w:ascii="Noto Sans" w:hAnsi="Noto Sans" w:cs="Noto Sans"/>
          <w:sz w:val="20"/>
          <w:szCs w:val="20"/>
        </w:rPr>
        <w:t>)</w:t>
      </w:r>
      <w:r w:rsidRPr="004129F1">
        <w:rPr>
          <w:rFonts w:ascii="Noto Sans" w:eastAsia="Times New Roman" w:hAnsi="Noto Sans" w:cs="Noto Sans"/>
          <w:kern w:val="0"/>
          <w:sz w:val="20"/>
          <w:szCs w:val="20"/>
          <w:lang w:eastAsia="es-MX"/>
          <w14:ligatures w14:val="none"/>
        </w:rPr>
        <w:t>.</w:t>
      </w:r>
    </w:p>
    <w:p w14:paraId="2672229B" w14:textId="788979D9" w:rsidR="008D4CC6" w:rsidRPr="004129F1" w:rsidRDefault="008D4CC6" w:rsidP="008D4CC6">
      <w:pPr>
        <w:jc w:val="both"/>
        <w:rPr>
          <w:rFonts w:ascii="Noto Sans" w:eastAsia="Times New Roman" w:hAnsi="Noto Sans" w:cs="Noto Sans"/>
          <w:kern w:val="0"/>
          <w:sz w:val="20"/>
          <w:szCs w:val="20"/>
          <w:lang w:eastAsia="es-MX"/>
          <w14:ligatures w14:val="none"/>
        </w:rPr>
      </w:pPr>
      <w:r w:rsidRPr="004129F1">
        <w:rPr>
          <w:rFonts w:ascii="Noto Sans" w:eastAsia="Times New Roman" w:hAnsi="Noto Sans" w:cs="Noto Sans"/>
          <w:b/>
          <w:bCs/>
          <w:kern w:val="0"/>
          <w:sz w:val="20"/>
          <w:szCs w:val="20"/>
          <w:lang w:eastAsia="es-MX"/>
          <w14:ligatures w14:val="none"/>
        </w:rPr>
        <w:t>Anexo I-B (Derivados Secundarios e Insumos):</w:t>
      </w:r>
      <w:r w:rsidRPr="004129F1">
        <w:rPr>
          <w:rFonts w:ascii="Noto Sans" w:eastAsia="Times New Roman" w:hAnsi="Noto Sans" w:cs="Noto Sans"/>
          <w:kern w:val="0"/>
          <w:sz w:val="20"/>
          <w:szCs w:val="20"/>
          <w:lang w:eastAsia="es-MX"/>
          <w14:ligatures w14:val="none"/>
        </w:rPr>
        <w:t xml:space="preserve"> Tasa general del </w:t>
      </w:r>
      <w:r w:rsidRPr="004129F1">
        <w:rPr>
          <w:rFonts w:ascii="Noto Sans" w:eastAsia="Times New Roman" w:hAnsi="Noto Sans" w:cs="Noto Sans"/>
          <w:b/>
          <w:bCs/>
          <w:kern w:val="0"/>
          <w:sz w:val="20"/>
          <w:szCs w:val="20"/>
          <w:lang w:eastAsia="es-MX"/>
          <w14:ligatures w14:val="none"/>
        </w:rPr>
        <w:t>25%</w:t>
      </w:r>
      <w:r w:rsidR="00C90039" w:rsidRPr="004129F1">
        <w:rPr>
          <w:rFonts w:ascii="Noto Sans" w:eastAsia="Times New Roman" w:hAnsi="Noto Sans" w:cs="Noto Sans"/>
          <w:b/>
          <w:bCs/>
          <w:kern w:val="0"/>
          <w:sz w:val="20"/>
          <w:szCs w:val="20"/>
          <w:lang w:eastAsia="es-MX"/>
          <w14:ligatures w14:val="none"/>
        </w:rPr>
        <w:t xml:space="preserve"> </w:t>
      </w:r>
      <w:r w:rsidR="004129F1" w:rsidRPr="004129F1">
        <w:rPr>
          <w:rFonts w:ascii="Noto Sans" w:eastAsia="Times New Roman" w:hAnsi="Noto Sans" w:cs="Noto Sans"/>
          <w:kern w:val="0"/>
          <w:sz w:val="20"/>
          <w:szCs w:val="20"/>
          <w:lang w:eastAsia="es-MX"/>
          <w14:ligatures w14:val="none"/>
        </w:rPr>
        <w:t>(</w:t>
      </w:r>
      <w:r w:rsidR="004129F1" w:rsidRPr="004129F1">
        <w:rPr>
          <w:rFonts w:ascii="Noto Sans" w:eastAsia="Times New Roman" w:hAnsi="Noto Sans" w:cs="Noto Sans"/>
          <w:b/>
          <w:bCs/>
          <w:kern w:val="0"/>
          <w:sz w:val="20"/>
          <w:szCs w:val="20"/>
          <w:lang w:eastAsia="es-MX"/>
          <w14:ligatures w14:val="none"/>
        </w:rPr>
        <w:t>10%</w:t>
      </w:r>
      <w:r w:rsidR="004129F1" w:rsidRPr="004129F1">
        <w:rPr>
          <w:rFonts w:ascii="Noto Sans" w:hAnsi="Noto Sans" w:cs="Noto Sans"/>
          <w:sz w:val="20"/>
          <w:szCs w:val="20"/>
        </w:rPr>
        <w:t xml:space="preserve"> sí cumple con el umbral de fundición y moldeado de EUA)</w:t>
      </w:r>
      <w:r w:rsidR="004129F1" w:rsidRPr="004129F1">
        <w:rPr>
          <w:rFonts w:ascii="Noto Sans" w:eastAsia="Times New Roman" w:hAnsi="Noto Sans" w:cs="Noto Sans"/>
          <w:kern w:val="0"/>
          <w:sz w:val="20"/>
          <w:szCs w:val="20"/>
          <w:lang w:eastAsia="es-MX"/>
          <w14:ligatures w14:val="none"/>
        </w:rPr>
        <w:t>.</w:t>
      </w:r>
    </w:p>
    <w:p w14:paraId="677AC3BE" w14:textId="77777777" w:rsidR="00114F68" w:rsidRDefault="00114F68" w:rsidP="008D4CC6">
      <w:pPr>
        <w:jc w:val="both"/>
        <w:rPr>
          <w:rFonts w:ascii="Noto Sans" w:hAnsi="Noto Sans" w:cs="Noto Sans"/>
          <w:sz w:val="20"/>
          <w:szCs w:val="20"/>
        </w:rPr>
      </w:pPr>
    </w:p>
    <w:p w14:paraId="74041679" w14:textId="06B3F3FF" w:rsidR="003779F5" w:rsidRDefault="003779F5" w:rsidP="003779F5">
      <w:pPr>
        <w:jc w:val="both"/>
        <w:rPr>
          <w:rFonts w:ascii="Noto Sans" w:hAnsi="Noto Sans" w:cs="Noto Sans"/>
          <w:sz w:val="20"/>
          <w:szCs w:val="20"/>
        </w:rPr>
      </w:pPr>
      <w:r>
        <w:rPr>
          <w:rFonts w:ascii="Noto Sans" w:hAnsi="Noto Sans" w:cs="Noto Sans"/>
          <w:sz w:val="20"/>
          <w:szCs w:val="20"/>
        </w:rPr>
        <w:t xml:space="preserve">Si </w:t>
      </w:r>
      <w:r w:rsidR="00695AA3">
        <w:rPr>
          <w:rFonts w:ascii="Noto Sans" w:hAnsi="Noto Sans" w:cs="Noto Sans"/>
          <w:sz w:val="20"/>
          <w:szCs w:val="20"/>
        </w:rPr>
        <w:t xml:space="preserve">cualquier parte clasificable en los capítulos </w:t>
      </w:r>
      <w:r w:rsidR="00695AA3" w:rsidRPr="0086486F">
        <w:rPr>
          <w:rFonts w:ascii="Noto Sans" w:hAnsi="Noto Sans" w:cs="Noto Sans"/>
          <w:b/>
          <w:bCs/>
          <w:sz w:val="20"/>
          <w:szCs w:val="20"/>
        </w:rPr>
        <w:t>84, 85 u 87</w:t>
      </w:r>
      <w:r w:rsidR="00695AA3">
        <w:rPr>
          <w:rFonts w:ascii="Noto Sans" w:hAnsi="Noto Sans" w:cs="Noto Sans"/>
          <w:sz w:val="20"/>
          <w:szCs w:val="20"/>
        </w:rPr>
        <w:t xml:space="preserve"> dentro de este anexo, </w:t>
      </w:r>
      <w:r>
        <w:rPr>
          <w:rFonts w:ascii="Noto Sans" w:hAnsi="Noto Sans" w:cs="Noto Sans"/>
          <w:sz w:val="20"/>
          <w:szCs w:val="20"/>
        </w:rPr>
        <w:t xml:space="preserve">entra para uso final en la manufactura de </w:t>
      </w:r>
      <w:proofErr w:type="spellStart"/>
      <w:r>
        <w:rPr>
          <w:rFonts w:ascii="Noto Sans" w:hAnsi="Noto Sans" w:cs="Noto Sans"/>
          <w:i/>
          <w:iCs/>
          <w:sz w:val="20"/>
          <w:szCs w:val="20"/>
        </w:rPr>
        <w:t>mobile</w:t>
      </w:r>
      <w:proofErr w:type="spellEnd"/>
      <w:r>
        <w:rPr>
          <w:rFonts w:ascii="Noto Sans" w:hAnsi="Noto Sans" w:cs="Noto Sans"/>
          <w:i/>
          <w:iCs/>
          <w:sz w:val="20"/>
          <w:szCs w:val="20"/>
        </w:rPr>
        <w:t xml:space="preserve"> industrial </w:t>
      </w:r>
      <w:proofErr w:type="spellStart"/>
      <w:r>
        <w:rPr>
          <w:rFonts w:ascii="Noto Sans" w:hAnsi="Noto Sans" w:cs="Noto Sans"/>
          <w:i/>
          <w:iCs/>
          <w:sz w:val="20"/>
          <w:szCs w:val="20"/>
        </w:rPr>
        <w:t>equipment</w:t>
      </w:r>
      <w:proofErr w:type="spellEnd"/>
      <w:r w:rsidR="00272B09">
        <w:rPr>
          <w:rFonts w:ascii="Noto Sans" w:hAnsi="Noto Sans" w:cs="Noto Sans"/>
          <w:sz w:val="20"/>
          <w:szCs w:val="20"/>
        </w:rPr>
        <w:t xml:space="preserve"> listados en el </w:t>
      </w:r>
      <w:r w:rsidR="00272B09" w:rsidRPr="0086486F">
        <w:rPr>
          <w:rFonts w:ascii="Noto Sans" w:hAnsi="Noto Sans" w:cs="Noto Sans"/>
          <w:b/>
          <w:bCs/>
          <w:sz w:val="20"/>
          <w:szCs w:val="20"/>
        </w:rPr>
        <w:t>Anexo I-C</w:t>
      </w:r>
      <w:r w:rsidR="00272B09">
        <w:rPr>
          <w:rFonts w:ascii="Noto Sans" w:hAnsi="Noto Sans" w:cs="Noto Sans"/>
          <w:sz w:val="20"/>
          <w:szCs w:val="20"/>
        </w:rPr>
        <w:t>, y</w:t>
      </w:r>
      <w:r w:rsidR="00272B09">
        <w:rPr>
          <w:rFonts w:ascii="Noto Sans" w:hAnsi="Noto Sans" w:cs="Noto Sans"/>
          <w:i/>
          <w:iCs/>
          <w:sz w:val="20"/>
          <w:szCs w:val="20"/>
        </w:rPr>
        <w:t xml:space="preserve"> </w:t>
      </w:r>
      <w:proofErr w:type="spellStart"/>
      <w:r>
        <w:rPr>
          <w:rFonts w:ascii="Noto Sans" w:hAnsi="Noto Sans" w:cs="Noto Sans"/>
          <w:i/>
          <w:iCs/>
          <w:sz w:val="20"/>
          <w:szCs w:val="20"/>
        </w:rPr>
        <w:t>agricultural</w:t>
      </w:r>
      <w:proofErr w:type="spellEnd"/>
      <w:r>
        <w:rPr>
          <w:rFonts w:ascii="Noto Sans" w:hAnsi="Noto Sans" w:cs="Noto Sans"/>
          <w:i/>
          <w:iCs/>
          <w:sz w:val="20"/>
          <w:szCs w:val="20"/>
        </w:rPr>
        <w:t xml:space="preserve"> </w:t>
      </w:r>
      <w:proofErr w:type="spellStart"/>
      <w:r>
        <w:rPr>
          <w:rFonts w:ascii="Noto Sans" w:hAnsi="Noto Sans" w:cs="Noto Sans"/>
          <w:i/>
          <w:iCs/>
          <w:sz w:val="20"/>
          <w:szCs w:val="20"/>
        </w:rPr>
        <w:t>equipment</w:t>
      </w:r>
      <w:proofErr w:type="spellEnd"/>
      <w:r>
        <w:rPr>
          <w:rFonts w:ascii="Noto Sans" w:hAnsi="Noto Sans" w:cs="Noto Sans"/>
          <w:sz w:val="20"/>
          <w:szCs w:val="20"/>
        </w:rPr>
        <w:t xml:space="preserve"> o </w:t>
      </w:r>
      <w:proofErr w:type="spellStart"/>
      <w:r>
        <w:rPr>
          <w:rFonts w:ascii="Noto Sans" w:hAnsi="Noto Sans" w:cs="Noto Sans"/>
          <w:i/>
          <w:iCs/>
          <w:sz w:val="20"/>
          <w:szCs w:val="20"/>
        </w:rPr>
        <w:t>fixed</w:t>
      </w:r>
      <w:proofErr w:type="spellEnd"/>
      <w:r>
        <w:rPr>
          <w:rFonts w:ascii="Noto Sans" w:hAnsi="Noto Sans" w:cs="Noto Sans"/>
          <w:i/>
          <w:iCs/>
          <w:sz w:val="20"/>
          <w:szCs w:val="20"/>
        </w:rPr>
        <w:t xml:space="preserve"> industrial </w:t>
      </w:r>
      <w:proofErr w:type="spellStart"/>
      <w:r>
        <w:rPr>
          <w:rFonts w:ascii="Noto Sans" w:hAnsi="Noto Sans" w:cs="Noto Sans"/>
          <w:i/>
          <w:iCs/>
          <w:sz w:val="20"/>
          <w:szCs w:val="20"/>
        </w:rPr>
        <w:t>equipment</w:t>
      </w:r>
      <w:proofErr w:type="spellEnd"/>
      <w:r w:rsidR="00272B09">
        <w:t xml:space="preserve"> </w:t>
      </w:r>
      <w:r w:rsidR="00272B09" w:rsidRPr="00272B09">
        <w:rPr>
          <w:rFonts w:ascii="Noto Sans" w:hAnsi="Noto Sans" w:cs="Noto Sans"/>
          <w:sz w:val="20"/>
          <w:szCs w:val="20"/>
        </w:rPr>
        <w:t>listados</w:t>
      </w:r>
      <w:r w:rsidR="00272B09">
        <w:rPr>
          <w:rFonts w:ascii="Noto Sans" w:hAnsi="Noto Sans" w:cs="Noto Sans"/>
          <w:sz w:val="20"/>
          <w:szCs w:val="20"/>
        </w:rPr>
        <w:t xml:space="preserve"> en el </w:t>
      </w:r>
      <w:r w:rsidR="00272B09" w:rsidRPr="0086486F">
        <w:rPr>
          <w:rFonts w:ascii="Noto Sans" w:hAnsi="Noto Sans" w:cs="Noto Sans"/>
          <w:b/>
          <w:bCs/>
          <w:sz w:val="20"/>
          <w:szCs w:val="20"/>
        </w:rPr>
        <w:t>Anexo III</w:t>
      </w:r>
      <w:r>
        <w:rPr>
          <w:rFonts w:ascii="Noto Sans" w:hAnsi="Noto Sans" w:cs="Noto Sans"/>
          <w:sz w:val="20"/>
          <w:szCs w:val="20"/>
        </w:rPr>
        <w:t>, pero no cumple con el umbral de fundición y moldeado de EUA:</w:t>
      </w:r>
    </w:p>
    <w:p w14:paraId="5BDF12AC" w14:textId="77777777" w:rsidR="003779F5" w:rsidRDefault="003779F5" w:rsidP="003779F5">
      <w:pPr>
        <w:jc w:val="both"/>
        <w:rPr>
          <w:rFonts w:ascii="Noto Sans" w:hAnsi="Noto Sans" w:cs="Noto Sans"/>
          <w:sz w:val="20"/>
          <w:szCs w:val="20"/>
        </w:rPr>
      </w:pPr>
    </w:p>
    <w:p w14:paraId="7796ECB7" w14:textId="3F0B356C" w:rsidR="003779F5" w:rsidRPr="003779F5" w:rsidRDefault="003779F5" w:rsidP="008D4CC6">
      <w:pPr>
        <w:jc w:val="both"/>
        <w:rPr>
          <w:rFonts w:ascii="Noto Sans" w:hAnsi="Noto Sans" w:cs="Noto Sans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 w:cs="Noto Sans"/>
              <w:sz w:val="20"/>
              <w:szCs w:val="20"/>
            </w:rPr>
            <m:t>max⁡</m:t>
          </m:r>
          <m:r>
            <w:rPr>
              <w:rFonts w:ascii="Cambria Math" w:hAnsi="Cambria Math" w:cs="Noto Sans"/>
              <w:sz w:val="20"/>
              <w:szCs w:val="20"/>
            </w:rPr>
            <m:t>{0,</m:t>
          </m:r>
          <m:d>
            <m:dPr>
              <m:ctrlPr>
                <w:rPr>
                  <w:rFonts w:ascii="Cambria Math" w:hAnsi="Cambria Math" w:cs="Noto Sans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Noto Sans"/>
                  <w:sz w:val="20"/>
                  <w:szCs w:val="20"/>
                </w:rPr>
                <m:t>15%-Column 1 Rate</m:t>
              </m:r>
            </m:e>
          </m:d>
          <m:r>
            <w:rPr>
              <w:rFonts w:ascii="Cambria Math" w:hAnsi="Cambria Math" w:cs="Noto Sans"/>
              <w:sz w:val="20"/>
              <w:szCs w:val="20"/>
            </w:rPr>
            <m:t>}</m:t>
          </m:r>
        </m:oMath>
      </m:oMathPara>
    </w:p>
    <w:p w14:paraId="118AA75C" w14:textId="77777777" w:rsidR="00695AA3" w:rsidRPr="004129F1" w:rsidRDefault="00695AA3" w:rsidP="008D4CC6">
      <w:pPr>
        <w:jc w:val="both"/>
        <w:rPr>
          <w:rFonts w:ascii="Noto Sans" w:hAnsi="Noto Sans" w:cs="Noto Sans"/>
          <w:sz w:val="20"/>
          <w:szCs w:val="20"/>
        </w:rPr>
      </w:pPr>
    </w:p>
    <w:p w14:paraId="2BC4584E" w14:textId="77777777" w:rsidR="008D4CC6" w:rsidRPr="004129F1" w:rsidRDefault="008D4CC6" w:rsidP="008D4CC6">
      <w:pPr>
        <w:jc w:val="both"/>
        <w:rPr>
          <w:rFonts w:ascii="Noto Sans" w:hAnsi="Noto Sans" w:cs="Noto Sans"/>
          <w:sz w:val="20"/>
          <w:szCs w:val="20"/>
        </w:rPr>
      </w:pPr>
      <w:r w:rsidRPr="004129F1">
        <w:rPr>
          <w:rFonts w:ascii="Noto Sans" w:hAnsi="Noto Sans" w:cs="Noto Sans"/>
          <w:b/>
          <w:bCs/>
          <w:sz w:val="20"/>
          <w:szCs w:val="20"/>
        </w:rPr>
        <w:t>Anexo I-C (Maquinaria y Equipo Móvil):</w:t>
      </w:r>
      <w:r w:rsidRPr="004129F1">
        <w:rPr>
          <w:rFonts w:ascii="Noto Sans" w:hAnsi="Noto Sans" w:cs="Noto Sans"/>
          <w:sz w:val="20"/>
          <w:szCs w:val="20"/>
        </w:rPr>
        <w:t xml:space="preserve"> Tasa general temporal del </w:t>
      </w:r>
      <w:r w:rsidRPr="004129F1">
        <w:rPr>
          <w:rFonts w:ascii="Noto Sans" w:hAnsi="Noto Sans" w:cs="Noto Sans"/>
          <w:b/>
          <w:bCs/>
          <w:sz w:val="20"/>
          <w:szCs w:val="20"/>
        </w:rPr>
        <w:t>25%</w:t>
      </w:r>
      <w:r w:rsidRPr="004129F1">
        <w:rPr>
          <w:rFonts w:ascii="Noto Sans" w:hAnsi="Noto Sans" w:cs="Noto Sans"/>
          <w:sz w:val="20"/>
          <w:szCs w:val="20"/>
        </w:rPr>
        <w:t>.</w:t>
      </w:r>
    </w:p>
    <w:p w14:paraId="2975448E" w14:textId="77777777" w:rsidR="00E347FC" w:rsidRDefault="00E347FC" w:rsidP="008D4CC6">
      <w:pPr>
        <w:jc w:val="both"/>
        <w:rPr>
          <w:rFonts w:ascii="Noto Sans" w:hAnsi="Noto Sans" w:cs="Noto Sans"/>
          <w:sz w:val="20"/>
          <w:szCs w:val="20"/>
        </w:rPr>
      </w:pPr>
    </w:p>
    <w:p w14:paraId="143EE9F6" w14:textId="213B8E2B" w:rsidR="003779F5" w:rsidRPr="004129F1" w:rsidRDefault="003779F5" w:rsidP="003779F5">
      <w:pPr>
        <w:jc w:val="both"/>
        <w:rPr>
          <w:rFonts w:ascii="Noto Sans" w:hAnsi="Noto Sans" w:cs="Noto Sans"/>
          <w:sz w:val="20"/>
          <w:szCs w:val="20"/>
        </w:rPr>
      </w:pPr>
      <w:r>
        <w:rPr>
          <w:rFonts w:ascii="Noto Sans" w:hAnsi="Noto Sans" w:cs="Noto Sans"/>
          <w:sz w:val="20"/>
          <w:szCs w:val="20"/>
        </w:rPr>
        <w:t>Para aluminio fundido y moldeado en EUA o acero derretido y vertido en EUA:</w:t>
      </w:r>
    </w:p>
    <w:p w14:paraId="4CA22FD9" w14:textId="77777777" w:rsidR="003779F5" w:rsidRPr="004129F1" w:rsidRDefault="003779F5" w:rsidP="003779F5">
      <w:pPr>
        <w:jc w:val="both"/>
        <w:rPr>
          <w:rFonts w:ascii="Noto Sans" w:hAnsi="Noto Sans" w:cs="Noto Sans"/>
          <w:sz w:val="20"/>
          <w:szCs w:val="20"/>
        </w:rPr>
      </w:pPr>
    </w:p>
    <w:p w14:paraId="5949097F" w14:textId="5402EA9B" w:rsidR="003779F5" w:rsidRDefault="003F002C" w:rsidP="008D4CC6">
      <w:pPr>
        <w:jc w:val="both"/>
        <w:rPr>
          <w:rFonts w:ascii="Noto Sans" w:hAnsi="Noto Sans" w:cs="Noto Sans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 w:cs="Noto Sans"/>
              <w:sz w:val="20"/>
              <w:szCs w:val="20"/>
            </w:rPr>
            <m:t>max⁡</m:t>
          </m:r>
          <m:r>
            <w:rPr>
              <w:rFonts w:ascii="Cambria Math" w:hAnsi="Cambria Math" w:cs="Noto Sans"/>
              <w:sz w:val="20"/>
              <w:szCs w:val="20"/>
            </w:rPr>
            <m:t>{0,(10%-Column 1 Rate)}</m:t>
          </m:r>
        </m:oMath>
      </m:oMathPara>
    </w:p>
    <w:p w14:paraId="166743E1" w14:textId="77777777" w:rsidR="008D4CC6" w:rsidRPr="004129F1" w:rsidRDefault="008D4CC6" w:rsidP="008D4CC6">
      <w:pPr>
        <w:jc w:val="both"/>
        <w:rPr>
          <w:rFonts w:ascii="Noto Sans" w:hAnsi="Noto Sans" w:cs="Noto Sans"/>
          <w:sz w:val="20"/>
          <w:szCs w:val="20"/>
        </w:rPr>
      </w:pPr>
    </w:p>
    <w:p w14:paraId="646F0C27" w14:textId="40A4421F" w:rsidR="008D4CC6" w:rsidRDefault="008D4CC6" w:rsidP="008D4CC6">
      <w:pPr>
        <w:jc w:val="both"/>
        <w:rPr>
          <w:rFonts w:ascii="Noto Sans" w:hAnsi="Noto Sans" w:cs="Noto Sans"/>
          <w:sz w:val="20"/>
          <w:szCs w:val="20"/>
        </w:rPr>
      </w:pPr>
      <w:r w:rsidRPr="004129F1">
        <w:rPr>
          <w:rFonts w:ascii="Noto Sans" w:hAnsi="Noto Sans" w:cs="Noto Sans"/>
          <w:b/>
          <w:bCs/>
          <w:sz w:val="20"/>
          <w:szCs w:val="20"/>
        </w:rPr>
        <w:t>Anexo II (Artículos Exentos):</w:t>
      </w:r>
      <w:r w:rsidRPr="004129F1">
        <w:rPr>
          <w:rFonts w:ascii="Noto Sans" w:hAnsi="Noto Sans" w:cs="Noto Sans"/>
          <w:sz w:val="20"/>
          <w:szCs w:val="20"/>
        </w:rPr>
        <w:t xml:space="preserve"> Tasa general del </w:t>
      </w:r>
      <w:r w:rsidRPr="004129F1">
        <w:rPr>
          <w:rFonts w:ascii="Noto Sans" w:hAnsi="Noto Sans" w:cs="Noto Sans"/>
          <w:b/>
          <w:bCs/>
          <w:sz w:val="20"/>
          <w:szCs w:val="20"/>
        </w:rPr>
        <w:t>0%</w:t>
      </w:r>
      <w:r w:rsidRPr="004129F1">
        <w:rPr>
          <w:rFonts w:ascii="Noto Sans" w:hAnsi="Noto Sans" w:cs="Noto Sans"/>
          <w:sz w:val="20"/>
          <w:szCs w:val="20"/>
        </w:rPr>
        <w:t xml:space="preserve"> (excluidos completamente del alcance de la Sección 232).</w:t>
      </w:r>
    </w:p>
    <w:p w14:paraId="183AC224" w14:textId="77777777" w:rsidR="00445A50" w:rsidRPr="004129F1" w:rsidRDefault="00445A50" w:rsidP="008D4CC6">
      <w:pPr>
        <w:jc w:val="both"/>
        <w:rPr>
          <w:rFonts w:ascii="Noto Sans" w:hAnsi="Noto Sans" w:cs="Noto Sans"/>
          <w:sz w:val="20"/>
          <w:szCs w:val="20"/>
        </w:rPr>
      </w:pPr>
    </w:p>
    <w:p w14:paraId="0491FA68" w14:textId="114FC441" w:rsidR="008D4CC6" w:rsidRPr="004129F1" w:rsidRDefault="008D4CC6" w:rsidP="008D4CC6">
      <w:pPr>
        <w:jc w:val="both"/>
        <w:rPr>
          <w:rFonts w:ascii="Noto Sans" w:hAnsi="Noto Sans" w:cs="Noto Sans"/>
          <w:sz w:val="20"/>
          <w:szCs w:val="20"/>
        </w:rPr>
      </w:pPr>
      <w:r w:rsidRPr="004129F1">
        <w:rPr>
          <w:rFonts w:ascii="Noto Sans" w:hAnsi="Noto Sans" w:cs="Noto Sans"/>
          <w:b/>
          <w:bCs/>
          <w:sz w:val="20"/>
          <w:szCs w:val="20"/>
        </w:rPr>
        <w:t>Anexo III (Reducciones Temporales):</w:t>
      </w:r>
      <w:r w:rsidRPr="004129F1">
        <w:rPr>
          <w:rFonts w:ascii="Noto Sans" w:hAnsi="Noto Sans" w:cs="Noto Sans"/>
          <w:sz w:val="20"/>
          <w:szCs w:val="20"/>
        </w:rPr>
        <w:t xml:space="preserve"> Sujetos a esquemas de reducción arancelaria o techos combinados.</w:t>
      </w:r>
    </w:p>
    <w:p w14:paraId="51FF6E67" w14:textId="77777777" w:rsidR="00160DBE" w:rsidRPr="004129F1" w:rsidRDefault="00160DBE" w:rsidP="008D4CC6">
      <w:pPr>
        <w:jc w:val="both"/>
        <w:rPr>
          <w:rFonts w:ascii="Noto Sans" w:hAnsi="Noto Sans" w:cs="Noto Sans"/>
          <w:sz w:val="20"/>
          <w:szCs w:val="20"/>
        </w:rPr>
      </w:pPr>
    </w:p>
    <w:p w14:paraId="56FC7175" w14:textId="35EC289F" w:rsidR="00160DBE" w:rsidRPr="004129F1" w:rsidRDefault="00160DBE" w:rsidP="008D4CC6">
      <w:pPr>
        <w:jc w:val="both"/>
        <w:rPr>
          <w:rFonts w:ascii="Noto Sans" w:hAnsi="Noto Sans" w:cs="Noto Sans"/>
          <w:sz w:val="20"/>
          <w:szCs w:val="20"/>
        </w:rPr>
      </w:pPr>
      <w:r w:rsidRPr="004129F1">
        <w:rPr>
          <w:rFonts w:ascii="Noto Sans" w:hAnsi="Noto Sans" w:cs="Noto Sans"/>
          <w:sz w:val="20"/>
          <w:szCs w:val="20"/>
        </w:rPr>
        <w:t xml:space="preserve">Si no cumple con el umbral de </w:t>
      </w:r>
      <w:r w:rsidR="00EC6FB0">
        <w:rPr>
          <w:rFonts w:ascii="Noto Sans" w:hAnsi="Noto Sans" w:cs="Noto Sans"/>
          <w:sz w:val="20"/>
          <w:szCs w:val="20"/>
        </w:rPr>
        <w:t>fundición y moldeado</w:t>
      </w:r>
      <w:r w:rsidRPr="004129F1">
        <w:rPr>
          <w:rFonts w:ascii="Noto Sans" w:hAnsi="Noto Sans" w:cs="Noto Sans"/>
          <w:sz w:val="20"/>
          <w:szCs w:val="20"/>
        </w:rPr>
        <w:t xml:space="preserve"> de EUA:</w:t>
      </w:r>
    </w:p>
    <w:p w14:paraId="3EE6214C" w14:textId="00568A88" w:rsidR="00C56D24" w:rsidRDefault="00C56D24" w:rsidP="004129F1">
      <w:pPr>
        <w:jc w:val="both"/>
        <w:rPr>
          <w:rFonts w:ascii="Noto Sans" w:hAnsi="Noto Sans" w:cs="Noto Sans"/>
          <w:sz w:val="20"/>
          <w:szCs w:val="20"/>
        </w:rPr>
      </w:pPr>
    </w:p>
    <w:p w14:paraId="7B336277" w14:textId="4F0AECCB" w:rsidR="003F002C" w:rsidRPr="003F002C" w:rsidRDefault="003F002C" w:rsidP="004129F1">
      <w:pPr>
        <w:jc w:val="both"/>
        <w:rPr>
          <w:rFonts w:ascii="Noto Sans" w:hAnsi="Noto Sans" w:cs="Noto Sans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 w:cs="Noto Sans"/>
              <w:sz w:val="20"/>
              <w:szCs w:val="20"/>
            </w:rPr>
            <m:t>max⁡</m:t>
          </m:r>
          <m:r>
            <w:rPr>
              <w:rFonts w:ascii="Cambria Math" w:hAnsi="Cambria Math" w:cs="Noto Sans"/>
              <w:sz w:val="20"/>
              <w:szCs w:val="20"/>
            </w:rPr>
            <m:t>{0,</m:t>
          </m:r>
          <m:d>
            <m:dPr>
              <m:ctrlPr>
                <w:rPr>
                  <w:rFonts w:ascii="Cambria Math" w:hAnsi="Cambria Math" w:cs="Noto Sans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Noto Sans"/>
                  <w:sz w:val="20"/>
                  <w:szCs w:val="20"/>
                </w:rPr>
                <m:t>15%-Column 1 Rate</m:t>
              </m:r>
            </m:e>
          </m:d>
          <m:r>
            <w:rPr>
              <w:rFonts w:ascii="Cambria Math" w:hAnsi="Cambria Math" w:cs="Noto Sans"/>
              <w:sz w:val="20"/>
              <w:szCs w:val="20"/>
            </w:rPr>
            <m:t>}</m:t>
          </m:r>
        </m:oMath>
      </m:oMathPara>
    </w:p>
    <w:p w14:paraId="2DF1046B" w14:textId="77777777" w:rsidR="00160DBE" w:rsidRPr="004129F1" w:rsidRDefault="00160DBE" w:rsidP="008D4CC6">
      <w:pPr>
        <w:jc w:val="both"/>
        <w:rPr>
          <w:rFonts w:ascii="Noto Sans" w:hAnsi="Noto Sans" w:cs="Noto Sans"/>
          <w:sz w:val="20"/>
          <w:szCs w:val="20"/>
        </w:rPr>
      </w:pPr>
    </w:p>
    <w:p w14:paraId="7F7CFF9D" w14:textId="2FA45F57" w:rsidR="00160DBE" w:rsidRPr="004129F1" w:rsidRDefault="00160DBE" w:rsidP="008D4CC6">
      <w:pPr>
        <w:jc w:val="both"/>
        <w:rPr>
          <w:rFonts w:ascii="Noto Sans" w:hAnsi="Noto Sans" w:cs="Noto Sans"/>
          <w:sz w:val="20"/>
          <w:szCs w:val="20"/>
        </w:rPr>
      </w:pPr>
      <w:r w:rsidRPr="004129F1">
        <w:rPr>
          <w:rFonts w:ascii="Noto Sans" w:hAnsi="Noto Sans" w:cs="Noto Sans"/>
          <w:sz w:val="20"/>
          <w:szCs w:val="20"/>
        </w:rPr>
        <w:t xml:space="preserve">Si cumple con el umbral de </w:t>
      </w:r>
      <w:r w:rsidR="00EC6FB0">
        <w:rPr>
          <w:rFonts w:ascii="Noto Sans" w:hAnsi="Noto Sans" w:cs="Noto Sans"/>
          <w:sz w:val="20"/>
          <w:szCs w:val="20"/>
        </w:rPr>
        <w:t>fundición y moldeado</w:t>
      </w:r>
      <w:r w:rsidRPr="004129F1">
        <w:rPr>
          <w:rFonts w:ascii="Noto Sans" w:hAnsi="Noto Sans" w:cs="Noto Sans"/>
          <w:sz w:val="20"/>
          <w:szCs w:val="20"/>
        </w:rPr>
        <w:t xml:space="preserve"> de EUA:</w:t>
      </w:r>
    </w:p>
    <w:p w14:paraId="40EB87A3" w14:textId="4AEB28C0" w:rsidR="00160DBE" w:rsidRPr="007533DB" w:rsidRDefault="00160DBE" w:rsidP="00160DBE">
      <w:pPr>
        <w:jc w:val="both"/>
        <w:rPr>
          <w:rFonts w:ascii="Noto Sans" w:eastAsiaTheme="minorEastAsia" w:hAnsi="Noto Sans" w:cs="Noto Sans"/>
          <w:sz w:val="20"/>
          <w:szCs w:val="20"/>
        </w:rPr>
      </w:pPr>
    </w:p>
    <w:p w14:paraId="0A89B636" w14:textId="77777777" w:rsidR="003F002C" w:rsidRDefault="003F002C" w:rsidP="003F002C">
      <w:pPr>
        <w:jc w:val="both"/>
        <w:rPr>
          <w:rFonts w:ascii="Noto Sans" w:hAnsi="Noto Sans" w:cs="Noto Sans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 w:cs="Noto Sans"/>
              <w:sz w:val="20"/>
              <w:szCs w:val="20"/>
            </w:rPr>
            <m:t>max⁡</m:t>
          </m:r>
          <m:r>
            <w:rPr>
              <w:rFonts w:ascii="Cambria Math" w:hAnsi="Cambria Math" w:cs="Noto Sans"/>
              <w:sz w:val="20"/>
              <w:szCs w:val="20"/>
            </w:rPr>
            <m:t>{0,(10%-Column 1 Rate)}</m:t>
          </m:r>
        </m:oMath>
      </m:oMathPara>
    </w:p>
    <w:p w14:paraId="13EF2A6D" w14:textId="77777777" w:rsidR="008D4CC6" w:rsidRPr="004129F1" w:rsidRDefault="008D4CC6" w:rsidP="008D4CC6">
      <w:pPr>
        <w:jc w:val="both"/>
        <w:rPr>
          <w:rFonts w:ascii="Noto Sans" w:hAnsi="Noto Sans" w:cs="Noto Sans"/>
          <w:sz w:val="20"/>
          <w:szCs w:val="20"/>
        </w:rPr>
      </w:pPr>
    </w:p>
    <w:p w14:paraId="19AE8AEA" w14:textId="50DBCA3F" w:rsidR="008D4CC6" w:rsidRPr="008D4CC6" w:rsidRDefault="008D4CC6" w:rsidP="008D4CC6">
      <w:pPr>
        <w:pStyle w:val="Prrafodelista"/>
        <w:numPr>
          <w:ilvl w:val="0"/>
          <w:numId w:val="3"/>
        </w:numPr>
        <w:jc w:val="both"/>
        <w:rPr>
          <w:rFonts w:ascii="Noto Sans" w:hAnsi="Noto Sans" w:cs="Noto Sans"/>
          <w:b/>
          <w:bCs/>
          <w:sz w:val="20"/>
          <w:szCs w:val="20"/>
          <w:u w:val="single"/>
        </w:rPr>
      </w:pPr>
      <w:r w:rsidRPr="008D4CC6">
        <w:rPr>
          <w:rFonts w:ascii="Noto Sans" w:hAnsi="Noto Sans" w:cs="Noto Sans"/>
          <w:b/>
          <w:bCs/>
          <w:sz w:val="20"/>
          <w:szCs w:val="20"/>
          <w:u w:val="single"/>
        </w:rPr>
        <w:t>Reglas Específicas, Excepciones y Mecanismos de Ajuste</w:t>
      </w:r>
    </w:p>
    <w:p w14:paraId="7AF7C627" w14:textId="77777777" w:rsidR="008D4CC6" w:rsidRPr="004129F1" w:rsidRDefault="008D4CC6" w:rsidP="008D4CC6">
      <w:pPr>
        <w:jc w:val="both"/>
        <w:rPr>
          <w:rFonts w:ascii="Noto Sans" w:hAnsi="Noto Sans" w:cs="Noto Sans"/>
          <w:b/>
          <w:bCs/>
          <w:sz w:val="20"/>
          <w:szCs w:val="20"/>
        </w:rPr>
      </w:pPr>
    </w:p>
    <w:p w14:paraId="79616482" w14:textId="3DC01E0B" w:rsidR="008D4CC6" w:rsidRPr="004129F1" w:rsidRDefault="008D4CC6" w:rsidP="008D4CC6">
      <w:pPr>
        <w:jc w:val="both"/>
        <w:rPr>
          <w:rFonts w:ascii="Noto Sans" w:hAnsi="Noto Sans" w:cs="Noto Sans"/>
          <w:b/>
          <w:bCs/>
          <w:sz w:val="20"/>
          <w:szCs w:val="20"/>
        </w:rPr>
      </w:pPr>
      <w:r w:rsidRPr="004129F1">
        <w:rPr>
          <w:rFonts w:ascii="Noto Sans" w:hAnsi="Noto Sans" w:cs="Noto Sans"/>
          <w:b/>
          <w:bCs/>
          <w:sz w:val="20"/>
          <w:szCs w:val="20"/>
        </w:rPr>
        <w:t>Vigencia y Reversión Programada</w:t>
      </w:r>
    </w:p>
    <w:p w14:paraId="3BEFF8EF" w14:textId="17B47FE5" w:rsidR="00635727" w:rsidRDefault="00635727" w:rsidP="008D4CC6">
      <w:pPr>
        <w:jc w:val="both"/>
        <w:rPr>
          <w:rFonts w:ascii="Noto Sans" w:hAnsi="Noto Sans" w:cs="Noto Sans"/>
          <w:sz w:val="20"/>
          <w:szCs w:val="20"/>
        </w:rPr>
      </w:pPr>
      <w:r>
        <w:rPr>
          <w:rFonts w:ascii="Noto Sans" w:hAnsi="Noto Sans" w:cs="Noto Sans"/>
          <w:sz w:val="20"/>
          <w:szCs w:val="20"/>
        </w:rPr>
        <w:t xml:space="preserve">La medida entra en vigor el </w:t>
      </w:r>
      <w:r w:rsidRPr="0086486F">
        <w:rPr>
          <w:rFonts w:ascii="Noto Sans" w:hAnsi="Noto Sans" w:cs="Noto Sans"/>
          <w:b/>
          <w:bCs/>
          <w:sz w:val="20"/>
          <w:szCs w:val="20"/>
        </w:rPr>
        <w:t>8 de junio de 2026</w:t>
      </w:r>
      <w:r>
        <w:rPr>
          <w:rFonts w:ascii="Noto Sans" w:hAnsi="Noto Sans" w:cs="Noto Sans"/>
          <w:sz w:val="20"/>
          <w:szCs w:val="20"/>
        </w:rPr>
        <w:t xml:space="preserve"> y se mantiene vigente hasta </w:t>
      </w:r>
      <w:r w:rsidRPr="0086486F">
        <w:rPr>
          <w:rFonts w:ascii="Noto Sans" w:hAnsi="Noto Sans" w:cs="Noto Sans"/>
          <w:b/>
          <w:bCs/>
          <w:sz w:val="20"/>
          <w:szCs w:val="20"/>
        </w:rPr>
        <w:t>31 de diciembre de 2027</w:t>
      </w:r>
      <w:r>
        <w:rPr>
          <w:rFonts w:ascii="Noto Sans" w:hAnsi="Noto Sans" w:cs="Noto Sans"/>
          <w:sz w:val="20"/>
          <w:szCs w:val="20"/>
        </w:rPr>
        <w:t>.</w:t>
      </w:r>
    </w:p>
    <w:p w14:paraId="1252289F" w14:textId="4225B726" w:rsidR="008D4CC6" w:rsidRPr="004129F1" w:rsidRDefault="008D4CC6" w:rsidP="008D4CC6">
      <w:pPr>
        <w:jc w:val="both"/>
        <w:rPr>
          <w:rFonts w:ascii="Noto Sans" w:hAnsi="Noto Sans" w:cs="Noto Sans"/>
          <w:sz w:val="20"/>
          <w:szCs w:val="20"/>
        </w:rPr>
      </w:pPr>
      <w:r w:rsidRPr="004129F1">
        <w:rPr>
          <w:rFonts w:ascii="Noto Sans" w:hAnsi="Noto Sans" w:cs="Noto Sans"/>
          <w:sz w:val="20"/>
          <w:szCs w:val="20"/>
        </w:rPr>
        <w:t xml:space="preserve">A partir del </w:t>
      </w:r>
      <w:r w:rsidRPr="0086486F">
        <w:rPr>
          <w:rFonts w:ascii="Noto Sans" w:hAnsi="Noto Sans" w:cs="Noto Sans"/>
          <w:b/>
          <w:bCs/>
          <w:sz w:val="20"/>
          <w:szCs w:val="20"/>
        </w:rPr>
        <w:t>1 de enero de 2028</w:t>
      </w:r>
      <w:r w:rsidRPr="004129F1">
        <w:rPr>
          <w:rFonts w:ascii="Noto Sans" w:hAnsi="Noto Sans" w:cs="Noto Sans"/>
          <w:sz w:val="20"/>
          <w:szCs w:val="20"/>
        </w:rPr>
        <w:t>, los esquemas preferenciales temporales y las subpartidas especiales (9903.82.20 a la 9903.82.26) serán eliminados del HTSUS</w:t>
      </w:r>
      <w:r w:rsidR="00C90039" w:rsidRPr="004129F1">
        <w:rPr>
          <w:rFonts w:ascii="Noto Sans" w:hAnsi="Noto Sans" w:cs="Noto Sans"/>
          <w:sz w:val="20"/>
          <w:szCs w:val="20"/>
        </w:rPr>
        <w:t>, revirtiendo los nuevos mecanismos de esta proclamación.</w:t>
      </w:r>
    </w:p>
    <w:p w14:paraId="1FFBA565" w14:textId="77777777" w:rsidR="008D4CC6" w:rsidRPr="004129F1" w:rsidRDefault="008D4CC6" w:rsidP="008D4CC6">
      <w:pPr>
        <w:jc w:val="both"/>
        <w:rPr>
          <w:rFonts w:ascii="Noto Sans" w:hAnsi="Noto Sans" w:cs="Noto Sans"/>
          <w:sz w:val="20"/>
          <w:szCs w:val="20"/>
        </w:rPr>
      </w:pPr>
    </w:p>
    <w:p w14:paraId="55AFE17B" w14:textId="379E6267" w:rsidR="008D4CC6" w:rsidRPr="004129F1" w:rsidRDefault="008D4CC6" w:rsidP="008D4CC6">
      <w:pPr>
        <w:jc w:val="both"/>
        <w:rPr>
          <w:rFonts w:ascii="Noto Sans" w:hAnsi="Noto Sans" w:cs="Noto Sans"/>
          <w:b/>
          <w:bCs/>
          <w:sz w:val="20"/>
          <w:szCs w:val="20"/>
        </w:rPr>
      </w:pPr>
      <w:r w:rsidRPr="004129F1">
        <w:rPr>
          <w:rFonts w:ascii="Noto Sans" w:hAnsi="Noto Sans" w:cs="Noto Sans"/>
          <w:b/>
          <w:bCs/>
          <w:sz w:val="20"/>
          <w:szCs w:val="20"/>
        </w:rPr>
        <w:t xml:space="preserve">Regla de Contenido </w:t>
      </w:r>
      <w:r w:rsidR="00C90039" w:rsidRPr="004129F1">
        <w:rPr>
          <w:rFonts w:ascii="Noto Sans" w:hAnsi="Noto Sans" w:cs="Noto Sans"/>
          <w:b/>
          <w:bCs/>
          <w:sz w:val="20"/>
          <w:szCs w:val="20"/>
        </w:rPr>
        <w:t>EUA</w:t>
      </w:r>
    </w:p>
    <w:p w14:paraId="3777D65E" w14:textId="056788A3" w:rsidR="008D4CC6" w:rsidRDefault="008D4CC6" w:rsidP="008D4CC6">
      <w:pPr>
        <w:jc w:val="both"/>
        <w:rPr>
          <w:rFonts w:ascii="Noto Sans" w:hAnsi="Noto Sans" w:cs="Noto Sans"/>
          <w:sz w:val="20"/>
          <w:szCs w:val="20"/>
        </w:rPr>
      </w:pPr>
      <w:r w:rsidRPr="008D4CC6">
        <w:rPr>
          <w:rFonts w:ascii="Noto Sans" w:hAnsi="Noto Sans" w:cs="Noto Sans"/>
          <w:sz w:val="20"/>
          <w:szCs w:val="20"/>
        </w:rPr>
        <w:t xml:space="preserve">El umbral legal para considerar que un producto está compuesto "enteramente" de metal estadounidense se reduce del </w:t>
      </w:r>
      <w:r w:rsidRPr="0086486F">
        <w:rPr>
          <w:rFonts w:ascii="Noto Sans" w:hAnsi="Noto Sans" w:cs="Noto Sans"/>
          <w:b/>
          <w:bCs/>
          <w:sz w:val="20"/>
          <w:szCs w:val="20"/>
        </w:rPr>
        <w:t>95%</w:t>
      </w:r>
      <w:r w:rsidRPr="008D4CC6">
        <w:rPr>
          <w:rFonts w:ascii="Noto Sans" w:hAnsi="Noto Sans" w:cs="Noto Sans"/>
          <w:sz w:val="20"/>
          <w:szCs w:val="20"/>
        </w:rPr>
        <w:t xml:space="preserve"> al </w:t>
      </w:r>
      <w:r w:rsidRPr="008D4CC6">
        <w:rPr>
          <w:rFonts w:ascii="Noto Sans" w:hAnsi="Noto Sans" w:cs="Noto Sans"/>
          <w:b/>
          <w:bCs/>
          <w:sz w:val="20"/>
          <w:szCs w:val="20"/>
        </w:rPr>
        <w:t>85%</w:t>
      </w:r>
      <w:r w:rsidRPr="008D4CC6">
        <w:rPr>
          <w:rFonts w:ascii="Noto Sans" w:hAnsi="Noto Sans" w:cs="Noto Sans"/>
          <w:sz w:val="20"/>
          <w:szCs w:val="20"/>
        </w:rPr>
        <w:t>.</w:t>
      </w:r>
    </w:p>
    <w:p w14:paraId="1ACD5C8B" w14:textId="77777777" w:rsidR="002B1AA7" w:rsidRDefault="002B1AA7" w:rsidP="008D4CC6">
      <w:pPr>
        <w:jc w:val="both"/>
        <w:rPr>
          <w:rFonts w:ascii="Noto Sans" w:hAnsi="Noto Sans" w:cs="Noto Sans"/>
          <w:sz w:val="20"/>
          <w:szCs w:val="20"/>
        </w:rPr>
      </w:pPr>
    </w:p>
    <w:p w14:paraId="717A4CB8" w14:textId="77777777" w:rsidR="002B1AA7" w:rsidRPr="002B1AA7" w:rsidRDefault="002B1AA7" w:rsidP="002B1AA7">
      <w:pPr>
        <w:jc w:val="both"/>
        <w:rPr>
          <w:rFonts w:ascii="Noto Sans" w:hAnsi="Noto Sans" w:cs="Noto Sans"/>
          <w:b/>
          <w:bCs/>
          <w:sz w:val="20"/>
          <w:szCs w:val="20"/>
        </w:rPr>
      </w:pPr>
      <w:r w:rsidRPr="002B1AA7">
        <w:rPr>
          <w:rFonts w:ascii="Noto Sans" w:hAnsi="Noto Sans" w:cs="Noto Sans"/>
          <w:b/>
          <w:bCs/>
          <w:sz w:val="20"/>
          <w:szCs w:val="20"/>
        </w:rPr>
        <w:t>Peso Mínimo de Contenido Metálico</w:t>
      </w:r>
    </w:p>
    <w:p w14:paraId="3D1A830D" w14:textId="49B1D306" w:rsidR="002B1AA7" w:rsidRPr="004129F1" w:rsidRDefault="002B1AA7" w:rsidP="008D4CC6">
      <w:pPr>
        <w:jc w:val="both"/>
        <w:rPr>
          <w:rFonts w:ascii="Noto Sans" w:hAnsi="Noto Sans" w:cs="Noto Sans"/>
          <w:sz w:val="20"/>
          <w:szCs w:val="20"/>
        </w:rPr>
      </w:pPr>
      <w:r w:rsidRPr="002B1AA7">
        <w:rPr>
          <w:rFonts w:ascii="Noto Sans" w:hAnsi="Noto Sans" w:cs="Noto Sans"/>
          <w:sz w:val="20"/>
          <w:szCs w:val="20"/>
        </w:rPr>
        <w:t>Para los artículos listados fuera de los Capítulos 72, 73, 74 y 76 del HTSUS (Anexos I-B, I-C y III), el arancel de la Sección 232 solo aplica si el peso del metal regulado representa al menos el 15% del peso total del artículo importado. Si el producto contiene diversos metales regulados (ej. aluminio y cobre), se debe sumar el peso agregado de dichos metales para calcular si se alcanza el umbral del 15%.</w:t>
      </w:r>
    </w:p>
    <w:p w14:paraId="3B0FE9D8" w14:textId="77777777" w:rsidR="00C90039" w:rsidRDefault="00C90039" w:rsidP="008D4CC6">
      <w:pPr>
        <w:jc w:val="both"/>
        <w:rPr>
          <w:rFonts w:ascii="Noto Sans" w:hAnsi="Noto Sans" w:cs="Noto Sans"/>
          <w:sz w:val="20"/>
          <w:szCs w:val="20"/>
        </w:rPr>
      </w:pPr>
    </w:p>
    <w:p w14:paraId="098B9594" w14:textId="77777777" w:rsidR="0086486F" w:rsidRDefault="0086486F" w:rsidP="008D4CC6">
      <w:pPr>
        <w:jc w:val="both"/>
        <w:rPr>
          <w:rFonts w:ascii="Noto Sans" w:hAnsi="Noto Sans" w:cs="Noto Sans"/>
          <w:b/>
          <w:bCs/>
          <w:sz w:val="20"/>
          <w:szCs w:val="20"/>
        </w:rPr>
      </w:pPr>
      <w:r w:rsidRPr="0086486F">
        <w:rPr>
          <w:rFonts w:ascii="Noto Sans" w:hAnsi="Noto Sans" w:cs="Noto Sans"/>
          <w:b/>
          <w:bCs/>
          <w:sz w:val="20"/>
          <w:szCs w:val="20"/>
        </w:rPr>
        <w:t>Excepciones para el Reino Unido</w:t>
      </w:r>
    </w:p>
    <w:p w14:paraId="58A2AFBD" w14:textId="2B522614" w:rsidR="0086486F" w:rsidRDefault="0086486F" w:rsidP="008D4CC6">
      <w:pPr>
        <w:jc w:val="both"/>
        <w:rPr>
          <w:rFonts w:ascii="Noto Sans" w:hAnsi="Noto Sans" w:cs="Noto Sans"/>
          <w:sz w:val="20"/>
          <w:szCs w:val="20"/>
        </w:rPr>
      </w:pPr>
      <w:r w:rsidRPr="0086486F">
        <w:rPr>
          <w:rFonts w:ascii="Noto Sans" w:hAnsi="Noto Sans" w:cs="Noto Sans"/>
          <w:sz w:val="20"/>
          <w:szCs w:val="20"/>
        </w:rPr>
        <w:t xml:space="preserve">Para los productos listados en el </w:t>
      </w:r>
      <w:r w:rsidRPr="0086486F">
        <w:rPr>
          <w:rFonts w:ascii="Noto Sans" w:hAnsi="Noto Sans" w:cs="Noto Sans"/>
          <w:b/>
          <w:bCs/>
          <w:sz w:val="20"/>
          <w:szCs w:val="20"/>
        </w:rPr>
        <w:t>Anexo I-A</w:t>
      </w:r>
      <w:r w:rsidRPr="0086486F">
        <w:rPr>
          <w:rFonts w:ascii="Noto Sans" w:hAnsi="Noto Sans" w:cs="Noto Sans"/>
          <w:sz w:val="20"/>
          <w:szCs w:val="20"/>
        </w:rPr>
        <w:t xml:space="preserve">, aplica una tasa preferencial del </w:t>
      </w:r>
      <w:r w:rsidRPr="0086486F">
        <w:rPr>
          <w:rFonts w:ascii="Noto Sans" w:hAnsi="Noto Sans" w:cs="Noto Sans"/>
          <w:b/>
          <w:bCs/>
          <w:sz w:val="20"/>
          <w:szCs w:val="20"/>
        </w:rPr>
        <w:t>25%</w:t>
      </w:r>
      <w:r w:rsidRPr="0086486F">
        <w:rPr>
          <w:rFonts w:ascii="Noto Sans" w:hAnsi="Noto Sans" w:cs="Noto Sans"/>
          <w:sz w:val="20"/>
          <w:szCs w:val="20"/>
        </w:rPr>
        <w:t xml:space="preserve"> (en lugar de la general del </w:t>
      </w:r>
      <w:r w:rsidRPr="0086486F">
        <w:rPr>
          <w:rFonts w:ascii="Noto Sans" w:hAnsi="Noto Sans" w:cs="Noto Sans"/>
          <w:b/>
          <w:bCs/>
          <w:sz w:val="20"/>
          <w:szCs w:val="20"/>
        </w:rPr>
        <w:t>50%</w:t>
      </w:r>
      <w:r w:rsidRPr="0086486F">
        <w:rPr>
          <w:rFonts w:ascii="Noto Sans" w:hAnsi="Noto Sans" w:cs="Noto Sans"/>
          <w:sz w:val="20"/>
          <w:szCs w:val="20"/>
        </w:rPr>
        <w:t>) si el contenido de aluminio o acero fue fundido y moldeado o derretido y vertido enteramente en el Reino Unido.</w:t>
      </w:r>
    </w:p>
    <w:p w14:paraId="30DC6E68" w14:textId="77777777" w:rsidR="0086486F" w:rsidRDefault="0086486F" w:rsidP="008D4CC6">
      <w:pPr>
        <w:jc w:val="both"/>
        <w:rPr>
          <w:rFonts w:ascii="Noto Sans" w:hAnsi="Noto Sans" w:cs="Noto Sans"/>
          <w:sz w:val="20"/>
          <w:szCs w:val="20"/>
        </w:rPr>
      </w:pPr>
    </w:p>
    <w:p w14:paraId="5A214C16" w14:textId="09AE28E8" w:rsidR="0086486F" w:rsidRDefault="0086486F" w:rsidP="008D4CC6">
      <w:pPr>
        <w:jc w:val="both"/>
        <w:rPr>
          <w:rFonts w:ascii="Noto Sans" w:hAnsi="Noto Sans" w:cs="Noto Sans"/>
          <w:sz w:val="20"/>
          <w:szCs w:val="20"/>
        </w:rPr>
      </w:pPr>
      <w:r w:rsidRPr="0086486F">
        <w:rPr>
          <w:rFonts w:ascii="Noto Sans" w:hAnsi="Noto Sans" w:cs="Noto Sans"/>
          <w:sz w:val="20"/>
          <w:szCs w:val="20"/>
        </w:rPr>
        <w:t xml:space="preserve">Para los productos listados en el </w:t>
      </w:r>
      <w:r w:rsidRPr="0086486F">
        <w:rPr>
          <w:rFonts w:ascii="Noto Sans" w:hAnsi="Noto Sans" w:cs="Noto Sans"/>
          <w:b/>
          <w:bCs/>
          <w:sz w:val="20"/>
          <w:szCs w:val="20"/>
        </w:rPr>
        <w:t>Anexo I-B</w:t>
      </w:r>
      <w:r w:rsidRPr="0086486F">
        <w:rPr>
          <w:rFonts w:ascii="Noto Sans" w:hAnsi="Noto Sans" w:cs="Noto Sans"/>
          <w:sz w:val="20"/>
          <w:szCs w:val="20"/>
        </w:rPr>
        <w:t xml:space="preserve">, aplica una tasa preferencial del </w:t>
      </w:r>
      <w:r w:rsidRPr="0086486F">
        <w:rPr>
          <w:rFonts w:ascii="Noto Sans" w:hAnsi="Noto Sans" w:cs="Noto Sans"/>
          <w:b/>
          <w:bCs/>
          <w:sz w:val="20"/>
          <w:szCs w:val="20"/>
        </w:rPr>
        <w:t>15%</w:t>
      </w:r>
      <w:r w:rsidRPr="0086486F">
        <w:rPr>
          <w:rFonts w:ascii="Noto Sans" w:hAnsi="Noto Sans" w:cs="Noto Sans"/>
          <w:sz w:val="20"/>
          <w:szCs w:val="20"/>
        </w:rPr>
        <w:t xml:space="preserve"> (en lugar de la </w:t>
      </w:r>
      <w:r w:rsidRPr="0086486F">
        <w:rPr>
          <w:rFonts w:ascii="Noto Sans" w:hAnsi="Noto Sans" w:cs="Noto Sans"/>
          <w:sz w:val="20"/>
          <w:szCs w:val="20"/>
        </w:rPr>
        <w:lastRenderedPageBreak/>
        <w:t xml:space="preserve">general del </w:t>
      </w:r>
      <w:r w:rsidRPr="0086486F">
        <w:rPr>
          <w:rFonts w:ascii="Noto Sans" w:hAnsi="Noto Sans" w:cs="Noto Sans"/>
          <w:b/>
          <w:bCs/>
          <w:sz w:val="20"/>
          <w:szCs w:val="20"/>
        </w:rPr>
        <w:t>25%</w:t>
      </w:r>
      <w:r w:rsidRPr="0086486F">
        <w:rPr>
          <w:rFonts w:ascii="Noto Sans" w:hAnsi="Noto Sans" w:cs="Noto Sans"/>
          <w:sz w:val="20"/>
          <w:szCs w:val="20"/>
        </w:rPr>
        <w:t>) bajo las mismas condiciones de origen para el aluminio o el acero.</w:t>
      </w:r>
    </w:p>
    <w:p w14:paraId="5A4BFA81" w14:textId="77777777" w:rsidR="0086486F" w:rsidRPr="004129F1" w:rsidRDefault="0086486F" w:rsidP="008D4CC6">
      <w:pPr>
        <w:jc w:val="both"/>
        <w:rPr>
          <w:rFonts w:ascii="Noto Sans" w:hAnsi="Noto Sans" w:cs="Noto Sans"/>
          <w:sz w:val="20"/>
          <w:szCs w:val="20"/>
        </w:rPr>
      </w:pPr>
    </w:p>
    <w:p w14:paraId="74564474" w14:textId="5A864380" w:rsidR="00160DBE" w:rsidRPr="00160DBE" w:rsidRDefault="00160DBE" w:rsidP="00160DBE">
      <w:pPr>
        <w:jc w:val="both"/>
        <w:rPr>
          <w:rFonts w:ascii="Noto Sans" w:hAnsi="Noto Sans" w:cs="Noto Sans"/>
          <w:b/>
          <w:bCs/>
          <w:sz w:val="20"/>
          <w:szCs w:val="20"/>
        </w:rPr>
      </w:pPr>
      <w:r w:rsidRPr="00160DBE">
        <w:rPr>
          <w:rFonts w:ascii="Noto Sans" w:hAnsi="Noto Sans" w:cs="Noto Sans"/>
          <w:b/>
          <w:bCs/>
          <w:sz w:val="20"/>
          <w:szCs w:val="20"/>
        </w:rPr>
        <w:t xml:space="preserve">Regla de </w:t>
      </w:r>
      <w:r w:rsidRPr="004129F1">
        <w:rPr>
          <w:rFonts w:ascii="Noto Sans" w:hAnsi="Noto Sans" w:cs="Noto Sans"/>
          <w:b/>
          <w:bCs/>
          <w:sz w:val="20"/>
          <w:szCs w:val="20"/>
        </w:rPr>
        <w:t>Traslape</w:t>
      </w:r>
    </w:p>
    <w:p w14:paraId="5232557E" w14:textId="4782526A" w:rsidR="00160DBE" w:rsidRPr="004129F1" w:rsidRDefault="00160DBE" w:rsidP="00160DBE">
      <w:pPr>
        <w:jc w:val="both"/>
        <w:rPr>
          <w:rFonts w:ascii="Noto Sans" w:hAnsi="Noto Sans" w:cs="Noto Sans"/>
          <w:sz w:val="20"/>
          <w:szCs w:val="20"/>
        </w:rPr>
      </w:pPr>
      <w:r w:rsidRPr="00160DBE">
        <w:rPr>
          <w:rFonts w:ascii="Noto Sans" w:hAnsi="Noto Sans" w:cs="Noto Sans"/>
          <w:sz w:val="20"/>
          <w:szCs w:val="20"/>
        </w:rPr>
        <w:t xml:space="preserve">Aplicable únicamente a la Cláusula 2 (bienes del </w:t>
      </w:r>
      <w:r w:rsidRPr="00160DBE">
        <w:rPr>
          <w:rFonts w:ascii="Noto Sans" w:hAnsi="Noto Sans" w:cs="Noto Sans"/>
          <w:b/>
          <w:bCs/>
          <w:sz w:val="20"/>
          <w:szCs w:val="20"/>
        </w:rPr>
        <w:t>Anexo I-C</w:t>
      </w:r>
      <w:r w:rsidRPr="00160DBE">
        <w:rPr>
          <w:rFonts w:ascii="Noto Sans" w:hAnsi="Noto Sans" w:cs="Noto Sans"/>
          <w:sz w:val="20"/>
          <w:szCs w:val="20"/>
        </w:rPr>
        <w:t>): Si un producto encuadra en múltiples supuestos arancelarios, la autoridad aduanera está obligada a aplicar la tasa arancelaria más baja disponible.</w:t>
      </w:r>
    </w:p>
    <w:p w14:paraId="39906A91" w14:textId="77777777" w:rsidR="00160DBE" w:rsidRPr="004129F1" w:rsidRDefault="00160DBE" w:rsidP="008D4CC6">
      <w:pPr>
        <w:jc w:val="both"/>
        <w:rPr>
          <w:rFonts w:ascii="Noto Sans" w:hAnsi="Noto Sans" w:cs="Noto Sans"/>
          <w:sz w:val="20"/>
          <w:szCs w:val="20"/>
        </w:rPr>
      </w:pPr>
    </w:p>
    <w:p w14:paraId="18146891" w14:textId="7E8D5D66" w:rsidR="00160DBE" w:rsidRPr="00160DBE" w:rsidRDefault="00160DBE" w:rsidP="00160DBE">
      <w:pPr>
        <w:jc w:val="both"/>
        <w:rPr>
          <w:rFonts w:ascii="Noto Sans" w:hAnsi="Noto Sans" w:cs="Noto Sans"/>
          <w:b/>
          <w:bCs/>
          <w:sz w:val="20"/>
          <w:szCs w:val="20"/>
        </w:rPr>
      </w:pPr>
      <w:r w:rsidRPr="004129F1">
        <w:rPr>
          <w:rFonts w:ascii="Noto Sans" w:hAnsi="Noto Sans" w:cs="Noto Sans"/>
          <w:b/>
          <w:bCs/>
          <w:sz w:val="20"/>
          <w:szCs w:val="20"/>
        </w:rPr>
        <w:t>Trato Preferencial</w:t>
      </w:r>
      <w:r w:rsidRPr="00160DBE">
        <w:rPr>
          <w:rFonts w:ascii="Noto Sans" w:hAnsi="Noto Sans" w:cs="Noto Sans"/>
          <w:b/>
          <w:bCs/>
          <w:sz w:val="20"/>
          <w:szCs w:val="20"/>
        </w:rPr>
        <w:t xml:space="preserve"> para Naciones Aliadas</w:t>
      </w:r>
    </w:p>
    <w:p w14:paraId="23B927B6" w14:textId="17E34BA6" w:rsidR="00160DBE" w:rsidRDefault="00160DBE" w:rsidP="00160DBE">
      <w:pPr>
        <w:jc w:val="both"/>
        <w:rPr>
          <w:rFonts w:ascii="Noto Sans" w:hAnsi="Noto Sans" w:cs="Noto Sans"/>
          <w:sz w:val="20"/>
          <w:szCs w:val="20"/>
        </w:rPr>
      </w:pPr>
      <w:r w:rsidRPr="00160DBE">
        <w:rPr>
          <w:rFonts w:ascii="Noto Sans" w:hAnsi="Noto Sans" w:cs="Noto Sans"/>
          <w:sz w:val="20"/>
          <w:szCs w:val="20"/>
        </w:rPr>
        <w:t xml:space="preserve">Los productos del </w:t>
      </w:r>
      <w:r w:rsidRPr="00160DBE">
        <w:rPr>
          <w:rFonts w:ascii="Noto Sans" w:hAnsi="Noto Sans" w:cs="Noto Sans"/>
          <w:b/>
          <w:bCs/>
          <w:sz w:val="20"/>
          <w:szCs w:val="20"/>
        </w:rPr>
        <w:t>Anexo I-C</w:t>
      </w:r>
      <w:r w:rsidRPr="00160DBE">
        <w:rPr>
          <w:rFonts w:ascii="Noto Sans" w:hAnsi="Noto Sans" w:cs="Noto Sans"/>
          <w:sz w:val="20"/>
          <w:szCs w:val="20"/>
        </w:rPr>
        <w:t xml:space="preserve"> originarios de Argentina, Ecuador, El Salvador, Guatemala, Japón, Corea del Sur, Liechtenstein, Suiza, Taiwán, Reino Unido o la Unión Europea reciben un techo arancelario combinado del </w:t>
      </w:r>
      <w:r w:rsidRPr="00160DBE">
        <w:rPr>
          <w:rFonts w:ascii="Noto Sans" w:hAnsi="Noto Sans" w:cs="Noto Sans"/>
          <w:b/>
          <w:bCs/>
          <w:sz w:val="20"/>
          <w:szCs w:val="20"/>
        </w:rPr>
        <w:t>15%</w:t>
      </w:r>
      <w:r w:rsidRPr="00160DBE">
        <w:rPr>
          <w:rFonts w:ascii="Noto Sans" w:hAnsi="Noto Sans" w:cs="Noto Sans"/>
          <w:sz w:val="20"/>
          <w:szCs w:val="20"/>
        </w:rPr>
        <w:t>.</w:t>
      </w:r>
    </w:p>
    <w:p w14:paraId="2E5BBA18" w14:textId="77777777" w:rsidR="008302E9" w:rsidRDefault="008302E9" w:rsidP="00160DBE">
      <w:pPr>
        <w:jc w:val="both"/>
        <w:rPr>
          <w:rFonts w:ascii="Noto Sans" w:hAnsi="Noto Sans" w:cs="Noto Sans"/>
          <w:sz w:val="20"/>
          <w:szCs w:val="20"/>
        </w:rPr>
      </w:pPr>
    </w:p>
    <w:p w14:paraId="43DC2847" w14:textId="77777777" w:rsidR="003F002C" w:rsidRPr="003F002C" w:rsidRDefault="003F002C" w:rsidP="003F002C">
      <w:pPr>
        <w:jc w:val="both"/>
        <w:rPr>
          <w:rFonts w:ascii="Noto Sans" w:hAnsi="Noto Sans" w:cs="Noto Sans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 w:cs="Noto Sans"/>
              <w:sz w:val="20"/>
              <w:szCs w:val="20"/>
            </w:rPr>
            <m:t>max⁡</m:t>
          </m:r>
          <m:r>
            <w:rPr>
              <w:rFonts w:ascii="Cambria Math" w:hAnsi="Cambria Math" w:cs="Noto Sans"/>
              <w:sz w:val="20"/>
              <w:szCs w:val="20"/>
            </w:rPr>
            <m:t>{0,</m:t>
          </m:r>
          <m:d>
            <m:dPr>
              <m:ctrlPr>
                <w:rPr>
                  <w:rFonts w:ascii="Cambria Math" w:hAnsi="Cambria Math" w:cs="Noto Sans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Noto Sans"/>
                  <w:sz w:val="20"/>
                  <w:szCs w:val="20"/>
                </w:rPr>
                <m:t>15%-Column 1 Rate</m:t>
              </m:r>
            </m:e>
          </m:d>
          <m:r>
            <w:rPr>
              <w:rFonts w:ascii="Cambria Math" w:hAnsi="Cambria Math" w:cs="Noto Sans"/>
              <w:sz w:val="20"/>
              <w:szCs w:val="20"/>
            </w:rPr>
            <m:t>}</m:t>
          </m:r>
        </m:oMath>
      </m:oMathPara>
    </w:p>
    <w:p w14:paraId="1EA96535" w14:textId="77777777" w:rsidR="00160DBE" w:rsidRPr="004129F1" w:rsidRDefault="00160DBE" w:rsidP="00160DBE">
      <w:pPr>
        <w:jc w:val="both"/>
        <w:rPr>
          <w:rFonts w:ascii="Noto Sans" w:hAnsi="Noto Sans" w:cs="Noto Sans"/>
          <w:b/>
          <w:bCs/>
          <w:sz w:val="20"/>
          <w:szCs w:val="20"/>
        </w:rPr>
      </w:pPr>
    </w:p>
    <w:p w14:paraId="71F135B5" w14:textId="77777777" w:rsidR="004129F1" w:rsidRPr="004129F1" w:rsidRDefault="004129F1" w:rsidP="004129F1">
      <w:pPr>
        <w:jc w:val="both"/>
        <w:rPr>
          <w:rFonts w:ascii="Noto Sans" w:hAnsi="Noto Sans" w:cs="Noto Sans"/>
          <w:b/>
          <w:bCs/>
          <w:sz w:val="20"/>
          <w:szCs w:val="20"/>
        </w:rPr>
      </w:pPr>
      <w:r w:rsidRPr="004129F1">
        <w:rPr>
          <w:rFonts w:ascii="Noto Sans" w:hAnsi="Noto Sans" w:cs="Noto Sans"/>
          <w:b/>
          <w:bCs/>
          <w:sz w:val="20"/>
          <w:szCs w:val="20"/>
        </w:rPr>
        <w:t>Mecanismo de Desglose T-MEC</w:t>
      </w:r>
    </w:p>
    <w:p w14:paraId="7B0007E9" w14:textId="553BCB40" w:rsidR="004129F1" w:rsidRPr="004129F1" w:rsidRDefault="004129F1" w:rsidP="004129F1">
      <w:pPr>
        <w:jc w:val="both"/>
        <w:rPr>
          <w:rFonts w:ascii="Noto Sans" w:hAnsi="Noto Sans" w:cs="Noto Sans"/>
          <w:sz w:val="20"/>
          <w:szCs w:val="20"/>
        </w:rPr>
      </w:pPr>
      <w:r w:rsidRPr="004129F1">
        <w:rPr>
          <w:rFonts w:ascii="Noto Sans" w:hAnsi="Noto Sans" w:cs="Noto Sans"/>
          <w:sz w:val="20"/>
          <w:szCs w:val="20"/>
        </w:rPr>
        <w:t xml:space="preserve">Para los bienes originarios de México y Canadá que califiquen para trato preferencial bajo el T-MEC (específicamente artículos derivados de acero del </w:t>
      </w:r>
      <w:r w:rsidRPr="00E43B1C">
        <w:rPr>
          <w:rFonts w:ascii="Noto Sans" w:hAnsi="Noto Sans" w:cs="Noto Sans"/>
          <w:b/>
          <w:bCs/>
          <w:sz w:val="20"/>
          <w:szCs w:val="20"/>
        </w:rPr>
        <w:t>Anexo I-C</w:t>
      </w:r>
      <w:r w:rsidRPr="004129F1">
        <w:rPr>
          <w:rFonts w:ascii="Noto Sans" w:hAnsi="Noto Sans" w:cs="Noto Sans"/>
          <w:sz w:val="20"/>
          <w:szCs w:val="20"/>
        </w:rPr>
        <w:t xml:space="preserve">), el arancel del </w:t>
      </w:r>
      <w:r w:rsidRPr="00B94785">
        <w:rPr>
          <w:rFonts w:ascii="Noto Sans" w:hAnsi="Noto Sans" w:cs="Noto Sans"/>
          <w:b/>
          <w:bCs/>
          <w:sz w:val="20"/>
          <w:szCs w:val="20"/>
        </w:rPr>
        <w:t>25%</w:t>
      </w:r>
      <w:r w:rsidRPr="004129F1">
        <w:rPr>
          <w:rFonts w:ascii="Noto Sans" w:hAnsi="Noto Sans" w:cs="Noto Sans"/>
          <w:sz w:val="20"/>
          <w:szCs w:val="20"/>
        </w:rPr>
        <w:t xml:space="preserve"> de la Sección 232 se aplicará de manera seccionada sobre el valor del producto:</w:t>
      </w:r>
    </w:p>
    <w:p w14:paraId="6B5C222A" w14:textId="74504BD6" w:rsidR="004129F1" w:rsidRPr="004129F1" w:rsidRDefault="008302E9" w:rsidP="004129F1">
      <w:pPr>
        <w:jc w:val="both"/>
        <w:rPr>
          <w:rFonts w:ascii="Noto Sans" w:hAnsi="Noto Sans" w:cs="Noto Sans"/>
          <w:sz w:val="20"/>
          <w:szCs w:val="20"/>
        </w:rPr>
      </w:pPr>
      <w:r>
        <w:rPr>
          <w:rFonts w:ascii="Noto Sans" w:hAnsi="Noto Sans" w:cs="Noto Sans"/>
          <w:sz w:val="20"/>
          <w:szCs w:val="20"/>
        </w:rPr>
        <w:t xml:space="preserve">1. </w:t>
      </w:r>
      <w:r w:rsidR="004129F1" w:rsidRPr="004129F1">
        <w:rPr>
          <w:rFonts w:ascii="Noto Sans" w:hAnsi="Noto Sans" w:cs="Noto Sans"/>
          <w:sz w:val="20"/>
          <w:szCs w:val="20"/>
        </w:rPr>
        <w:t xml:space="preserve">El </w:t>
      </w:r>
      <w:r w:rsidR="004129F1" w:rsidRPr="00B94785">
        <w:rPr>
          <w:rFonts w:ascii="Noto Sans" w:hAnsi="Noto Sans" w:cs="Noto Sans"/>
          <w:b/>
          <w:bCs/>
          <w:sz w:val="20"/>
          <w:szCs w:val="20"/>
        </w:rPr>
        <w:t>25%</w:t>
      </w:r>
      <w:r w:rsidR="004129F1" w:rsidRPr="004129F1">
        <w:rPr>
          <w:rFonts w:ascii="Noto Sans" w:hAnsi="Noto Sans" w:cs="Noto Sans"/>
          <w:sz w:val="20"/>
          <w:szCs w:val="20"/>
        </w:rPr>
        <w:t xml:space="preserve"> de arancel adicional aplica sobre el valor total del </w:t>
      </w:r>
      <w:r w:rsidR="004129F1" w:rsidRPr="00B94785">
        <w:rPr>
          <w:rFonts w:ascii="Noto Sans" w:hAnsi="Noto Sans" w:cs="Noto Sans"/>
          <w:b/>
          <w:bCs/>
          <w:sz w:val="20"/>
          <w:szCs w:val="20"/>
        </w:rPr>
        <w:t>contenido no estadounidense</w:t>
      </w:r>
      <w:r w:rsidR="004129F1" w:rsidRPr="004129F1">
        <w:rPr>
          <w:rFonts w:ascii="Noto Sans" w:hAnsi="Noto Sans" w:cs="Noto Sans"/>
          <w:sz w:val="20"/>
          <w:szCs w:val="20"/>
        </w:rPr>
        <w:t xml:space="preserve">. </w:t>
      </w:r>
    </w:p>
    <w:p w14:paraId="7877C271" w14:textId="04D028F6" w:rsidR="004129F1" w:rsidRPr="004129F1" w:rsidRDefault="008302E9" w:rsidP="004129F1">
      <w:pPr>
        <w:jc w:val="both"/>
        <w:rPr>
          <w:rFonts w:ascii="Noto Sans" w:hAnsi="Noto Sans" w:cs="Noto Sans"/>
          <w:sz w:val="20"/>
          <w:szCs w:val="20"/>
        </w:rPr>
      </w:pPr>
      <w:r>
        <w:rPr>
          <w:rFonts w:ascii="Noto Sans" w:hAnsi="Noto Sans" w:cs="Noto Sans"/>
          <w:sz w:val="20"/>
          <w:szCs w:val="20"/>
        </w:rPr>
        <w:t xml:space="preserve">2. </w:t>
      </w:r>
      <w:r w:rsidR="004129F1" w:rsidRPr="004129F1">
        <w:rPr>
          <w:rFonts w:ascii="Noto Sans" w:hAnsi="Noto Sans" w:cs="Noto Sans"/>
          <w:sz w:val="20"/>
          <w:szCs w:val="20"/>
        </w:rPr>
        <w:t xml:space="preserve">Sobre el contenido estadounidense, la porción que represente hasta el </w:t>
      </w:r>
      <w:r w:rsidR="004129F1" w:rsidRPr="00B94785">
        <w:rPr>
          <w:rFonts w:ascii="Noto Sans" w:hAnsi="Noto Sans" w:cs="Noto Sans"/>
          <w:b/>
          <w:bCs/>
          <w:sz w:val="20"/>
          <w:szCs w:val="20"/>
        </w:rPr>
        <w:t>40%</w:t>
      </w:r>
      <w:r w:rsidR="004129F1" w:rsidRPr="004129F1">
        <w:rPr>
          <w:rFonts w:ascii="Noto Sans" w:hAnsi="Noto Sans" w:cs="Noto Sans"/>
          <w:sz w:val="20"/>
          <w:szCs w:val="20"/>
        </w:rPr>
        <w:t xml:space="preserve"> del valor total del producto queda exenta del arancel. Si el contenido estadounidense supera el 40% del valor total, la porción excedente sí paga el </w:t>
      </w:r>
      <w:r w:rsidR="004129F1" w:rsidRPr="00B94785">
        <w:rPr>
          <w:rFonts w:ascii="Noto Sans" w:hAnsi="Noto Sans" w:cs="Noto Sans"/>
          <w:b/>
          <w:bCs/>
          <w:sz w:val="20"/>
          <w:szCs w:val="20"/>
        </w:rPr>
        <w:t>25%</w:t>
      </w:r>
      <w:r w:rsidR="004129F1" w:rsidRPr="004129F1">
        <w:rPr>
          <w:rFonts w:ascii="Noto Sans" w:hAnsi="Noto Sans" w:cs="Noto Sans"/>
          <w:sz w:val="20"/>
          <w:szCs w:val="20"/>
        </w:rPr>
        <w:t xml:space="preserve"> de arancel.</w:t>
      </w:r>
    </w:p>
    <w:p w14:paraId="256B637C" w14:textId="3E7EDC9E" w:rsidR="004129F1" w:rsidRPr="004129F1" w:rsidRDefault="008302E9" w:rsidP="004129F1">
      <w:pPr>
        <w:jc w:val="both"/>
        <w:rPr>
          <w:rFonts w:ascii="Noto Sans" w:hAnsi="Noto Sans" w:cs="Noto Sans"/>
          <w:sz w:val="20"/>
          <w:szCs w:val="20"/>
        </w:rPr>
      </w:pPr>
      <w:r>
        <w:rPr>
          <w:rFonts w:ascii="Noto Sans" w:hAnsi="Noto Sans" w:cs="Noto Sans"/>
          <w:sz w:val="20"/>
          <w:szCs w:val="20"/>
        </w:rPr>
        <w:t xml:space="preserve">3. </w:t>
      </w:r>
      <w:r w:rsidR="004129F1" w:rsidRPr="004129F1">
        <w:rPr>
          <w:rFonts w:ascii="Noto Sans" w:hAnsi="Noto Sans" w:cs="Noto Sans"/>
          <w:sz w:val="20"/>
          <w:szCs w:val="20"/>
        </w:rPr>
        <w:t xml:space="preserve">Restricción de piso mínimo: Sin importar el resultado matemático del desglose de contenido anterior, el arancel efectivo total cobrado sobre el producto importado nunca podrá ser inferior al </w:t>
      </w:r>
      <w:r w:rsidR="004129F1" w:rsidRPr="00B94785">
        <w:rPr>
          <w:rFonts w:ascii="Noto Sans" w:hAnsi="Noto Sans" w:cs="Noto Sans"/>
          <w:b/>
          <w:bCs/>
          <w:sz w:val="20"/>
          <w:szCs w:val="20"/>
        </w:rPr>
        <w:t xml:space="preserve">15% ad </w:t>
      </w:r>
      <w:proofErr w:type="spellStart"/>
      <w:r w:rsidR="004129F1" w:rsidRPr="00B94785">
        <w:rPr>
          <w:rFonts w:ascii="Noto Sans" w:hAnsi="Noto Sans" w:cs="Noto Sans"/>
          <w:b/>
          <w:bCs/>
          <w:sz w:val="20"/>
          <w:szCs w:val="20"/>
        </w:rPr>
        <w:t>valorem</w:t>
      </w:r>
      <w:proofErr w:type="spellEnd"/>
      <w:r w:rsidR="004129F1" w:rsidRPr="004129F1">
        <w:rPr>
          <w:rFonts w:ascii="Noto Sans" w:hAnsi="Noto Sans" w:cs="Noto Sans"/>
          <w:sz w:val="20"/>
          <w:szCs w:val="20"/>
        </w:rPr>
        <w:t>.</w:t>
      </w:r>
    </w:p>
    <w:p w14:paraId="35ED7AB3" w14:textId="77777777" w:rsidR="00C90039" w:rsidRPr="004129F1" w:rsidRDefault="00C90039" w:rsidP="008D4CC6">
      <w:pPr>
        <w:jc w:val="both"/>
        <w:rPr>
          <w:rFonts w:ascii="Noto Sans" w:hAnsi="Noto Sans" w:cs="Noto Sans"/>
          <w:i/>
          <w:iCs/>
          <w:sz w:val="20"/>
          <w:szCs w:val="20"/>
        </w:rPr>
      </w:pPr>
    </w:p>
    <w:p w14:paraId="7C33FFC4" w14:textId="75D74880" w:rsidR="00C90039" w:rsidRPr="00C90039" w:rsidRDefault="00C90039" w:rsidP="00C90039">
      <w:pPr>
        <w:jc w:val="both"/>
        <w:rPr>
          <w:rFonts w:ascii="Noto Sans" w:hAnsi="Noto Sans" w:cs="Noto Sans"/>
          <w:b/>
          <w:bCs/>
          <w:sz w:val="20"/>
          <w:szCs w:val="20"/>
        </w:rPr>
      </w:pPr>
      <w:r w:rsidRPr="00C90039">
        <w:rPr>
          <w:rFonts w:ascii="Noto Sans" w:hAnsi="Noto Sans" w:cs="Noto Sans"/>
          <w:b/>
          <w:bCs/>
          <w:sz w:val="20"/>
          <w:szCs w:val="20"/>
        </w:rPr>
        <w:t>Exención Motocicletas (Anexo I</w:t>
      </w:r>
      <w:r w:rsidRPr="004129F1">
        <w:rPr>
          <w:rFonts w:ascii="Noto Sans" w:hAnsi="Noto Sans" w:cs="Noto Sans"/>
          <w:b/>
          <w:bCs/>
          <w:sz w:val="20"/>
          <w:szCs w:val="20"/>
        </w:rPr>
        <w:t>-B</w:t>
      </w:r>
      <w:r w:rsidRPr="00C90039">
        <w:rPr>
          <w:rFonts w:ascii="Noto Sans" w:hAnsi="Noto Sans" w:cs="Noto Sans"/>
          <w:b/>
          <w:bCs/>
          <w:sz w:val="20"/>
          <w:szCs w:val="20"/>
        </w:rPr>
        <w:t>)</w:t>
      </w:r>
    </w:p>
    <w:p w14:paraId="6AA5F910" w14:textId="63EF8556" w:rsidR="00C90039" w:rsidRPr="004129F1" w:rsidRDefault="00C90039" w:rsidP="00C90039">
      <w:pPr>
        <w:jc w:val="both"/>
        <w:rPr>
          <w:rFonts w:ascii="Noto Sans" w:hAnsi="Noto Sans" w:cs="Noto Sans"/>
          <w:sz w:val="20"/>
          <w:szCs w:val="20"/>
        </w:rPr>
      </w:pPr>
      <w:r w:rsidRPr="00C90039">
        <w:rPr>
          <w:rFonts w:ascii="Noto Sans" w:hAnsi="Noto Sans" w:cs="Noto Sans"/>
          <w:sz w:val="20"/>
          <w:szCs w:val="20"/>
        </w:rPr>
        <w:t xml:space="preserve">Cualquier parte clasificable en los capítulos </w:t>
      </w:r>
      <w:r w:rsidRPr="005C36E0">
        <w:rPr>
          <w:rFonts w:ascii="Noto Sans" w:hAnsi="Noto Sans" w:cs="Noto Sans"/>
          <w:b/>
          <w:bCs/>
          <w:sz w:val="20"/>
          <w:szCs w:val="20"/>
        </w:rPr>
        <w:t>84, 85 u 87</w:t>
      </w:r>
      <w:r w:rsidRPr="00C90039">
        <w:rPr>
          <w:rFonts w:ascii="Noto Sans" w:hAnsi="Noto Sans" w:cs="Noto Sans"/>
          <w:sz w:val="20"/>
          <w:szCs w:val="20"/>
        </w:rPr>
        <w:t xml:space="preserve"> del HTSUS e incluida en el Anexo I-B, quedará totalmente exenta del pago de la Sec. 232 si se importa exclusivamente para la manufactura de motocicletas. </w:t>
      </w:r>
    </w:p>
    <w:p w14:paraId="5AB5AB77" w14:textId="77777777" w:rsidR="001B52DC" w:rsidRPr="005C36E0" w:rsidRDefault="001B52DC" w:rsidP="00C90039">
      <w:pPr>
        <w:jc w:val="both"/>
        <w:rPr>
          <w:rFonts w:ascii="Noto Sans" w:hAnsi="Noto Sans" w:cs="Noto Sans"/>
          <w:sz w:val="20"/>
          <w:szCs w:val="20"/>
          <w:u w:val="single"/>
        </w:rPr>
      </w:pPr>
    </w:p>
    <w:p w14:paraId="12F5623C" w14:textId="77777777" w:rsidR="001B52DC" w:rsidRDefault="001B52DC" w:rsidP="001B52DC">
      <w:pPr>
        <w:jc w:val="both"/>
        <w:rPr>
          <w:rFonts w:ascii="Noto Sans" w:hAnsi="Noto Sans" w:cs="Noto Sans"/>
          <w:sz w:val="20"/>
          <w:szCs w:val="20"/>
        </w:rPr>
      </w:pPr>
      <w:r w:rsidRPr="001B52DC">
        <w:rPr>
          <w:rFonts w:ascii="Noto Sans" w:hAnsi="Noto Sans" w:cs="Noto Sans"/>
          <w:b/>
          <w:bCs/>
          <w:sz w:val="20"/>
          <w:szCs w:val="20"/>
        </w:rPr>
        <w:t>Castigo arancelario a Rusia</w:t>
      </w:r>
    </w:p>
    <w:p w14:paraId="3C908C05" w14:textId="16D560F5" w:rsidR="001B52DC" w:rsidRPr="001B52DC" w:rsidRDefault="001B52DC" w:rsidP="001B52DC">
      <w:pPr>
        <w:jc w:val="both"/>
        <w:rPr>
          <w:rFonts w:ascii="Noto Sans" w:hAnsi="Noto Sans" w:cs="Noto Sans"/>
          <w:sz w:val="20"/>
          <w:szCs w:val="20"/>
        </w:rPr>
      </w:pPr>
      <w:r w:rsidRPr="001B52DC">
        <w:rPr>
          <w:rFonts w:ascii="Noto Sans" w:hAnsi="Noto Sans" w:cs="Noto Sans"/>
          <w:sz w:val="20"/>
          <w:szCs w:val="20"/>
        </w:rPr>
        <w:t xml:space="preserve">Cualquier artículo de los </w:t>
      </w:r>
      <w:r w:rsidRPr="001B52DC">
        <w:rPr>
          <w:rFonts w:ascii="Noto Sans" w:hAnsi="Noto Sans" w:cs="Noto Sans"/>
          <w:b/>
          <w:bCs/>
          <w:sz w:val="20"/>
          <w:szCs w:val="20"/>
        </w:rPr>
        <w:t>Anexos I-A, I-B o III</w:t>
      </w:r>
      <w:r w:rsidRPr="001B52DC">
        <w:rPr>
          <w:rFonts w:ascii="Noto Sans" w:hAnsi="Noto Sans" w:cs="Noto Sans"/>
          <w:sz w:val="20"/>
          <w:szCs w:val="20"/>
        </w:rPr>
        <w:t xml:space="preserve"> que sea producto de </w:t>
      </w:r>
      <w:r w:rsidRPr="001B52DC">
        <w:rPr>
          <w:rFonts w:ascii="Noto Sans" w:hAnsi="Noto Sans" w:cs="Noto Sans"/>
          <w:b/>
          <w:bCs/>
          <w:sz w:val="20"/>
          <w:szCs w:val="20"/>
        </w:rPr>
        <w:t>Rusia</w:t>
      </w:r>
      <w:r w:rsidRPr="001B52DC">
        <w:rPr>
          <w:rFonts w:ascii="Noto Sans" w:hAnsi="Noto Sans" w:cs="Noto Sans"/>
          <w:sz w:val="20"/>
          <w:szCs w:val="20"/>
        </w:rPr>
        <w:t xml:space="preserve">, o donde cualquier cantidad del aluminio primario sea fundido o moldeado en Rusia, está sujeto a un arancel del </w:t>
      </w:r>
      <w:r w:rsidRPr="001B52DC">
        <w:rPr>
          <w:rFonts w:ascii="Noto Sans" w:hAnsi="Noto Sans" w:cs="Noto Sans"/>
          <w:b/>
          <w:bCs/>
          <w:sz w:val="20"/>
          <w:szCs w:val="20"/>
        </w:rPr>
        <w:t>200%</w:t>
      </w:r>
      <w:r w:rsidRPr="001B52DC">
        <w:rPr>
          <w:rFonts w:ascii="Noto Sans" w:hAnsi="Noto Sans" w:cs="Noto Sans"/>
          <w:sz w:val="20"/>
          <w:szCs w:val="20"/>
        </w:rPr>
        <w:t xml:space="preserve"> ad </w:t>
      </w:r>
      <w:proofErr w:type="spellStart"/>
      <w:r w:rsidRPr="001B52DC">
        <w:rPr>
          <w:rFonts w:ascii="Noto Sans" w:hAnsi="Noto Sans" w:cs="Noto Sans"/>
          <w:sz w:val="20"/>
          <w:szCs w:val="20"/>
        </w:rPr>
        <w:t>valorem</w:t>
      </w:r>
      <w:proofErr w:type="spellEnd"/>
      <w:r w:rsidRPr="001B52DC">
        <w:rPr>
          <w:rFonts w:ascii="Noto Sans" w:hAnsi="Noto Sans" w:cs="Noto Sans"/>
          <w:sz w:val="20"/>
          <w:szCs w:val="20"/>
        </w:rPr>
        <w:t>, anulando cualquier reducción o trato preferencial.</w:t>
      </w:r>
    </w:p>
    <w:p w14:paraId="08900B66" w14:textId="77777777" w:rsidR="00C90039" w:rsidRDefault="00C90039" w:rsidP="008D4CC6">
      <w:pPr>
        <w:jc w:val="both"/>
        <w:rPr>
          <w:rFonts w:ascii="Noto Sans" w:hAnsi="Noto Sans" w:cs="Noto Sans"/>
          <w:sz w:val="20"/>
          <w:szCs w:val="20"/>
        </w:rPr>
      </w:pPr>
    </w:p>
    <w:p w14:paraId="12B93883" w14:textId="77777777" w:rsidR="00B94785" w:rsidRDefault="00B94785" w:rsidP="00B94785">
      <w:pPr>
        <w:jc w:val="both"/>
        <w:rPr>
          <w:rFonts w:ascii="Noto Sans" w:hAnsi="Noto Sans" w:cs="Noto Sans"/>
          <w:b/>
          <w:bCs/>
          <w:sz w:val="20"/>
          <w:szCs w:val="20"/>
        </w:rPr>
      </w:pPr>
      <w:r w:rsidRPr="00B94785">
        <w:rPr>
          <w:rFonts w:ascii="Noto Sans" w:hAnsi="Noto Sans" w:cs="Noto Sans"/>
          <w:b/>
          <w:bCs/>
          <w:sz w:val="20"/>
          <w:szCs w:val="20"/>
        </w:rPr>
        <w:t>Socios sin Relaciones Comerciales Normales</w:t>
      </w:r>
    </w:p>
    <w:p w14:paraId="43BA39BB" w14:textId="33552509" w:rsidR="00B94785" w:rsidRDefault="00B94785" w:rsidP="00B94785">
      <w:pPr>
        <w:jc w:val="both"/>
        <w:rPr>
          <w:rFonts w:ascii="Noto Sans" w:hAnsi="Noto Sans" w:cs="Noto Sans"/>
          <w:sz w:val="20"/>
          <w:szCs w:val="20"/>
        </w:rPr>
      </w:pPr>
      <w:r w:rsidRPr="00B94785">
        <w:rPr>
          <w:rFonts w:ascii="Noto Sans" w:hAnsi="Noto Sans" w:cs="Noto Sans"/>
          <w:sz w:val="20"/>
          <w:szCs w:val="20"/>
        </w:rPr>
        <w:t xml:space="preserve">En el </w:t>
      </w:r>
      <w:r w:rsidRPr="00B94785">
        <w:rPr>
          <w:rFonts w:ascii="Noto Sans" w:hAnsi="Noto Sans" w:cs="Noto Sans"/>
          <w:b/>
          <w:bCs/>
          <w:sz w:val="20"/>
          <w:szCs w:val="20"/>
        </w:rPr>
        <w:t>Anexo III</w:t>
      </w:r>
      <w:r w:rsidRPr="00B94785">
        <w:rPr>
          <w:rFonts w:ascii="Noto Sans" w:hAnsi="Noto Sans" w:cs="Noto Sans"/>
          <w:sz w:val="20"/>
          <w:szCs w:val="20"/>
        </w:rPr>
        <w:t xml:space="preserve">, los productos no gozan del esquema de tope o reducción si provienen de países con los que Estados Unidos no mantiene relaciones comerciales normales, debiendo pagar una tasa fija del </w:t>
      </w:r>
      <w:r w:rsidRPr="00B94785">
        <w:rPr>
          <w:rFonts w:ascii="Noto Sans" w:hAnsi="Noto Sans" w:cs="Noto Sans"/>
          <w:b/>
          <w:bCs/>
          <w:sz w:val="20"/>
          <w:szCs w:val="20"/>
        </w:rPr>
        <w:t>25%</w:t>
      </w:r>
      <w:r w:rsidRPr="00B94785">
        <w:rPr>
          <w:rFonts w:ascii="Noto Sans" w:hAnsi="Noto Sans" w:cs="Noto Sans"/>
          <w:sz w:val="20"/>
          <w:szCs w:val="20"/>
        </w:rPr>
        <w:t>.</w:t>
      </w:r>
    </w:p>
    <w:p w14:paraId="114464A9" w14:textId="77777777" w:rsidR="004F4DC2" w:rsidRDefault="004F4DC2" w:rsidP="00B94785">
      <w:pPr>
        <w:jc w:val="both"/>
        <w:rPr>
          <w:rFonts w:ascii="Noto Sans" w:hAnsi="Noto Sans" w:cs="Noto Sans"/>
          <w:sz w:val="20"/>
          <w:szCs w:val="20"/>
        </w:rPr>
      </w:pPr>
    </w:p>
    <w:p w14:paraId="1839D603" w14:textId="77777777" w:rsidR="004F4DC2" w:rsidRDefault="004F4DC2" w:rsidP="00B94785">
      <w:pPr>
        <w:jc w:val="both"/>
        <w:rPr>
          <w:rFonts w:ascii="Noto Sans" w:hAnsi="Noto Sans" w:cs="Noto Sans"/>
          <w:b/>
          <w:bCs/>
          <w:sz w:val="20"/>
          <w:szCs w:val="20"/>
        </w:rPr>
      </w:pPr>
      <w:r w:rsidRPr="004F4DC2">
        <w:rPr>
          <w:rFonts w:ascii="Noto Sans" w:hAnsi="Noto Sans" w:cs="Noto Sans"/>
          <w:b/>
          <w:bCs/>
          <w:sz w:val="20"/>
          <w:szCs w:val="20"/>
        </w:rPr>
        <w:t>Devolución de Aranceles</w:t>
      </w:r>
    </w:p>
    <w:p w14:paraId="5FFD1159" w14:textId="36B26C2C" w:rsidR="00FB1CD1" w:rsidRPr="004D294F" w:rsidRDefault="004F4DC2" w:rsidP="00B94785">
      <w:pPr>
        <w:jc w:val="both"/>
        <w:rPr>
          <w:rFonts w:ascii="Noto Sans" w:hAnsi="Noto Sans" w:cs="Noto Sans"/>
          <w:sz w:val="20"/>
          <w:szCs w:val="20"/>
        </w:rPr>
      </w:pPr>
      <w:r w:rsidRPr="004F4DC2">
        <w:rPr>
          <w:rFonts w:ascii="Noto Sans" w:hAnsi="Noto Sans" w:cs="Noto Sans"/>
          <w:sz w:val="20"/>
          <w:szCs w:val="20"/>
        </w:rPr>
        <w:t>Las reclamaciones de devolución de aranceles de manufactura (</w:t>
      </w:r>
      <w:proofErr w:type="spellStart"/>
      <w:r w:rsidRPr="004F4DC2">
        <w:rPr>
          <w:rFonts w:ascii="Noto Sans" w:hAnsi="Noto Sans" w:cs="Noto Sans"/>
          <w:i/>
          <w:iCs/>
          <w:sz w:val="20"/>
          <w:szCs w:val="20"/>
        </w:rPr>
        <w:t>drawback</w:t>
      </w:r>
      <w:proofErr w:type="spellEnd"/>
      <w:r w:rsidRPr="004F4DC2">
        <w:rPr>
          <w:rFonts w:ascii="Noto Sans" w:hAnsi="Noto Sans" w:cs="Noto Sans"/>
          <w:sz w:val="20"/>
          <w:szCs w:val="20"/>
        </w:rPr>
        <w:t xml:space="preserve">) están permitidas para los aranceles impuestos por esta proclamación, pero están estrictamente condicionadas. El artículo debe estar listado en el Anexo I-B o Anexo III, no debe estar sujeto a cuotas compensatorias o antidumping, y debe ser producto exclusivo de un socio comercial con acuerdo vigente (Reino Unido, Unión Europea, Japón, Corea del Sur, México o Canadá). Además, el </w:t>
      </w:r>
      <w:r w:rsidR="00FB1CD1">
        <w:rPr>
          <w:rFonts w:ascii="Noto Sans" w:hAnsi="Noto Sans" w:cs="Noto Sans"/>
          <w:sz w:val="20"/>
          <w:szCs w:val="20"/>
        </w:rPr>
        <w:t>100%</w:t>
      </w:r>
      <w:r w:rsidRPr="004F4DC2">
        <w:rPr>
          <w:rFonts w:ascii="Noto Sans" w:hAnsi="Noto Sans" w:cs="Noto Sans"/>
          <w:sz w:val="20"/>
          <w:szCs w:val="20"/>
        </w:rPr>
        <w:t xml:space="preserve"> de su contenido de aluminio, acero o cobre debió ser fundido y moldeado, o derretido y vertido, dentro de estos países socios.</w:t>
      </w:r>
    </w:p>
    <w:sectPr w:rsidR="00FB1CD1" w:rsidRPr="004D294F" w:rsidSect="008D4CC6">
      <w:type w:val="continuous"/>
      <w:pgSz w:w="12240" w:h="15840" w:code="1"/>
      <w:pgMar w:top="1701" w:right="1021" w:bottom="1701" w:left="1021" w:header="284" w:footer="284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777D57" w14:textId="77777777" w:rsidR="00241F56" w:rsidRDefault="00241F56" w:rsidP="00025DA4">
      <w:r>
        <w:separator/>
      </w:r>
    </w:p>
  </w:endnote>
  <w:endnote w:type="continuationSeparator" w:id="0">
    <w:p w14:paraId="633F3ECD" w14:textId="77777777" w:rsidR="00241F56" w:rsidRDefault="00241F56" w:rsidP="00025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83D28" w14:textId="77777777" w:rsidR="000765AE" w:rsidRDefault="000765AE">
    <w:pPr>
      <w:pStyle w:val="Piedepgina"/>
    </w:pPr>
  </w:p>
  <w:p w14:paraId="3C5A5569" w14:textId="77777777" w:rsidR="000765AE" w:rsidRDefault="000765AE">
    <w:pPr>
      <w:pStyle w:val="Piedepgina"/>
    </w:pPr>
  </w:p>
  <w:p w14:paraId="072C0B95" w14:textId="084E3BD7" w:rsidR="000765AE" w:rsidRDefault="000765AE">
    <w:pPr>
      <w:pStyle w:val="Piedepgina"/>
    </w:pPr>
    <w:r>
      <w:rPr>
        <w:noProof/>
      </w:rPr>
      <w:drawing>
        <wp:anchor distT="0" distB="0" distL="114300" distR="114300" simplePos="0" relativeHeight="251665408" behindDoc="1" locked="0" layoutInCell="1" allowOverlap="1" wp14:anchorId="3FC51045" wp14:editId="060E094D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5876" cy="907473"/>
          <wp:effectExtent l="0" t="0" r="6985" b="6985"/>
          <wp:wrapNone/>
          <wp:docPr id="16" name="Imagen 2" descr="Interfaz de usuario gráfica, Texto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3435053" name="Imagen 2" descr="Interfaz de usuario gráfica, Texto, Aplicación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7482" b="3488"/>
                  <a:stretch>
                    <a:fillRect/>
                  </a:stretch>
                </pic:blipFill>
                <pic:spPr bwMode="auto">
                  <a:xfrm>
                    <a:off x="0" y="0"/>
                    <a:ext cx="7765876" cy="90747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1ECA3" w14:textId="77777777" w:rsidR="00241F56" w:rsidRDefault="00241F56" w:rsidP="00025DA4">
      <w:r>
        <w:separator/>
      </w:r>
    </w:p>
  </w:footnote>
  <w:footnote w:type="continuationSeparator" w:id="0">
    <w:p w14:paraId="449AABC6" w14:textId="77777777" w:rsidR="00241F56" w:rsidRDefault="00241F56" w:rsidP="00025D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4BE49" w14:textId="57500B5D" w:rsidR="000765AE" w:rsidRDefault="000765AE">
    <w:pPr>
      <w:pStyle w:val="Encabezado"/>
    </w:pPr>
    <w:r>
      <w:ptab w:relativeTo="margin" w:alignment="center" w:leader="none"/>
    </w:r>
    <w:r>
      <w:rPr>
        <w:noProof/>
      </w:rPr>
      <w:drawing>
        <wp:anchor distT="0" distB="0" distL="114300" distR="114300" simplePos="0" relativeHeight="251663360" behindDoc="1" locked="0" layoutInCell="1" allowOverlap="1" wp14:anchorId="5F64BA41" wp14:editId="364A313F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67867" cy="1038571"/>
          <wp:effectExtent l="0" t="0" r="5080" b="9525"/>
          <wp:wrapNone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7499149" name="Imagen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444" b="86224"/>
                  <a:stretch>
                    <a:fillRect/>
                  </a:stretch>
                </pic:blipFill>
                <pic:spPr bwMode="auto">
                  <a:xfrm>
                    <a:off x="0" y="0"/>
                    <a:ext cx="7767867" cy="103857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C6AC1"/>
    <w:multiLevelType w:val="multilevel"/>
    <w:tmpl w:val="5D56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B56E3"/>
    <w:multiLevelType w:val="hybridMultilevel"/>
    <w:tmpl w:val="075808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430EAC"/>
    <w:multiLevelType w:val="hybridMultilevel"/>
    <w:tmpl w:val="3B5A73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793AE8"/>
    <w:multiLevelType w:val="multilevel"/>
    <w:tmpl w:val="4B184272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21817DD"/>
    <w:multiLevelType w:val="multilevel"/>
    <w:tmpl w:val="4E22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25B65"/>
    <w:multiLevelType w:val="multilevel"/>
    <w:tmpl w:val="DE12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669C8"/>
    <w:multiLevelType w:val="multilevel"/>
    <w:tmpl w:val="C2E0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573767"/>
    <w:multiLevelType w:val="multilevel"/>
    <w:tmpl w:val="4C5C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BE4EA4"/>
    <w:multiLevelType w:val="multilevel"/>
    <w:tmpl w:val="4B74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427905">
    <w:abstractNumId w:val="2"/>
  </w:num>
  <w:num w:numId="2" w16cid:durableId="8260388">
    <w:abstractNumId w:val="1"/>
  </w:num>
  <w:num w:numId="3" w16cid:durableId="584607041">
    <w:abstractNumId w:val="3"/>
  </w:num>
  <w:num w:numId="4" w16cid:durableId="1728989162">
    <w:abstractNumId w:val="5"/>
  </w:num>
  <w:num w:numId="5" w16cid:durableId="381295845">
    <w:abstractNumId w:val="4"/>
  </w:num>
  <w:num w:numId="6" w16cid:durableId="1492983450">
    <w:abstractNumId w:val="8"/>
  </w:num>
  <w:num w:numId="7" w16cid:durableId="411202478">
    <w:abstractNumId w:val="7"/>
  </w:num>
  <w:num w:numId="8" w16cid:durableId="844245720">
    <w:abstractNumId w:val="0"/>
  </w:num>
  <w:num w:numId="9" w16cid:durableId="1076995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mirrorMargin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DA4"/>
    <w:rsid w:val="0001161E"/>
    <w:rsid w:val="00025DA4"/>
    <w:rsid w:val="000765AE"/>
    <w:rsid w:val="00086804"/>
    <w:rsid w:val="00097CEB"/>
    <w:rsid w:val="000B6E64"/>
    <w:rsid w:val="000C2ACF"/>
    <w:rsid w:val="000D2A24"/>
    <w:rsid w:val="00114F68"/>
    <w:rsid w:val="001316AF"/>
    <w:rsid w:val="00146C99"/>
    <w:rsid w:val="00160DBE"/>
    <w:rsid w:val="001654A1"/>
    <w:rsid w:val="00180653"/>
    <w:rsid w:val="00195A92"/>
    <w:rsid w:val="001B52DC"/>
    <w:rsid w:val="001B5EE3"/>
    <w:rsid w:val="001E17B2"/>
    <w:rsid w:val="001E3B05"/>
    <w:rsid w:val="00220365"/>
    <w:rsid w:val="00236859"/>
    <w:rsid w:val="00241288"/>
    <w:rsid w:val="00241F56"/>
    <w:rsid w:val="002520A4"/>
    <w:rsid w:val="002557AE"/>
    <w:rsid w:val="00272B09"/>
    <w:rsid w:val="002740D4"/>
    <w:rsid w:val="00274B95"/>
    <w:rsid w:val="0028024F"/>
    <w:rsid w:val="002B1AA7"/>
    <w:rsid w:val="002B291F"/>
    <w:rsid w:val="002D4FF2"/>
    <w:rsid w:val="002E260E"/>
    <w:rsid w:val="0032079D"/>
    <w:rsid w:val="00323B4E"/>
    <w:rsid w:val="00324D77"/>
    <w:rsid w:val="0035523C"/>
    <w:rsid w:val="00355D5C"/>
    <w:rsid w:val="00361086"/>
    <w:rsid w:val="0036180E"/>
    <w:rsid w:val="0036277C"/>
    <w:rsid w:val="003629B0"/>
    <w:rsid w:val="00365B50"/>
    <w:rsid w:val="003752C9"/>
    <w:rsid w:val="003779F5"/>
    <w:rsid w:val="003C0D14"/>
    <w:rsid w:val="003C1450"/>
    <w:rsid w:val="003C49C2"/>
    <w:rsid w:val="003F002C"/>
    <w:rsid w:val="004018EA"/>
    <w:rsid w:val="00406802"/>
    <w:rsid w:val="00410D6F"/>
    <w:rsid w:val="004129F1"/>
    <w:rsid w:val="004209BC"/>
    <w:rsid w:val="00421659"/>
    <w:rsid w:val="004345BB"/>
    <w:rsid w:val="00445A50"/>
    <w:rsid w:val="00467D71"/>
    <w:rsid w:val="00480265"/>
    <w:rsid w:val="00482083"/>
    <w:rsid w:val="004872EE"/>
    <w:rsid w:val="004D294F"/>
    <w:rsid w:val="004D51B8"/>
    <w:rsid w:val="004F2678"/>
    <w:rsid w:val="004F4DC2"/>
    <w:rsid w:val="00550D6A"/>
    <w:rsid w:val="00563D56"/>
    <w:rsid w:val="00566E38"/>
    <w:rsid w:val="00582D53"/>
    <w:rsid w:val="00597707"/>
    <w:rsid w:val="005A4207"/>
    <w:rsid w:val="005B457C"/>
    <w:rsid w:val="005C36E0"/>
    <w:rsid w:val="005F0B80"/>
    <w:rsid w:val="005F5650"/>
    <w:rsid w:val="00621AA5"/>
    <w:rsid w:val="0062255E"/>
    <w:rsid w:val="00635727"/>
    <w:rsid w:val="006756E3"/>
    <w:rsid w:val="00682ECB"/>
    <w:rsid w:val="00686005"/>
    <w:rsid w:val="00690639"/>
    <w:rsid w:val="0069134B"/>
    <w:rsid w:val="00695AA3"/>
    <w:rsid w:val="0069793F"/>
    <w:rsid w:val="006B53FB"/>
    <w:rsid w:val="006D6557"/>
    <w:rsid w:val="006D6A6B"/>
    <w:rsid w:val="00714C6E"/>
    <w:rsid w:val="0073075A"/>
    <w:rsid w:val="00730EC3"/>
    <w:rsid w:val="007418D9"/>
    <w:rsid w:val="00744782"/>
    <w:rsid w:val="00744E06"/>
    <w:rsid w:val="00746D66"/>
    <w:rsid w:val="007533DB"/>
    <w:rsid w:val="0075400D"/>
    <w:rsid w:val="00782773"/>
    <w:rsid w:val="00791087"/>
    <w:rsid w:val="007A6EFD"/>
    <w:rsid w:val="007B6D98"/>
    <w:rsid w:val="007C1614"/>
    <w:rsid w:val="007C320B"/>
    <w:rsid w:val="007F0DCB"/>
    <w:rsid w:val="00813427"/>
    <w:rsid w:val="008302E9"/>
    <w:rsid w:val="00862702"/>
    <w:rsid w:val="0086486F"/>
    <w:rsid w:val="008B3D0C"/>
    <w:rsid w:val="008C47C5"/>
    <w:rsid w:val="008D4CC6"/>
    <w:rsid w:val="00900042"/>
    <w:rsid w:val="00937D7D"/>
    <w:rsid w:val="00937F78"/>
    <w:rsid w:val="00942ADB"/>
    <w:rsid w:val="00967697"/>
    <w:rsid w:val="00970DAB"/>
    <w:rsid w:val="009A1C1C"/>
    <w:rsid w:val="009B3B62"/>
    <w:rsid w:val="009C63C0"/>
    <w:rsid w:val="009D14FC"/>
    <w:rsid w:val="009D1B97"/>
    <w:rsid w:val="009D6D3E"/>
    <w:rsid w:val="00A30441"/>
    <w:rsid w:val="00A35FF8"/>
    <w:rsid w:val="00A61579"/>
    <w:rsid w:val="00A75550"/>
    <w:rsid w:val="00A82B1B"/>
    <w:rsid w:val="00A95335"/>
    <w:rsid w:val="00AB098F"/>
    <w:rsid w:val="00AB4810"/>
    <w:rsid w:val="00AB52AE"/>
    <w:rsid w:val="00AD0D8D"/>
    <w:rsid w:val="00AE3C52"/>
    <w:rsid w:val="00B149EA"/>
    <w:rsid w:val="00B57C24"/>
    <w:rsid w:val="00B61442"/>
    <w:rsid w:val="00B85E50"/>
    <w:rsid w:val="00B910CD"/>
    <w:rsid w:val="00B94785"/>
    <w:rsid w:val="00BA320C"/>
    <w:rsid w:val="00BD5912"/>
    <w:rsid w:val="00BD7E96"/>
    <w:rsid w:val="00C56D24"/>
    <w:rsid w:val="00C613BC"/>
    <w:rsid w:val="00C6505C"/>
    <w:rsid w:val="00C82A16"/>
    <w:rsid w:val="00C90039"/>
    <w:rsid w:val="00CA1605"/>
    <w:rsid w:val="00CD6CD9"/>
    <w:rsid w:val="00CE4235"/>
    <w:rsid w:val="00D05976"/>
    <w:rsid w:val="00D17EBA"/>
    <w:rsid w:val="00D45FDE"/>
    <w:rsid w:val="00D8737D"/>
    <w:rsid w:val="00DB5E7F"/>
    <w:rsid w:val="00DD313F"/>
    <w:rsid w:val="00E0211A"/>
    <w:rsid w:val="00E20B1C"/>
    <w:rsid w:val="00E27B60"/>
    <w:rsid w:val="00E347FC"/>
    <w:rsid w:val="00E43B1C"/>
    <w:rsid w:val="00E47E9E"/>
    <w:rsid w:val="00E82632"/>
    <w:rsid w:val="00E85796"/>
    <w:rsid w:val="00E87641"/>
    <w:rsid w:val="00E9025C"/>
    <w:rsid w:val="00E936E2"/>
    <w:rsid w:val="00EC6FB0"/>
    <w:rsid w:val="00ED03CC"/>
    <w:rsid w:val="00ED7F3D"/>
    <w:rsid w:val="00EF0754"/>
    <w:rsid w:val="00F15E57"/>
    <w:rsid w:val="00F4185A"/>
    <w:rsid w:val="00F45A10"/>
    <w:rsid w:val="00F500A0"/>
    <w:rsid w:val="00F544A9"/>
    <w:rsid w:val="00F66696"/>
    <w:rsid w:val="00F67854"/>
    <w:rsid w:val="00F96A29"/>
    <w:rsid w:val="00FA31C4"/>
    <w:rsid w:val="00FB1CD1"/>
    <w:rsid w:val="00FB76E5"/>
    <w:rsid w:val="00FC56D7"/>
    <w:rsid w:val="00FC7697"/>
    <w:rsid w:val="00FD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C715B9"/>
  <w15:chartTrackingRefBased/>
  <w15:docId w15:val="{767889B3-EEB5-3042-8086-20392CDB2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5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5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5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5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5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5D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5D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5D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5D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5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5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5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5D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5D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5D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5D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5D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5D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5D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5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5D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5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5D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5D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5D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5D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5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5D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5DA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25DA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25DA4"/>
  </w:style>
  <w:style w:type="paragraph" w:styleId="Piedepgina">
    <w:name w:val="footer"/>
    <w:basedOn w:val="Normal"/>
    <w:link w:val="PiedepginaCar"/>
    <w:uiPriority w:val="99"/>
    <w:unhideWhenUsed/>
    <w:rsid w:val="00025DA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DA4"/>
  </w:style>
  <w:style w:type="paragraph" w:styleId="Descripcin">
    <w:name w:val="caption"/>
    <w:basedOn w:val="Normal"/>
    <w:next w:val="Normal"/>
    <w:uiPriority w:val="35"/>
    <w:unhideWhenUsed/>
    <w:qFormat/>
    <w:rsid w:val="001654A1"/>
    <w:pPr>
      <w:spacing w:after="200"/>
      <w:jc w:val="both"/>
    </w:pPr>
    <w:rPr>
      <w:rFonts w:ascii="Noto Sans" w:eastAsia="Times New Roman" w:hAnsi="Noto Sans" w:cs="Times New Roman"/>
      <w:i/>
      <w:iCs/>
      <w:color w:val="0E2841" w:themeColor="text2"/>
      <w:kern w:val="0"/>
      <w:sz w:val="18"/>
      <w:szCs w:val="18"/>
      <w:lang w:eastAsia="es-MX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714C6E"/>
    <w:rPr>
      <w:color w:val="666666"/>
    </w:rPr>
  </w:style>
  <w:style w:type="paragraph" w:styleId="Revisin">
    <w:name w:val="Revision"/>
    <w:hidden/>
    <w:uiPriority w:val="99"/>
    <w:semiHidden/>
    <w:rsid w:val="00361086"/>
  </w:style>
  <w:style w:type="paragraph" w:styleId="NormalWeb">
    <w:name w:val="Normal (Web)"/>
    <w:basedOn w:val="Normal"/>
    <w:uiPriority w:val="99"/>
    <w:semiHidden/>
    <w:unhideWhenUsed/>
    <w:rsid w:val="008D4CC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C49C2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C49C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C49C2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3C49C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49C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C49C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5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9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200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625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293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1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52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76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5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3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450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30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8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35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7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99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094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6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348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91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4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6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6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8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3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6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3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2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338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1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663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4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764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766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0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7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745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2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53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59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0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71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80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6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764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1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725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0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17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878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8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58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5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905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8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FF74439-3402-F64B-BF30-9EB997F93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853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Cevallos Maciel</dc:creator>
  <cp:keywords/>
  <dc:description/>
  <cp:lastModifiedBy>Edward Aleksander Dobrusin Larios</cp:lastModifiedBy>
  <cp:revision>4</cp:revision>
  <cp:lastPrinted>2026-05-07T13:23:00Z</cp:lastPrinted>
  <dcterms:created xsi:type="dcterms:W3CDTF">2026-06-04T23:44:00Z</dcterms:created>
  <dcterms:modified xsi:type="dcterms:W3CDTF">2026-06-05T19:07:00Z</dcterms:modified>
</cp:coreProperties>
</file>