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1A18" w14:textId="27233F8F" w:rsidR="00150349" w:rsidRPr="00681CAB" w:rsidRDefault="00704729" w:rsidP="009D605B">
      <w:pPr>
        <w:spacing w:after="120"/>
        <w:jc w:val="center"/>
        <w:rPr>
          <w:rFonts w:ascii="Noto Sans" w:hAnsi="Noto Sans" w:cs="Noto Sans"/>
          <w:b/>
          <w:bCs/>
          <w:color w:val="000000" w:themeColor="text1"/>
          <w:lang w:val="es-ES_tradnl"/>
        </w:rPr>
        <w:sectPr w:rsidR="00150349" w:rsidRPr="00681CAB" w:rsidSect="0004728F">
          <w:headerReference w:type="default" r:id="rId11"/>
          <w:footerReference w:type="default" r:id="rId12"/>
          <w:pgSz w:w="12240" w:h="15840"/>
          <w:pgMar w:top="1843" w:right="1021" w:bottom="1701" w:left="1021" w:header="709" w:footer="376" w:gutter="0"/>
          <w:cols w:space="708"/>
          <w:docGrid w:linePitch="360"/>
        </w:sectPr>
      </w:pPr>
      <w:bookmarkStart w:id="0" w:name="_Hlk218509963"/>
      <w:r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 xml:space="preserve">Cambios </w:t>
      </w:r>
      <w:r w:rsidR="009F1B12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 xml:space="preserve">en reglas </w:t>
      </w:r>
      <w:r w:rsidR="00D1150E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>de aranceles</w:t>
      </w:r>
      <w:r w:rsidR="00A175AA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 xml:space="preserve"> </w:t>
      </w:r>
      <w:r w:rsidR="00D1150E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>al</w:t>
      </w:r>
      <w:r w:rsidR="00A175AA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 xml:space="preserve"> acero, </w:t>
      </w:r>
      <w:r w:rsidR="00D1150E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>aluminio y</w:t>
      </w:r>
      <w:r w:rsidR="00A175AA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 xml:space="preserve"> cobre por parte de </w:t>
      </w:r>
      <w:r w:rsidR="00A37E8C">
        <w:rPr>
          <w:rFonts w:ascii="Noto Sans" w:hAnsi="Noto Sans" w:cs="Noto Sans"/>
          <w:b/>
          <w:bCs/>
          <w:color w:val="000000" w:themeColor="text1"/>
          <w:lang w:val="es-ES_tradnl"/>
        </w:rPr>
        <w:br/>
      </w:r>
      <w:r w:rsidR="00A175AA" w:rsidRPr="00681CAB">
        <w:rPr>
          <w:rFonts w:ascii="Noto Sans" w:hAnsi="Noto Sans" w:cs="Noto Sans"/>
          <w:b/>
          <w:bCs/>
          <w:color w:val="000000" w:themeColor="text1"/>
          <w:lang w:val="es-ES_tradnl"/>
        </w:rPr>
        <w:t>Estados Unidos</w:t>
      </w:r>
    </w:p>
    <w:p w14:paraId="569A9305" w14:textId="5F5C9DDE" w:rsidR="00DB1A8D" w:rsidRPr="00477DB6" w:rsidRDefault="00DB1A8D" w:rsidP="00DB1A8D">
      <w:pPr>
        <w:pStyle w:val="Prrafodelista"/>
        <w:numPr>
          <w:ilvl w:val="0"/>
          <w:numId w:val="5"/>
        </w:numPr>
        <w:spacing w:after="120"/>
        <w:jc w:val="both"/>
        <w:rPr>
          <w:rFonts w:ascii="Noto Sans" w:hAnsi="Noto Sans" w:cs="Noto Sans"/>
          <w:b/>
          <w:bCs/>
          <w:sz w:val="20"/>
          <w:szCs w:val="20"/>
          <w:lang w:val="es-ES"/>
        </w:rPr>
      </w:pP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Introducción</w:t>
      </w:r>
    </w:p>
    <w:p w14:paraId="760B5AD8" w14:textId="028657AF" w:rsidR="00ED3021" w:rsidRDefault="000069C0" w:rsidP="0005476D">
      <w:p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sz w:val="20"/>
          <w:szCs w:val="20"/>
          <w:lang w:val="es-ES"/>
        </w:rPr>
        <w:t>El 2 de abril de 2026 el presidente de Estados Unidos emitió la proclamación 11021 “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Strengthening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Actions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Taken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To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Adjust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Imports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of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Aluminum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, Steel, and Copper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Into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the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</w:t>
      </w:r>
      <w:proofErr w:type="spellStart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>United</w:t>
      </w:r>
      <w:proofErr w:type="spellEnd"/>
      <w:r w:rsidRPr="00477DB6">
        <w:rPr>
          <w:rFonts w:ascii="Noto Sans" w:hAnsi="Noto Sans" w:cs="Noto Sans"/>
          <w:i/>
          <w:iCs/>
          <w:sz w:val="20"/>
          <w:szCs w:val="20"/>
          <w:lang w:val="es-ES"/>
        </w:rPr>
        <w:t xml:space="preserve"> States</w:t>
      </w:r>
      <w:r>
        <w:rPr>
          <w:rFonts w:ascii="Noto Sans" w:hAnsi="Noto Sans" w:cs="Noto Sans"/>
          <w:sz w:val="20"/>
          <w:szCs w:val="20"/>
          <w:lang w:val="es-ES"/>
        </w:rPr>
        <w:t>”</w:t>
      </w:r>
      <w:r w:rsidR="002614DE">
        <w:rPr>
          <w:rFonts w:ascii="Noto Sans" w:hAnsi="Noto Sans" w:cs="Noto Sans"/>
          <w:sz w:val="20"/>
          <w:szCs w:val="20"/>
          <w:lang w:val="es-ES"/>
        </w:rPr>
        <w:t xml:space="preserve"> (Proclamación)</w:t>
      </w:r>
      <w:r w:rsidR="0005476D">
        <w:rPr>
          <w:rFonts w:ascii="Noto Sans" w:hAnsi="Noto Sans" w:cs="Noto Sans"/>
          <w:sz w:val="20"/>
          <w:szCs w:val="20"/>
          <w:lang w:val="es-ES"/>
        </w:rPr>
        <w:t xml:space="preserve">, </w:t>
      </w:r>
      <w:r w:rsidR="006859F4" w:rsidRPr="006859F4">
        <w:rPr>
          <w:rFonts w:ascii="Noto Sans" w:hAnsi="Noto Sans" w:cs="Noto Sans"/>
          <w:sz w:val="20"/>
          <w:szCs w:val="20"/>
          <w:lang w:val="es-ES"/>
        </w:rPr>
        <w:t xml:space="preserve">para </w:t>
      </w:r>
      <w:r w:rsidR="00477DB6">
        <w:rPr>
          <w:rFonts w:ascii="Noto Sans" w:hAnsi="Noto Sans" w:cs="Noto Sans"/>
          <w:sz w:val="20"/>
          <w:szCs w:val="20"/>
          <w:lang w:val="es-ES"/>
        </w:rPr>
        <w:t>cambiar los aranceles establecidos a</w:t>
      </w:r>
      <w:r w:rsidR="006859F4" w:rsidRPr="006859F4">
        <w:rPr>
          <w:rFonts w:ascii="Noto Sans" w:hAnsi="Noto Sans" w:cs="Noto Sans"/>
          <w:sz w:val="20"/>
          <w:szCs w:val="20"/>
          <w:lang w:val="es-ES"/>
        </w:rPr>
        <w:t xml:space="preserve"> las importaciones de </w:t>
      </w:r>
      <w:r w:rsidR="006859F4" w:rsidRPr="00477DB6">
        <w:rPr>
          <w:rFonts w:ascii="Noto Sans" w:hAnsi="Noto Sans" w:cs="Noto Sans"/>
          <w:b/>
          <w:bCs/>
          <w:sz w:val="20"/>
          <w:szCs w:val="20"/>
          <w:lang w:val="es-ES"/>
        </w:rPr>
        <w:t>aluminio, acero y cobre</w:t>
      </w:r>
      <w:r w:rsidR="006859F4" w:rsidRPr="006859F4">
        <w:rPr>
          <w:rFonts w:ascii="Noto Sans" w:hAnsi="Noto Sans" w:cs="Noto Sans"/>
          <w:sz w:val="20"/>
          <w:szCs w:val="20"/>
          <w:lang w:val="es-ES"/>
        </w:rPr>
        <w:t xml:space="preserve"> en EE. UU</w:t>
      </w:r>
      <w:r w:rsidR="006859F4">
        <w:rPr>
          <w:rFonts w:ascii="Noto Sans" w:hAnsi="Noto Sans" w:cs="Noto Sans"/>
          <w:sz w:val="20"/>
          <w:szCs w:val="20"/>
          <w:lang w:val="es-ES"/>
        </w:rPr>
        <w:t xml:space="preserve">. </w:t>
      </w:r>
      <w:r w:rsidR="0005476D">
        <w:rPr>
          <w:rFonts w:ascii="Noto Sans" w:hAnsi="Noto Sans" w:cs="Noto Sans"/>
          <w:sz w:val="20"/>
          <w:szCs w:val="20"/>
          <w:lang w:val="es-ES"/>
        </w:rPr>
        <w:t xml:space="preserve">Esta disposición entró en vigor el </w:t>
      </w:r>
      <w:r w:rsidR="0005476D">
        <w:rPr>
          <w:rFonts w:ascii="Noto Sans" w:hAnsi="Noto Sans" w:cs="Noto Sans"/>
          <w:b/>
          <w:bCs/>
          <w:sz w:val="20"/>
          <w:szCs w:val="20"/>
          <w:lang w:val="es-ES"/>
        </w:rPr>
        <w:t>6 de abril de 2026</w:t>
      </w:r>
      <w:r w:rsidR="00DB111C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y la disposición legal bajo la cual se aplican es la Sección 232</w:t>
      </w:r>
      <w:r w:rsidR="0005476D">
        <w:rPr>
          <w:rFonts w:ascii="Noto Sans" w:hAnsi="Noto Sans" w:cs="Noto Sans"/>
          <w:b/>
          <w:bCs/>
          <w:sz w:val="20"/>
          <w:szCs w:val="20"/>
          <w:lang w:val="es-ES"/>
        </w:rPr>
        <w:t>.</w:t>
      </w:r>
      <w:r w:rsidR="009F1D2A">
        <w:rPr>
          <w:rFonts w:ascii="Noto Sans" w:hAnsi="Noto Sans" w:cs="Noto Sans"/>
          <w:sz w:val="20"/>
          <w:szCs w:val="20"/>
          <w:lang w:val="es-ES"/>
        </w:rPr>
        <w:t xml:space="preserve"> </w:t>
      </w:r>
    </w:p>
    <w:p w14:paraId="3B7F8332" w14:textId="2E836955" w:rsidR="007919A8" w:rsidRPr="00477DB6" w:rsidRDefault="00E56C8A" w:rsidP="00E56C8A">
      <w:pPr>
        <w:pStyle w:val="Prrafodelista"/>
        <w:numPr>
          <w:ilvl w:val="0"/>
          <w:numId w:val="5"/>
        </w:numPr>
        <w:spacing w:after="120"/>
        <w:jc w:val="both"/>
        <w:rPr>
          <w:rFonts w:ascii="Noto Sans" w:hAnsi="Noto Sans" w:cs="Noto Sans"/>
          <w:b/>
          <w:bCs/>
          <w:sz w:val="20"/>
          <w:szCs w:val="20"/>
          <w:lang w:val="es-ES"/>
        </w:rPr>
      </w:pPr>
      <w:r>
        <w:rPr>
          <w:rFonts w:ascii="Noto Sans" w:hAnsi="Noto Sans" w:cs="Noto Sans"/>
          <w:b/>
          <w:bCs/>
          <w:sz w:val="20"/>
          <w:szCs w:val="20"/>
          <w:lang w:val="es-ES"/>
        </w:rPr>
        <w:t>A</w:t>
      </w:r>
      <w:r w:rsidR="0089074B" w:rsidRPr="00477DB6">
        <w:rPr>
          <w:rFonts w:ascii="Noto Sans" w:hAnsi="Noto Sans" w:cs="Noto Sans"/>
          <w:b/>
          <w:bCs/>
          <w:sz w:val="20"/>
          <w:szCs w:val="20"/>
          <w:lang w:val="es-ES"/>
        </w:rPr>
        <w:t>ntecedentes</w:t>
      </w:r>
    </w:p>
    <w:p w14:paraId="25EA7E97" w14:textId="77777777" w:rsidR="00E56C8A" w:rsidRPr="00477DB6" w:rsidRDefault="00E56C8A" w:rsidP="00477DB6">
      <w:pPr>
        <w:pStyle w:val="Prrafodelista"/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</w:p>
    <w:p w14:paraId="52823AF0" w14:textId="47A1F0FB" w:rsidR="007919A8" w:rsidRDefault="007919A8" w:rsidP="0005476D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E</w:t>
      </w:r>
      <w:r w:rsidR="00AF7A20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ntre marzo y junio de </w:t>
      </w:r>
      <w:r w:rsidR="00DB111C" w:rsidRPr="00477DB6">
        <w:rPr>
          <w:rFonts w:ascii="Noto Sans" w:hAnsi="Noto Sans" w:cs="Noto Sans"/>
          <w:b/>
          <w:bCs/>
          <w:sz w:val="20"/>
          <w:szCs w:val="20"/>
          <w:lang w:val="es-ES"/>
        </w:rPr>
        <w:t>2018</w:t>
      </w:r>
      <w:r>
        <w:rPr>
          <w:rFonts w:ascii="Noto Sans" w:hAnsi="Noto Sans" w:cs="Noto Sans"/>
          <w:sz w:val="20"/>
          <w:szCs w:val="20"/>
          <w:lang w:val="es-ES"/>
        </w:rPr>
        <w:t>, Estados Unidos estableció aranceles</w:t>
      </w:r>
      <w:r w:rsidR="00DB111C" w:rsidRPr="00477DB6">
        <w:rPr>
          <w:rFonts w:ascii="Noto Sans" w:hAnsi="Noto Sans" w:cs="Noto Sans"/>
          <w:sz w:val="20"/>
          <w:szCs w:val="20"/>
          <w:lang w:val="es-ES"/>
        </w:rPr>
        <w:t xml:space="preserve"> de </w:t>
      </w:r>
      <w:r w:rsidR="00DB111C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10 y 25% </w:t>
      </w:r>
      <w:r w:rsidR="0089074B" w:rsidRPr="00477DB6">
        <w:rPr>
          <w:rFonts w:ascii="Noto Sans" w:hAnsi="Noto Sans" w:cs="Noto Sans"/>
          <w:b/>
          <w:bCs/>
          <w:sz w:val="20"/>
          <w:szCs w:val="20"/>
          <w:lang w:val="es-ES"/>
        </w:rPr>
        <w:t>al aluminio y al acero</w:t>
      </w:r>
      <w:r w:rsidR="0089074B" w:rsidRPr="00477DB6">
        <w:rPr>
          <w:rFonts w:ascii="Noto Sans" w:hAnsi="Noto Sans" w:cs="Noto Sans"/>
          <w:sz w:val="20"/>
          <w:szCs w:val="20"/>
          <w:lang w:val="es-ES"/>
        </w:rPr>
        <w:t>,</w:t>
      </w:r>
      <w:r w:rsidR="00DB111C" w:rsidRPr="00477DB6">
        <w:rPr>
          <w:rFonts w:ascii="Noto Sans" w:hAnsi="Noto Sans" w:cs="Noto Sans"/>
          <w:sz w:val="20"/>
          <w:szCs w:val="20"/>
          <w:lang w:val="es-ES"/>
        </w:rPr>
        <w:t xml:space="preserve"> respectivamente. </w:t>
      </w:r>
      <w:r w:rsidR="00E56C8A">
        <w:rPr>
          <w:rFonts w:ascii="Noto Sans" w:hAnsi="Noto Sans" w:cs="Noto Sans"/>
          <w:sz w:val="20"/>
          <w:szCs w:val="20"/>
          <w:lang w:val="es-ES"/>
        </w:rPr>
        <w:t>E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>xcepcione</w:t>
      </w:r>
      <w:r w:rsidR="00E56C8A">
        <w:rPr>
          <w:rFonts w:ascii="Noto Sans" w:hAnsi="Noto Sans" w:cs="Noto Sans"/>
          <w:sz w:val="20"/>
          <w:szCs w:val="20"/>
          <w:lang w:val="es-ES"/>
        </w:rPr>
        <w:t xml:space="preserve">s para 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 xml:space="preserve">algunos socios comerciales </w:t>
      </w:r>
      <w:r w:rsidR="00E56C8A">
        <w:rPr>
          <w:rFonts w:ascii="Noto Sans" w:hAnsi="Noto Sans" w:cs="Noto Sans"/>
          <w:sz w:val="20"/>
          <w:szCs w:val="20"/>
          <w:lang w:val="es-ES"/>
        </w:rPr>
        <w:t>incluidos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 xml:space="preserve"> Canadá, México</w:t>
      </w:r>
      <w:r w:rsidR="00E56C8A">
        <w:rPr>
          <w:rFonts w:ascii="Noto Sans" w:hAnsi="Noto Sans" w:cs="Noto Sans"/>
          <w:sz w:val="20"/>
          <w:szCs w:val="20"/>
          <w:lang w:val="es-ES"/>
        </w:rPr>
        <w:t xml:space="preserve"> y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 xml:space="preserve"> la Unión Europea, </w:t>
      </w:r>
      <w:r w:rsidR="00E56C8A">
        <w:rPr>
          <w:rFonts w:ascii="Noto Sans" w:hAnsi="Noto Sans" w:cs="Noto Sans"/>
          <w:sz w:val="20"/>
          <w:szCs w:val="20"/>
          <w:lang w:val="es-ES"/>
        </w:rPr>
        <w:t>entre otros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 xml:space="preserve">. </w:t>
      </w:r>
    </w:p>
    <w:p w14:paraId="2E145BD2" w14:textId="7F5250CB" w:rsidR="007919A8" w:rsidRDefault="00AF7A20" w:rsidP="0005476D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En marzo de 2025</w:t>
      </w:r>
      <w:r w:rsidRPr="00477DB6">
        <w:rPr>
          <w:rFonts w:ascii="Noto Sans" w:hAnsi="Noto Sans" w:cs="Noto Sans"/>
          <w:sz w:val="20"/>
          <w:szCs w:val="20"/>
          <w:lang w:val="es-ES"/>
        </w:rPr>
        <w:t xml:space="preserve">, </w:t>
      </w:r>
      <w:r w:rsidR="00E56C8A">
        <w:rPr>
          <w:rFonts w:ascii="Noto Sans" w:hAnsi="Noto Sans" w:cs="Noto Sans"/>
          <w:sz w:val="20"/>
          <w:szCs w:val="20"/>
          <w:lang w:val="es-ES"/>
        </w:rPr>
        <w:t xml:space="preserve">se </w:t>
      </w:r>
      <w:r w:rsidRPr="00477DB6">
        <w:rPr>
          <w:rFonts w:ascii="Noto Sans" w:hAnsi="Noto Sans" w:cs="Noto Sans"/>
          <w:sz w:val="20"/>
          <w:szCs w:val="20"/>
          <w:lang w:val="es-ES"/>
        </w:rPr>
        <w:t>eliminaron las excepciones</w:t>
      </w:r>
      <w:r w:rsidR="009F5931">
        <w:rPr>
          <w:rFonts w:ascii="Noto Sans" w:hAnsi="Noto Sans" w:cs="Noto Sans"/>
          <w:sz w:val="20"/>
          <w:szCs w:val="20"/>
          <w:lang w:val="es-ES"/>
        </w:rPr>
        <w:t>.</w:t>
      </w:r>
      <w:r w:rsidRPr="00477DB6"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="009F5931">
        <w:rPr>
          <w:rFonts w:ascii="Noto Sans" w:hAnsi="Noto Sans" w:cs="Noto Sans"/>
          <w:sz w:val="20"/>
          <w:szCs w:val="20"/>
          <w:lang w:val="es-ES"/>
        </w:rPr>
        <w:t>A</w:t>
      </w:r>
      <w:r w:rsidRPr="00477DB6">
        <w:rPr>
          <w:rFonts w:ascii="Noto Sans" w:hAnsi="Noto Sans" w:cs="Noto Sans"/>
          <w:sz w:val="20"/>
          <w:szCs w:val="20"/>
          <w:lang w:val="es-ES"/>
        </w:rPr>
        <w:t>dicionalmente</w:t>
      </w:r>
      <w:r w:rsidR="00E56C8A">
        <w:rPr>
          <w:rFonts w:ascii="Noto Sans" w:hAnsi="Noto Sans" w:cs="Noto Sans"/>
          <w:sz w:val="20"/>
          <w:szCs w:val="20"/>
          <w:lang w:val="es-ES"/>
        </w:rPr>
        <w:t>,</w:t>
      </w:r>
      <w:r w:rsidRPr="00477DB6"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aumentaron los aranceles para el aluminio de 10 a 25%</w:t>
      </w:r>
      <w:r w:rsidR="00C371C4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y se incluyeron productos derivados del acero y el aluminio</w:t>
      </w: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.</w:t>
      </w:r>
      <w:r w:rsidR="001F1803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</w:t>
      </w:r>
      <w:r w:rsidR="001F1803">
        <w:rPr>
          <w:rFonts w:ascii="Noto Sans" w:hAnsi="Noto Sans" w:cs="Noto Sans"/>
          <w:sz w:val="20"/>
          <w:szCs w:val="20"/>
          <w:lang w:val="es-ES"/>
        </w:rPr>
        <w:t xml:space="preserve">Para </w:t>
      </w:r>
      <w:r w:rsidR="00E56C8A">
        <w:rPr>
          <w:rFonts w:ascii="Noto Sans" w:hAnsi="Noto Sans" w:cs="Noto Sans"/>
          <w:sz w:val="20"/>
          <w:szCs w:val="20"/>
          <w:lang w:val="es-ES"/>
        </w:rPr>
        <w:t>los</w:t>
      </w:r>
      <w:r w:rsidR="001F1803">
        <w:rPr>
          <w:rFonts w:ascii="Noto Sans" w:hAnsi="Noto Sans" w:cs="Noto Sans"/>
          <w:sz w:val="20"/>
          <w:szCs w:val="20"/>
          <w:lang w:val="es-ES"/>
        </w:rPr>
        <w:t xml:space="preserve"> productos</w:t>
      </w:r>
      <w:r w:rsidR="00E56C8A">
        <w:rPr>
          <w:rFonts w:ascii="Noto Sans" w:hAnsi="Noto Sans" w:cs="Noto Sans"/>
          <w:sz w:val="20"/>
          <w:szCs w:val="20"/>
          <w:lang w:val="es-ES"/>
        </w:rPr>
        <w:t xml:space="preserve"> derivados</w:t>
      </w:r>
      <w:r w:rsidR="001F1803">
        <w:rPr>
          <w:rFonts w:ascii="Noto Sans" w:hAnsi="Noto Sans" w:cs="Noto Sans"/>
          <w:sz w:val="20"/>
          <w:szCs w:val="20"/>
          <w:lang w:val="es-ES"/>
        </w:rPr>
        <w:t xml:space="preserve">, solo se aplicaba el arancel </w:t>
      </w:r>
      <w:r w:rsidR="001F1803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sobre </w:t>
      </w:r>
      <w:r w:rsidR="00E56C8A">
        <w:rPr>
          <w:rFonts w:ascii="Noto Sans" w:hAnsi="Noto Sans" w:cs="Noto Sans"/>
          <w:b/>
          <w:bCs/>
          <w:sz w:val="20"/>
          <w:szCs w:val="20"/>
          <w:lang w:val="es-ES"/>
        </w:rPr>
        <w:t>el</w:t>
      </w:r>
      <w:r w:rsidR="001F1803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contenido de acero o aluminio</w:t>
      </w:r>
      <w:r w:rsidR="001F1803">
        <w:rPr>
          <w:rFonts w:ascii="Noto Sans" w:hAnsi="Noto Sans" w:cs="Noto Sans"/>
          <w:sz w:val="20"/>
          <w:szCs w:val="20"/>
          <w:lang w:val="es-ES"/>
        </w:rPr>
        <w:t>.</w:t>
      </w:r>
      <w:r w:rsidRPr="00477DB6">
        <w:rPr>
          <w:rFonts w:ascii="Noto Sans" w:hAnsi="Noto Sans" w:cs="Noto Sans"/>
          <w:sz w:val="20"/>
          <w:szCs w:val="20"/>
          <w:lang w:val="es-ES"/>
        </w:rPr>
        <w:t xml:space="preserve"> </w:t>
      </w:r>
    </w:p>
    <w:p w14:paraId="151F66B8" w14:textId="7190EA8F" w:rsidR="00DB111C" w:rsidRDefault="007919A8" w:rsidP="0005476D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b/>
          <w:bCs/>
          <w:sz w:val="20"/>
          <w:szCs w:val="20"/>
          <w:lang w:val="es-ES"/>
        </w:rPr>
        <w:t>En junio de 2025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 xml:space="preserve">, </w:t>
      </w:r>
      <w:r w:rsidR="00E90667">
        <w:rPr>
          <w:rFonts w:ascii="Noto Sans" w:hAnsi="Noto Sans" w:cs="Noto Sans"/>
          <w:sz w:val="20"/>
          <w:szCs w:val="20"/>
          <w:lang w:val="es-ES"/>
        </w:rPr>
        <w:t xml:space="preserve">se 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>incremen</w:t>
      </w:r>
      <w:r w:rsidR="00E90667">
        <w:rPr>
          <w:rFonts w:ascii="Noto Sans" w:hAnsi="Noto Sans" w:cs="Noto Sans"/>
          <w:sz w:val="20"/>
          <w:szCs w:val="20"/>
          <w:lang w:val="es-ES"/>
        </w:rPr>
        <w:t>taron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 xml:space="preserve"> los aranceles pasando del </w:t>
      </w:r>
      <w:r w:rsidR="00AF7A20" w:rsidRPr="00477DB6">
        <w:rPr>
          <w:rFonts w:ascii="Noto Sans" w:hAnsi="Noto Sans" w:cs="Noto Sans"/>
          <w:b/>
          <w:bCs/>
          <w:sz w:val="20"/>
          <w:szCs w:val="20"/>
          <w:lang w:val="es-ES"/>
        </w:rPr>
        <w:t>25 al 50%</w:t>
      </w:r>
      <w:r w:rsidR="00E90667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</w:t>
      </w:r>
      <w:r w:rsidR="00E90667" w:rsidRPr="00B64262">
        <w:rPr>
          <w:rFonts w:ascii="Noto Sans" w:hAnsi="Noto Sans" w:cs="Noto Sans"/>
          <w:sz w:val="20"/>
          <w:szCs w:val="20"/>
          <w:lang w:val="es-ES"/>
        </w:rPr>
        <w:t>(con excepción del Reino Unido)</w:t>
      </w:r>
      <w:r w:rsidR="00AF7A20" w:rsidRPr="00477DB6">
        <w:rPr>
          <w:rFonts w:ascii="Noto Sans" w:hAnsi="Noto Sans" w:cs="Noto Sans"/>
          <w:sz w:val="20"/>
          <w:szCs w:val="20"/>
          <w:lang w:val="es-ES"/>
        </w:rPr>
        <w:t>.</w:t>
      </w:r>
    </w:p>
    <w:p w14:paraId="15E96599" w14:textId="5F8356C0" w:rsidR="00015BB9" w:rsidRPr="00477DB6" w:rsidRDefault="00015BB9" w:rsidP="001F1803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b/>
          <w:bCs/>
          <w:sz w:val="20"/>
          <w:szCs w:val="20"/>
          <w:lang w:val="es-ES"/>
        </w:rPr>
      </w:pP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En julio de 2025</w:t>
      </w:r>
      <w:r>
        <w:rPr>
          <w:rFonts w:ascii="Noto Sans" w:hAnsi="Noto Sans" w:cs="Noto Sans"/>
          <w:sz w:val="20"/>
          <w:szCs w:val="20"/>
          <w:lang w:val="es-ES"/>
        </w:rPr>
        <w:t xml:space="preserve">, el gobierno de Estados Unidos anunció nuevos </w:t>
      </w: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aranceles de 50%</w:t>
      </w:r>
      <w:r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="00E90667">
        <w:rPr>
          <w:rFonts w:ascii="Noto Sans" w:hAnsi="Noto Sans" w:cs="Noto Sans"/>
          <w:sz w:val="20"/>
          <w:szCs w:val="20"/>
          <w:lang w:val="es-ES"/>
        </w:rPr>
        <w:t xml:space="preserve">a algunos </w:t>
      </w: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productos de cobre</w:t>
      </w:r>
      <w:r>
        <w:t>. Esta disposición entró en vigor en agosto de 2025.</w:t>
      </w:r>
    </w:p>
    <w:p w14:paraId="7C9E8F26" w14:textId="77777777" w:rsidR="001F1803" w:rsidRPr="00477DB6" w:rsidRDefault="001F1803" w:rsidP="00477DB6">
      <w:pPr>
        <w:pStyle w:val="Prrafodelista"/>
        <w:spacing w:after="120"/>
        <w:jc w:val="both"/>
        <w:rPr>
          <w:rFonts w:ascii="Noto Sans" w:hAnsi="Noto Sans" w:cs="Noto Sans"/>
          <w:b/>
          <w:bCs/>
          <w:sz w:val="20"/>
          <w:szCs w:val="20"/>
          <w:lang w:val="es-ES"/>
        </w:rPr>
      </w:pPr>
    </w:p>
    <w:p w14:paraId="3D20C796" w14:textId="68EAC829" w:rsidR="001F1803" w:rsidRDefault="001F1803" w:rsidP="001F1803">
      <w:pPr>
        <w:pStyle w:val="Prrafodelista"/>
        <w:numPr>
          <w:ilvl w:val="0"/>
          <w:numId w:val="5"/>
        </w:numPr>
        <w:spacing w:after="120"/>
        <w:jc w:val="both"/>
        <w:rPr>
          <w:rFonts w:ascii="Noto Sans" w:hAnsi="Noto Sans" w:cs="Noto Sans"/>
          <w:b/>
          <w:bCs/>
          <w:sz w:val="20"/>
          <w:szCs w:val="20"/>
          <w:lang w:val="es-ES"/>
        </w:rPr>
      </w:pPr>
      <w:r>
        <w:rPr>
          <w:rFonts w:ascii="Noto Sans" w:hAnsi="Noto Sans" w:cs="Noto Sans"/>
          <w:b/>
          <w:bCs/>
          <w:sz w:val="20"/>
          <w:szCs w:val="20"/>
          <w:lang w:val="es-ES"/>
        </w:rPr>
        <w:t xml:space="preserve">Cambios en reglas </w:t>
      </w:r>
      <w:r w:rsidR="00A175AA">
        <w:rPr>
          <w:rFonts w:ascii="Noto Sans" w:hAnsi="Noto Sans" w:cs="Noto Sans"/>
          <w:b/>
          <w:bCs/>
          <w:sz w:val="20"/>
          <w:szCs w:val="20"/>
          <w:lang w:val="es-ES"/>
        </w:rPr>
        <w:t>de acero, aluminio y cobre establecidas en abril de 2026.</w:t>
      </w:r>
    </w:p>
    <w:p w14:paraId="42CF04C2" w14:textId="77777777" w:rsidR="00E90667" w:rsidRDefault="00E90667" w:rsidP="00477DB6">
      <w:pPr>
        <w:pStyle w:val="Prrafodelista"/>
        <w:spacing w:after="120"/>
        <w:jc w:val="both"/>
        <w:rPr>
          <w:rFonts w:ascii="Noto Sans" w:hAnsi="Noto Sans" w:cs="Noto Sans"/>
          <w:b/>
          <w:bCs/>
          <w:sz w:val="20"/>
          <w:szCs w:val="20"/>
          <w:lang w:val="es-ES"/>
        </w:rPr>
      </w:pPr>
    </w:p>
    <w:p w14:paraId="73ECB72E" w14:textId="7B3643BD" w:rsidR="009027EF" w:rsidRDefault="009027EF" w:rsidP="009027EF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b/>
          <w:bCs/>
          <w:sz w:val="20"/>
          <w:szCs w:val="20"/>
          <w:lang w:val="es-ES"/>
        </w:rPr>
        <w:t xml:space="preserve">Los aranceles se aplican </w:t>
      </w:r>
      <w:r w:rsidRPr="00B64262">
        <w:rPr>
          <w:rFonts w:ascii="Noto Sans" w:hAnsi="Noto Sans" w:cs="Noto Sans"/>
          <w:b/>
          <w:bCs/>
          <w:sz w:val="20"/>
          <w:szCs w:val="20"/>
          <w:lang w:val="es-ES"/>
        </w:rPr>
        <w:t>sobre el valor total en aduana del producto importado</w:t>
      </w:r>
      <w:r w:rsidRPr="00952B93">
        <w:rPr>
          <w:rFonts w:ascii="Noto Sans" w:hAnsi="Noto Sans" w:cs="Noto Sans"/>
          <w:sz w:val="20"/>
          <w:szCs w:val="20"/>
          <w:lang w:val="es-ES"/>
        </w:rPr>
        <w:t xml:space="preserve">, </w:t>
      </w:r>
      <w:r w:rsidRPr="00B64262">
        <w:rPr>
          <w:rFonts w:ascii="Noto Sans" w:hAnsi="Noto Sans" w:cs="Noto Sans"/>
          <w:b/>
          <w:bCs/>
          <w:sz w:val="20"/>
          <w:szCs w:val="20"/>
          <w:lang w:val="es-ES"/>
        </w:rPr>
        <w:t>incluyendo los productos derivados</w:t>
      </w:r>
      <w:r>
        <w:rPr>
          <w:rFonts w:ascii="Noto Sans" w:hAnsi="Noto Sans" w:cs="Noto Sans"/>
          <w:b/>
          <w:bCs/>
          <w:sz w:val="20"/>
          <w:szCs w:val="20"/>
          <w:lang w:val="es-ES"/>
        </w:rPr>
        <w:t>.</w:t>
      </w:r>
      <w:r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Pr="00952B93">
        <w:rPr>
          <w:rFonts w:ascii="Noto Sans" w:hAnsi="Noto Sans" w:cs="Noto Sans"/>
          <w:sz w:val="20"/>
          <w:szCs w:val="20"/>
          <w:lang w:val="es-ES"/>
        </w:rPr>
        <w:t xml:space="preserve">Se </w:t>
      </w:r>
      <w:r>
        <w:rPr>
          <w:rFonts w:ascii="Noto Sans" w:hAnsi="Noto Sans" w:cs="Noto Sans"/>
          <w:sz w:val="20"/>
          <w:szCs w:val="20"/>
          <w:lang w:val="es-ES"/>
        </w:rPr>
        <w:t>elimina así,</w:t>
      </w:r>
      <w:r w:rsidRPr="00952B93">
        <w:rPr>
          <w:rFonts w:ascii="Noto Sans" w:hAnsi="Noto Sans" w:cs="Noto Sans"/>
          <w:sz w:val="20"/>
          <w:szCs w:val="20"/>
          <w:lang w:val="es-ES"/>
        </w:rPr>
        <w:t xml:space="preserve"> el sistema anterior en el cual </w:t>
      </w:r>
      <w:r w:rsidRPr="00B64262">
        <w:rPr>
          <w:rFonts w:ascii="Noto Sans" w:hAnsi="Noto Sans" w:cs="Noto Sans"/>
          <w:b/>
          <w:bCs/>
          <w:sz w:val="20"/>
          <w:szCs w:val="20"/>
          <w:lang w:val="es-ES"/>
        </w:rPr>
        <w:t xml:space="preserve">los </w:t>
      </w:r>
      <w:r w:rsidRPr="00477DB6">
        <w:rPr>
          <w:rFonts w:ascii="Noto Sans" w:hAnsi="Noto Sans" w:cs="Noto Sans"/>
          <w:sz w:val="20"/>
          <w:szCs w:val="20"/>
          <w:lang w:val="es-ES"/>
        </w:rPr>
        <w:t>aranceles sobre productos derivados</w:t>
      </w:r>
      <w:r w:rsidRPr="00B6299F"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Pr="00952B93">
        <w:rPr>
          <w:rFonts w:ascii="Noto Sans" w:hAnsi="Noto Sans" w:cs="Noto Sans"/>
          <w:sz w:val="20"/>
          <w:szCs w:val="20"/>
          <w:lang w:val="es-ES"/>
        </w:rPr>
        <w:t xml:space="preserve">se calculaban </w:t>
      </w:r>
      <w:r>
        <w:rPr>
          <w:rFonts w:ascii="Noto Sans" w:hAnsi="Noto Sans" w:cs="Noto Sans"/>
          <w:sz w:val="20"/>
          <w:szCs w:val="20"/>
          <w:lang w:val="es-ES"/>
        </w:rPr>
        <w:t>sobre</w:t>
      </w:r>
      <w:r w:rsidRPr="00952B93">
        <w:rPr>
          <w:rFonts w:ascii="Noto Sans" w:hAnsi="Noto Sans" w:cs="Noto Sans"/>
          <w:sz w:val="20"/>
          <w:szCs w:val="20"/>
          <w:lang w:val="es-ES"/>
        </w:rPr>
        <w:t xml:space="preserve"> el contenido de acero, aluminio</w:t>
      </w:r>
      <w:r w:rsidR="00477DB6">
        <w:rPr>
          <w:rFonts w:ascii="Noto Sans" w:hAnsi="Noto Sans" w:cs="Noto Sans"/>
          <w:sz w:val="20"/>
          <w:szCs w:val="20"/>
          <w:lang w:val="es-ES"/>
        </w:rPr>
        <w:t xml:space="preserve"> y</w:t>
      </w:r>
      <w:r w:rsidRPr="00952B93">
        <w:rPr>
          <w:rFonts w:ascii="Noto Sans" w:hAnsi="Noto Sans" w:cs="Noto Sans"/>
          <w:sz w:val="20"/>
          <w:szCs w:val="20"/>
          <w:lang w:val="es-ES"/>
        </w:rPr>
        <w:t xml:space="preserve"> cobre</w:t>
      </w:r>
      <w:r>
        <w:rPr>
          <w:rFonts w:ascii="Noto Sans" w:hAnsi="Noto Sans" w:cs="Noto Sans"/>
          <w:sz w:val="20"/>
          <w:szCs w:val="20"/>
          <w:lang w:val="es-ES"/>
        </w:rPr>
        <w:t>.</w:t>
      </w:r>
    </w:p>
    <w:p w14:paraId="3A8449DB" w14:textId="77777777" w:rsidR="009027EF" w:rsidRDefault="009027EF" w:rsidP="00477DB6">
      <w:pPr>
        <w:pStyle w:val="Prrafodelista"/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</w:p>
    <w:p w14:paraId="106A48D6" w14:textId="1FA6B8F1" w:rsidR="00A175AA" w:rsidRDefault="00D1150E" w:rsidP="00A175AA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b/>
          <w:bCs/>
          <w:sz w:val="20"/>
          <w:szCs w:val="20"/>
          <w:lang w:val="es-ES"/>
        </w:rPr>
        <w:t>Nuevo</w:t>
      </w:r>
      <w:r w:rsidR="00BB20EE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</w:t>
      </w:r>
      <w:r>
        <w:rPr>
          <w:rFonts w:ascii="Noto Sans" w:hAnsi="Noto Sans" w:cs="Noto Sans"/>
          <w:b/>
          <w:bCs/>
          <w:sz w:val="20"/>
          <w:szCs w:val="20"/>
          <w:lang w:val="es-ES"/>
        </w:rPr>
        <w:t>esquema</w:t>
      </w:r>
      <w:r w:rsidR="00BB20EE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arancelari</w:t>
      </w:r>
      <w:r>
        <w:rPr>
          <w:rFonts w:ascii="Noto Sans" w:hAnsi="Noto Sans" w:cs="Noto Sans"/>
          <w:b/>
          <w:bCs/>
          <w:sz w:val="20"/>
          <w:szCs w:val="20"/>
          <w:lang w:val="es-ES"/>
        </w:rPr>
        <w:t>o</w:t>
      </w:r>
      <w:r>
        <w:rPr>
          <w:rFonts w:ascii="Noto Sans" w:hAnsi="Noto Sans" w:cs="Noto Sans"/>
          <w:sz w:val="20"/>
          <w:szCs w:val="20"/>
          <w:lang w:val="es-ES"/>
        </w:rPr>
        <w:t xml:space="preserve"> sobre el valor total del producto importado:</w:t>
      </w:r>
    </w:p>
    <w:p w14:paraId="64043A2E" w14:textId="5A11BD1B" w:rsidR="000E3010" w:rsidRDefault="00D1150E" w:rsidP="00BB20EE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50%:</w:t>
      </w:r>
      <w:r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="00D10BF3">
        <w:rPr>
          <w:rFonts w:ascii="Noto Sans" w:hAnsi="Noto Sans" w:cs="Noto Sans"/>
          <w:sz w:val="20"/>
          <w:szCs w:val="20"/>
          <w:lang w:val="es-ES"/>
        </w:rPr>
        <w:t>bienes clasificados en el capítulo 72</w:t>
      </w:r>
      <w:r w:rsidR="000E3010">
        <w:rPr>
          <w:rFonts w:ascii="Noto Sans" w:hAnsi="Noto Sans" w:cs="Noto Sans"/>
          <w:sz w:val="20"/>
          <w:szCs w:val="20"/>
          <w:lang w:val="es-ES"/>
        </w:rPr>
        <w:t>, la mayor parte de bienes en los capítulos 73, 74 y 76 que se indican en el Anexo 1 de la proclamación.</w:t>
      </w:r>
    </w:p>
    <w:p w14:paraId="66EB46BC" w14:textId="67ADAF6B" w:rsidR="00D1150E" w:rsidRDefault="00D1150E" w:rsidP="00D1150E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25%:</w:t>
      </w:r>
      <w:r w:rsidRPr="00D1150E">
        <w:rPr>
          <w:rFonts w:ascii="Noto Sans" w:hAnsi="Noto Sans" w:cs="Noto Sans"/>
          <w:sz w:val="20"/>
          <w:szCs w:val="20"/>
          <w:lang w:val="es-ES"/>
        </w:rPr>
        <w:t xml:space="preserve"> </w:t>
      </w:r>
      <w:r>
        <w:rPr>
          <w:rFonts w:ascii="Noto Sans" w:hAnsi="Noto Sans" w:cs="Noto Sans"/>
          <w:sz w:val="20"/>
          <w:szCs w:val="20"/>
          <w:lang w:val="es-ES"/>
        </w:rPr>
        <w:t>a</w:t>
      </w:r>
      <w:r w:rsidRPr="00B64262">
        <w:rPr>
          <w:rFonts w:ascii="Noto Sans" w:hAnsi="Noto Sans" w:cs="Noto Sans"/>
          <w:sz w:val="20"/>
          <w:szCs w:val="20"/>
          <w:lang w:val="es-ES"/>
        </w:rPr>
        <w:t xml:space="preserve">rtículos derivados </w:t>
      </w:r>
      <w:r>
        <w:rPr>
          <w:rFonts w:ascii="Noto Sans" w:hAnsi="Noto Sans" w:cs="Noto Sans"/>
          <w:sz w:val="20"/>
          <w:szCs w:val="20"/>
          <w:lang w:val="es-ES"/>
        </w:rPr>
        <w:t xml:space="preserve">con </w:t>
      </w: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contenido de </w:t>
      </w:r>
      <w:r w:rsidRPr="00D1150E">
        <w:rPr>
          <w:rFonts w:ascii="Noto Sans" w:hAnsi="Noto Sans" w:cs="Noto Sans"/>
          <w:b/>
          <w:bCs/>
          <w:sz w:val="20"/>
          <w:szCs w:val="20"/>
          <w:lang w:val="es-ES"/>
        </w:rPr>
        <w:t>más de 15%</w:t>
      </w:r>
      <w:r w:rsidRPr="00477DB6">
        <w:rPr>
          <w:rFonts w:ascii="Noto Sans" w:hAnsi="Noto Sans" w:cs="Noto Sans"/>
          <w:sz w:val="20"/>
          <w:szCs w:val="20"/>
          <w:lang w:val="es-ES"/>
        </w:rPr>
        <w:t xml:space="preserve"> de acero, aluminio o cobre</w:t>
      </w:r>
      <w:r w:rsidRPr="00D1150E">
        <w:rPr>
          <w:rFonts w:ascii="Noto Sans" w:hAnsi="Noto Sans" w:cs="Noto Sans"/>
          <w:sz w:val="20"/>
          <w:szCs w:val="20"/>
          <w:lang w:val="es-ES"/>
        </w:rPr>
        <w:t>.</w:t>
      </w:r>
    </w:p>
    <w:p w14:paraId="792234F1" w14:textId="6312D81A" w:rsidR="007A14DB" w:rsidRPr="00477DB6" w:rsidRDefault="007A14DB" w:rsidP="00D1150E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b/>
          <w:bCs/>
          <w:sz w:val="20"/>
          <w:szCs w:val="20"/>
          <w:lang w:val="es-ES"/>
        </w:rPr>
        <w:t xml:space="preserve">15%: </w:t>
      </w:r>
      <w:r w:rsidRPr="007A14DB">
        <w:rPr>
          <w:rFonts w:ascii="Noto Sans" w:hAnsi="Noto Sans" w:cs="Noto Sans"/>
          <w:sz w:val="20"/>
          <w:szCs w:val="20"/>
          <w:lang w:val="es-ES"/>
        </w:rPr>
        <w:t>Ciertos equipos industriales y de infraestructura de red eléctrica con uso intensivo de metales</w:t>
      </w:r>
      <w:r>
        <w:rPr>
          <w:rFonts w:ascii="Noto Sans" w:hAnsi="Noto Sans" w:cs="Noto Sans"/>
          <w:sz w:val="20"/>
          <w:szCs w:val="20"/>
          <w:lang w:val="es-ES"/>
        </w:rPr>
        <w:t>. Este arancel se aplicará hasta el 2027 (productos indicados en Anexo III de la proclamación)</w:t>
      </w:r>
      <w:r w:rsidR="007562FC">
        <w:rPr>
          <w:rFonts w:ascii="Noto Sans" w:hAnsi="Noto Sans" w:cs="Noto Sans"/>
          <w:sz w:val="20"/>
          <w:szCs w:val="20"/>
          <w:lang w:val="es-ES"/>
        </w:rPr>
        <w:t xml:space="preserve"> y posteriormente, será de </w:t>
      </w:r>
      <w:r w:rsidR="007562FC" w:rsidRPr="00602898">
        <w:rPr>
          <w:rFonts w:ascii="Noto Sans" w:hAnsi="Noto Sans" w:cs="Noto Sans"/>
          <w:b/>
          <w:bCs/>
          <w:sz w:val="20"/>
          <w:szCs w:val="20"/>
          <w:lang w:val="es-ES"/>
        </w:rPr>
        <w:t>25%</w:t>
      </w:r>
      <w:r>
        <w:rPr>
          <w:rFonts w:ascii="Noto Sans" w:hAnsi="Noto Sans" w:cs="Noto Sans"/>
          <w:sz w:val="20"/>
          <w:szCs w:val="20"/>
          <w:lang w:val="es-ES"/>
        </w:rPr>
        <w:t>.</w:t>
      </w:r>
    </w:p>
    <w:p w14:paraId="7318B3A9" w14:textId="136278D6" w:rsidR="0020707B" w:rsidRDefault="00D1150E" w:rsidP="00D1150E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>10%:</w:t>
      </w:r>
      <w:r w:rsidRPr="00D1150E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</w:t>
      </w:r>
      <w:r w:rsidR="0020707B" w:rsidRPr="00477DB6">
        <w:rPr>
          <w:rFonts w:ascii="Noto Sans" w:hAnsi="Noto Sans" w:cs="Noto Sans"/>
          <w:sz w:val="20"/>
          <w:szCs w:val="20"/>
          <w:lang w:val="es-ES"/>
        </w:rPr>
        <w:t xml:space="preserve">Productos elaborados en el </w:t>
      </w:r>
      <w:r w:rsidRPr="00D1150E">
        <w:rPr>
          <w:rFonts w:ascii="Noto Sans" w:hAnsi="Noto Sans" w:cs="Noto Sans"/>
          <w:sz w:val="20"/>
          <w:szCs w:val="20"/>
          <w:lang w:val="es-ES"/>
        </w:rPr>
        <w:t>exterior,</w:t>
      </w:r>
      <w:r w:rsidR="0020707B" w:rsidRPr="00477DB6">
        <w:rPr>
          <w:rFonts w:ascii="Noto Sans" w:hAnsi="Noto Sans" w:cs="Noto Sans"/>
          <w:sz w:val="20"/>
          <w:szCs w:val="20"/>
          <w:lang w:val="es-ES"/>
        </w:rPr>
        <w:t xml:space="preserve"> pero </w:t>
      </w:r>
      <w:r w:rsidR="0020707B" w:rsidRPr="00D1150E">
        <w:rPr>
          <w:rFonts w:ascii="Noto Sans" w:hAnsi="Noto Sans" w:cs="Noto Sans"/>
          <w:sz w:val="20"/>
          <w:szCs w:val="20"/>
          <w:lang w:val="es-ES"/>
        </w:rPr>
        <w:t>con</w:t>
      </w:r>
      <w:r w:rsidR="0020707B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contenido de acero, aluminio y cobre </w:t>
      </w:r>
      <w:r>
        <w:rPr>
          <w:rFonts w:ascii="Noto Sans" w:hAnsi="Noto Sans" w:cs="Noto Sans"/>
          <w:b/>
          <w:bCs/>
          <w:sz w:val="20"/>
          <w:szCs w:val="20"/>
          <w:lang w:val="es-ES"/>
        </w:rPr>
        <w:t>proveniente</w:t>
      </w:r>
      <w:r w:rsidR="0020707B"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Estados Unidos</w:t>
      </w:r>
      <w:r>
        <w:rPr>
          <w:rFonts w:ascii="Noto Sans" w:hAnsi="Noto Sans" w:cs="Noto Sans"/>
          <w:sz w:val="20"/>
          <w:szCs w:val="20"/>
          <w:lang w:val="es-ES"/>
        </w:rPr>
        <w:t>.</w:t>
      </w:r>
    </w:p>
    <w:p w14:paraId="181EDAA5" w14:textId="77777777" w:rsidR="002614DE" w:rsidRDefault="00D1150E" w:rsidP="002614DE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sz w:val="20"/>
          <w:szCs w:val="20"/>
          <w:lang w:val="es-ES"/>
        </w:rPr>
        <w:t xml:space="preserve">0% (exentos): con </w:t>
      </w:r>
      <w:r w:rsidRPr="00477DB6">
        <w:rPr>
          <w:rFonts w:ascii="Noto Sans" w:hAnsi="Noto Sans" w:cs="Noto Sans"/>
          <w:b/>
          <w:bCs/>
          <w:sz w:val="20"/>
          <w:szCs w:val="20"/>
          <w:lang w:val="es-ES"/>
        </w:rPr>
        <w:t xml:space="preserve">contenido de </w:t>
      </w:r>
      <w:r w:rsidRPr="00D1150E">
        <w:rPr>
          <w:rFonts w:ascii="Noto Sans" w:hAnsi="Noto Sans" w:cs="Noto Sans"/>
          <w:b/>
          <w:bCs/>
          <w:sz w:val="20"/>
          <w:szCs w:val="20"/>
          <w:lang w:val="es-ES"/>
        </w:rPr>
        <w:t>menos de 15%</w:t>
      </w:r>
      <w:r w:rsidRPr="00B64262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</w:t>
      </w:r>
      <w:r w:rsidRPr="00477DB6">
        <w:rPr>
          <w:rFonts w:ascii="Noto Sans" w:hAnsi="Noto Sans" w:cs="Noto Sans"/>
          <w:sz w:val="20"/>
          <w:szCs w:val="20"/>
          <w:lang w:val="es-ES"/>
        </w:rPr>
        <w:t>de acero, aluminio o cobre.</w:t>
      </w:r>
    </w:p>
    <w:p w14:paraId="559F8BB1" w14:textId="77777777" w:rsidR="002614DE" w:rsidRPr="002614DE" w:rsidRDefault="002614DE" w:rsidP="00B64B74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2614DE">
        <w:rPr>
          <w:rFonts w:ascii="Noto Sans" w:hAnsi="Noto Sans" w:cs="Noto Sans"/>
          <w:b/>
          <w:bCs/>
          <w:sz w:val="20"/>
          <w:szCs w:val="20"/>
          <w:lang w:val="es-ES"/>
        </w:rPr>
        <w:t>Productos considerados</w:t>
      </w:r>
      <w:r>
        <w:rPr>
          <w:rFonts w:ascii="Noto Sans" w:hAnsi="Noto Sans" w:cs="Noto Sans"/>
          <w:b/>
          <w:bCs/>
          <w:sz w:val="20"/>
          <w:szCs w:val="20"/>
          <w:lang w:val="es-ES"/>
        </w:rPr>
        <w:t xml:space="preserve">: </w:t>
      </w:r>
    </w:p>
    <w:p w14:paraId="51C772A7" w14:textId="1418FB69" w:rsidR="002614DE" w:rsidRDefault="0086758F" w:rsidP="00B64B74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86758F">
        <w:rPr>
          <w:rFonts w:ascii="Noto Sans" w:hAnsi="Noto Sans" w:cs="Noto Sans"/>
          <w:sz w:val="20"/>
          <w:szCs w:val="20"/>
          <w:lang w:val="es-ES"/>
        </w:rPr>
        <w:t xml:space="preserve">En términos de cobertura arancelaria, el número de fracciones a </w:t>
      </w:r>
      <w:r w:rsidRPr="0086758F">
        <w:rPr>
          <w:rFonts w:ascii="Noto Sans" w:hAnsi="Noto Sans" w:cs="Noto Sans"/>
          <w:b/>
          <w:bCs/>
          <w:sz w:val="20"/>
          <w:szCs w:val="20"/>
          <w:lang w:val="es-ES"/>
        </w:rPr>
        <w:t>10 dígitos</w:t>
      </w:r>
      <w:r w:rsidRPr="0086758F">
        <w:rPr>
          <w:rFonts w:ascii="Noto Sans" w:hAnsi="Noto Sans" w:cs="Noto Sans"/>
          <w:sz w:val="20"/>
          <w:szCs w:val="20"/>
          <w:lang w:val="es-ES"/>
        </w:rPr>
        <w:t xml:space="preserve"> se incrementó de </w:t>
      </w:r>
      <w:r w:rsidRPr="0086758F">
        <w:rPr>
          <w:rFonts w:ascii="Noto Sans" w:hAnsi="Noto Sans" w:cs="Noto Sans"/>
          <w:b/>
          <w:bCs/>
          <w:sz w:val="20"/>
          <w:szCs w:val="20"/>
          <w:lang w:val="es-ES"/>
        </w:rPr>
        <w:t>1,531</w:t>
      </w:r>
      <w:r w:rsidRPr="0086758F">
        <w:rPr>
          <w:rFonts w:ascii="Noto Sans" w:hAnsi="Noto Sans" w:cs="Noto Sans"/>
          <w:sz w:val="20"/>
          <w:szCs w:val="20"/>
          <w:lang w:val="es-ES"/>
        </w:rPr>
        <w:t xml:space="preserve"> en los listados previos a </w:t>
      </w:r>
      <w:r w:rsidRPr="0086758F">
        <w:rPr>
          <w:rFonts w:ascii="Noto Sans" w:hAnsi="Noto Sans" w:cs="Noto Sans"/>
          <w:b/>
          <w:bCs/>
          <w:sz w:val="20"/>
          <w:szCs w:val="20"/>
          <w:lang w:val="es-ES"/>
        </w:rPr>
        <w:t>1,969</w:t>
      </w:r>
      <w:r w:rsidRPr="0086758F">
        <w:rPr>
          <w:rFonts w:ascii="Noto Sans" w:hAnsi="Noto Sans" w:cs="Noto Sans"/>
          <w:sz w:val="20"/>
          <w:szCs w:val="20"/>
          <w:lang w:val="es-ES"/>
        </w:rPr>
        <w:t xml:space="preserve"> en la nueva disposición</w:t>
      </w:r>
      <w:r w:rsidR="00C30DFD" w:rsidRPr="002614DE">
        <w:rPr>
          <w:rFonts w:ascii="Noto Sans" w:hAnsi="Noto Sans" w:cs="Noto Sans"/>
          <w:b/>
          <w:bCs/>
          <w:sz w:val="20"/>
          <w:szCs w:val="20"/>
          <w:lang w:val="es-ES"/>
        </w:rPr>
        <w:t>.</w:t>
      </w:r>
    </w:p>
    <w:p w14:paraId="15AAC525" w14:textId="51C77777" w:rsidR="002614DE" w:rsidRDefault="00C35191" w:rsidP="00B64B74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2614DE">
        <w:rPr>
          <w:rFonts w:ascii="Noto Sans" w:hAnsi="Noto Sans" w:cs="Noto Sans"/>
          <w:sz w:val="20"/>
          <w:szCs w:val="20"/>
          <w:lang w:val="es-ES"/>
        </w:rPr>
        <w:t xml:space="preserve">Por su parte, </w:t>
      </w:r>
      <w:r w:rsidRPr="002614DE">
        <w:rPr>
          <w:rFonts w:ascii="Noto Sans" w:hAnsi="Noto Sans" w:cs="Noto Sans"/>
          <w:sz w:val="20"/>
          <w:szCs w:val="20"/>
          <w:lang w:val="es-ES"/>
        </w:rPr>
        <w:t>con datos de 2025,</w:t>
      </w:r>
      <w:r w:rsidRPr="002614DE"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Pr="002614DE">
        <w:rPr>
          <w:rFonts w:ascii="Noto Sans" w:hAnsi="Noto Sans" w:cs="Noto Sans"/>
          <w:b/>
          <w:bCs/>
          <w:sz w:val="20"/>
          <w:szCs w:val="20"/>
          <w:lang w:val="es-ES"/>
        </w:rPr>
        <w:t>e</w:t>
      </w:r>
      <w:r w:rsidR="00C30DFD" w:rsidRPr="002614DE">
        <w:rPr>
          <w:rFonts w:ascii="Noto Sans" w:hAnsi="Noto Sans" w:cs="Noto Sans"/>
          <w:b/>
          <w:bCs/>
          <w:sz w:val="20"/>
          <w:szCs w:val="20"/>
          <w:lang w:val="es-ES"/>
        </w:rPr>
        <w:t xml:space="preserve">l </w:t>
      </w:r>
      <w:r w:rsidR="00B64B74" w:rsidRPr="002614DE">
        <w:rPr>
          <w:rFonts w:ascii="Noto Sans" w:hAnsi="Noto Sans" w:cs="Noto Sans"/>
          <w:b/>
          <w:bCs/>
          <w:sz w:val="20"/>
          <w:szCs w:val="20"/>
          <w:lang w:val="es-ES"/>
        </w:rPr>
        <w:t xml:space="preserve">valor </w:t>
      </w:r>
      <w:r w:rsidR="00C30DFD" w:rsidRPr="002614DE">
        <w:rPr>
          <w:rFonts w:ascii="Noto Sans" w:hAnsi="Noto Sans" w:cs="Noto Sans"/>
          <w:b/>
          <w:bCs/>
          <w:sz w:val="20"/>
          <w:szCs w:val="20"/>
          <w:lang w:val="es-ES"/>
        </w:rPr>
        <w:t>total de las importaciones de Estados Unidos</w:t>
      </w:r>
      <w:r w:rsidR="00C30DFD" w:rsidRPr="002614DE">
        <w:rPr>
          <w:rFonts w:ascii="Noto Sans" w:hAnsi="Noto Sans" w:cs="Noto Sans"/>
          <w:sz w:val="20"/>
          <w:szCs w:val="20"/>
          <w:lang w:val="es-ES"/>
        </w:rPr>
        <w:t xml:space="preserve"> contemplado en la nueva </w:t>
      </w:r>
      <w:r w:rsidRPr="002614DE">
        <w:rPr>
          <w:rFonts w:ascii="Noto Sans" w:hAnsi="Noto Sans" w:cs="Noto Sans"/>
          <w:sz w:val="20"/>
          <w:szCs w:val="20"/>
          <w:lang w:val="es-ES"/>
        </w:rPr>
        <w:t>Proclamación</w:t>
      </w:r>
      <w:r w:rsidR="00C30DFD" w:rsidRPr="002614DE">
        <w:rPr>
          <w:rFonts w:ascii="Noto Sans" w:hAnsi="Noto Sans" w:cs="Noto Sans"/>
          <w:sz w:val="20"/>
          <w:szCs w:val="20"/>
          <w:lang w:val="es-ES"/>
        </w:rPr>
        <w:t xml:space="preserve"> es</w:t>
      </w:r>
      <w:r w:rsidR="00B64B74" w:rsidRPr="002614DE">
        <w:rPr>
          <w:rFonts w:ascii="Noto Sans" w:hAnsi="Noto Sans" w:cs="Noto Sans"/>
          <w:sz w:val="20"/>
          <w:szCs w:val="20"/>
          <w:lang w:val="es-ES"/>
        </w:rPr>
        <w:t xml:space="preserve"> de </w:t>
      </w:r>
      <w:r w:rsidR="00C30DFD" w:rsidRPr="002614DE">
        <w:rPr>
          <w:rFonts w:ascii="Noto Sans" w:hAnsi="Noto Sans" w:cs="Noto Sans"/>
          <w:sz w:val="20"/>
          <w:szCs w:val="20"/>
          <w:lang w:val="es-ES"/>
        </w:rPr>
        <w:t>311,416 millones de dólares (MDD</w:t>
      </w:r>
      <w:r w:rsidRPr="002614DE">
        <w:rPr>
          <w:rFonts w:ascii="Noto Sans" w:hAnsi="Noto Sans" w:cs="Noto Sans"/>
          <w:sz w:val="20"/>
          <w:szCs w:val="20"/>
          <w:lang w:val="es-ES"/>
        </w:rPr>
        <w:t>, representa el 9.2% del total de las importaciones de Estados Unidos</w:t>
      </w:r>
      <w:r w:rsidR="00C30DFD" w:rsidRPr="002614DE">
        <w:rPr>
          <w:rFonts w:ascii="Noto Sans" w:hAnsi="Noto Sans" w:cs="Noto Sans"/>
          <w:sz w:val="20"/>
          <w:szCs w:val="20"/>
          <w:lang w:val="es-ES"/>
        </w:rPr>
        <w:t>)</w:t>
      </w:r>
      <w:r w:rsidR="00B64B74" w:rsidRPr="002614DE"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="0086758F">
        <w:rPr>
          <w:rFonts w:ascii="Noto Sans" w:hAnsi="Noto Sans" w:cs="Noto Sans"/>
          <w:sz w:val="20"/>
          <w:szCs w:val="20"/>
          <w:lang w:val="es-ES"/>
        </w:rPr>
        <w:t>superior</w:t>
      </w:r>
      <w:r w:rsidR="00B64B74" w:rsidRPr="002614DE"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="0086758F">
        <w:rPr>
          <w:rFonts w:ascii="Noto Sans" w:hAnsi="Noto Sans" w:cs="Noto Sans"/>
          <w:sz w:val="20"/>
          <w:szCs w:val="20"/>
          <w:lang w:val="es-ES"/>
        </w:rPr>
        <w:t>al de los listados anteriores</w:t>
      </w:r>
      <w:r w:rsidR="00C30DFD" w:rsidRPr="002614DE">
        <w:rPr>
          <w:rFonts w:ascii="Noto Sans" w:hAnsi="Noto Sans" w:cs="Noto Sans"/>
          <w:sz w:val="20"/>
          <w:szCs w:val="20"/>
          <w:lang w:val="es-ES"/>
        </w:rPr>
        <w:t xml:space="preserve"> (cuyo valor era de 257, 480 MDD</w:t>
      </w:r>
      <w:r w:rsidRPr="002614DE">
        <w:rPr>
          <w:rFonts w:ascii="Noto Sans" w:hAnsi="Noto Sans" w:cs="Noto Sans"/>
          <w:sz w:val="20"/>
          <w:szCs w:val="20"/>
          <w:lang w:val="es-ES"/>
        </w:rPr>
        <w:t>)</w:t>
      </w:r>
      <w:r w:rsidR="00B64B74" w:rsidRPr="002614DE">
        <w:rPr>
          <w:rFonts w:ascii="Noto Sans" w:hAnsi="Noto Sans" w:cs="Noto Sans"/>
          <w:sz w:val="20"/>
          <w:szCs w:val="20"/>
          <w:lang w:val="es-ES"/>
        </w:rPr>
        <w:t xml:space="preserve">. </w:t>
      </w:r>
    </w:p>
    <w:p w14:paraId="73B277EF" w14:textId="63E15D1F" w:rsidR="00B64B74" w:rsidRPr="002614DE" w:rsidRDefault="002A03AF" w:rsidP="00B64B74">
      <w:pPr>
        <w:pStyle w:val="Prrafodelista"/>
        <w:numPr>
          <w:ilvl w:val="1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2A03AF">
        <w:rPr>
          <w:rFonts w:ascii="Noto Sans" w:hAnsi="Noto Sans" w:cs="Noto Sans"/>
          <w:sz w:val="20"/>
          <w:szCs w:val="20"/>
          <w:lang w:val="es-ES"/>
        </w:rPr>
        <w:t xml:space="preserve">Con base en las cifras de 2025, el valor de las importaciones estadounidenses originarias de México sujetas a la nueva Proclamación asciende a </w:t>
      </w:r>
      <w:r w:rsidRPr="002A03AF">
        <w:rPr>
          <w:rFonts w:ascii="Noto Sans" w:hAnsi="Noto Sans" w:cs="Noto Sans"/>
          <w:b/>
          <w:bCs/>
          <w:sz w:val="20"/>
          <w:szCs w:val="20"/>
          <w:lang w:val="es-ES"/>
        </w:rPr>
        <w:t>67,511 MDD</w:t>
      </w:r>
      <w:r w:rsidRPr="002A03AF">
        <w:rPr>
          <w:rFonts w:ascii="Noto Sans" w:hAnsi="Noto Sans" w:cs="Noto Sans"/>
          <w:sz w:val="20"/>
          <w:szCs w:val="20"/>
          <w:lang w:val="es-ES"/>
        </w:rPr>
        <w:t xml:space="preserve">. Este monto representa el 12.6% del total de las importaciones de EE. UU. provenientes de México en dicho ejercicio y refleja un incremento respecto a los </w:t>
      </w:r>
      <w:r w:rsidRPr="002A03AF">
        <w:rPr>
          <w:rFonts w:ascii="Noto Sans" w:hAnsi="Noto Sans" w:cs="Noto Sans"/>
          <w:b/>
          <w:bCs/>
          <w:sz w:val="20"/>
          <w:szCs w:val="20"/>
          <w:lang w:val="es-ES"/>
        </w:rPr>
        <w:t>41,178 MDD</w:t>
      </w:r>
      <w:r w:rsidRPr="002A03AF">
        <w:rPr>
          <w:rFonts w:ascii="Noto Sans" w:hAnsi="Noto Sans" w:cs="Noto Sans"/>
          <w:sz w:val="20"/>
          <w:szCs w:val="20"/>
          <w:lang w:val="es-ES"/>
        </w:rPr>
        <w:t xml:space="preserve"> contemplados en los listados previos</w:t>
      </w:r>
      <w:r w:rsidR="00C30DFD" w:rsidRPr="002614DE">
        <w:rPr>
          <w:rFonts w:ascii="Noto Sans" w:hAnsi="Noto Sans" w:cs="Noto Sans"/>
          <w:sz w:val="20"/>
          <w:szCs w:val="20"/>
          <w:lang w:val="es-ES"/>
        </w:rPr>
        <w:t xml:space="preserve">. </w:t>
      </w:r>
    </w:p>
    <w:p w14:paraId="6F748FC5" w14:textId="77777777" w:rsidR="002614DE" w:rsidRPr="002614DE" w:rsidRDefault="002614DE" w:rsidP="002614DE">
      <w:pPr>
        <w:pStyle w:val="Prrafodelista"/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</w:p>
    <w:p w14:paraId="1DEC8D28" w14:textId="67422439" w:rsidR="00B64B74" w:rsidRPr="002614DE" w:rsidRDefault="002614DE" w:rsidP="002614DE">
      <w:pPr>
        <w:pStyle w:val="Prrafodelista"/>
        <w:numPr>
          <w:ilvl w:val="0"/>
          <w:numId w:val="5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b/>
          <w:bCs/>
          <w:sz w:val="20"/>
          <w:szCs w:val="20"/>
          <w:lang w:val="es-ES"/>
        </w:rPr>
        <w:t>Consideraciones finales</w:t>
      </w:r>
    </w:p>
    <w:p w14:paraId="072C8FD9" w14:textId="77777777" w:rsidR="002614DE" w:rsidRPr="002614DE" w:rsidRDefault="002614DE" w:rsidP="002614DE">
      <w:pPr>
        <w:pStyle w:val="Prrafodelista"/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</w:p>
    <w:p w14:paraId="2731EA33" w14:textId="179D6FD7" w:rsidR="002614DE" w:rsidRDefault="00DD4B80" w:rsidP="002614DE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DD4B80">
        <w:rPr>
          <w:rFonts w:ascii="Noto Sans" w:hAnsi="Noto Sans" w:cs="Noto Sans"/>
          <w:sz w:val="20"/>
          <w:szCs w:val="20"/>
          <w:lang w:val="es-ES"/>
        </w:rPr>
        <w:t xml:space="preserve">Derivado del análisis realizado, </w:t>
      </w:r>
      <w:r w:rsidRPr="00DD4B80">
        <w:rPr>
          <w:rFonts w:ascii="Noto Sans" w:hAnsi="Noto Sans" w:cs="Noto Sans"/>
          <w:b/>
          <w:bCs/>
          <w:sz w:val="20"/>
          <w:szCs w:val="20"/>
          <w:lang w:val="es-ES"/>
        </w:rPr>
        <w:t>el valor de las mercancías sujetas a la nueva Proclamación supera significativamente al de las listas anteriores</w:t>
      </w:r>
      <w:r w:rsidRPr="00DD4B80">
        <w:rPr>
          <w:rFonts w:ascii="Noto Sans" w:hAnsi="Noto Sans" w:cs="Noto Sans"/>
          <w:sz w:val="20"/>
          <w:szCs w:val="20"/>
          <w:lang w:val="es-ES"/>
        </w:rPr>
        <w:t xml:space="preserve">. En este contexto, para que dichas disposiciones beneficien al comercio bilateral, </w:t>
      </w:r>
      <w:r>
        <w:rPr>
          <w:rFonts w:ascii="Noto Sans" w:hAnsi="Noto Sans" w:cs="Noto Sans"/>
          <w:sz w:val="20"/>
          <w:szCs w:val="20"/>
          <w:lang w:val="es-ES"/>
        </w:rPr>
        <w:t>requeriría</w:t>
      </w:r>
      <w:r w:rsidRPr="00DD4B80">
        <w:rPr>
          <w:rFonts w:ascii="Noto Sans" w:hAnsi="Noto Sans" w:cs="Noto Sans"/>
          <w:sz w:val="20"/>
          <w:szCs w:val="20"/>
          <w:lang w:val="es-ES"/>
        </w:rPr>
        <w:t xml:space="preserve"> que una proporción sustancial de las importaciones estadounidenses de</w:t>
      </w:r>
      <w:r>
        <w:rPr>
          <w:rFonts w:ascii="Noto Sans" w:hAnsi="Noto Sans" w:cs="Noto Sans"/>
          <w:sz w:val="20"/>
          <w:szCs w:val="20"/>
          <w:lang w:val="es-ES"/>
        </w:rPr>
        <w:t xml:space="preserve"> México para</w:t>
      </w:r>
      <w:r w:rsidRPr="00DD4B80">
        <w:rPr>
          <w:rFonts w:ascii="Noto Sans" w:hAnsi="Noto Sans" w:cs="Noto Sans"/>
          <w:sz w:val="20"/>
          <w:szCs w:val="20"/>
          <w:lang w:val="es-ES"/>
        </w:rPr>
        <w:t xml:space="preserve"> estos productos </w:t>
      </w:r>
      <w:r w:rsidRPr="00DD4B80">
        <w:rPr>
          <w:rFonts w:ascii="Noto Sans" w:hAnsi="Noto Sans" w:cs="Noto Sans"/>
          <w:b/>
          <w:bCs/>
          <w:sz w:val="20"/>
          <w:szCs w:val="20"/>
          <w:lang w:val="es-ES"/>
        </w:rPr>
        <w:t>califique para el arancel del 10% o la exención total</w:t>
      </w:r>
      <w:r w:rsidRPr="00DD4B80">
        <w:rPr>
          <w:rFonts w:ascii="Noto Sans" w:hAnsi="Noto Sans" w:cs="Noto Sans"/>
          <w:sz w:val="20"/>
          <w:szCs w:val="20"/>
          <w:lang w:val="es-ES"/>
        </w:rPr>
        <w:t xml:space="preserve">. Esto requeriría garantizar que los insumos de cobre, aluminio o acero integrados en la producción </w:t>
      </w:r>
      <w:r>
        <w:rPr>
          <w:rFonts w:ascii="Noto Sans" w:hAnsi="Noto Sans" w:cs="Noto Sans"/>
          <w:sz w:val="20"/>
          <w:szCs w:val="20"/>
          <w:lang w:val="es-ES"/>
        </w:rPr>
        <w:t xml:space="preserve">de </w:t>
      </w:r>
      <w:r w:rsidR="00AB275E">
        <w:rPr>
          <w:rFonts w:ascii="Noto Sans" w:hAnsi="Noto Sans" w:cs="Noto Sans"/>
          <w:sz w:val="20"/>
          <w:szCs w:val="20"/>
          <w:lang w:val="es-ES"/>
        </w:rPr>
        <w:t>estos</w:t>
      </w:r>
      <w:r>
        <w:rPr>
          <w:rFonts w:ascii="Noto Sans" w:hAnsi="Noto Sans" w:cs="Noto Sans"/>
          <w:sz w:val="20"/>
          <w:szCs w:val="20"/>
          <w:lang w:val="es-ES"/>
        </w:rPr>
        <w:t xml:space="preserve"> </w:t>
      </w:r>
      <w:r w:rsidRPr="00DD4B80">
        <w:rPr>
          <w:rFonts w:ascii="Noto Sans" w:hAnsi="Noto Sans" w:cs="Noto Sans"/>
          <w:sz w:val="20"/>
          <w:szCs w:val="20"/>
          <w:lang w:val="es-ES"/>
        </w:rPr>
        <w:t xml:space="preserve">sean originarios de la región de </w:t>
      </w:r>
      <w:r>
        <w:rPr>
          <w:rFonts w:ascii="Noto Sans" w:hAnsi="Noto Sans" w:cs="Noto Sans"/>
          <w:sz w:val="20"/>
          <w:szCs w:val="20"/>
          <w:lang w:val="es-ES"/>
        </w:rPr>
        <w:t>Estados Unidos o tengan una proporción de dichos insumos menor al 15%.</w:t>
      </w:r>
    </w:p>
    <w:p w14:paraId="55C2B23B" w14:textId="1DA567C1" w:rsidR="009E1874" w:rsidRDefault="00AB275E" w:rsidP="002614DE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>
        <w:rPr>
          <w:rFonts w:ascii="Noto Sans" w:hAnsi="Noto Sans" w:cs="Noto Sans"/>
          <w:sz w:val="20"/>
          <w:szCs w:val="20"/>
          <w:lang w:val="es-ES"/>
        </w:rPr>
        <w:t xml:space="preserve">En este sentido, en lo </w:t>
      </w:r>
      <w:r w:rsidR="002A03AF">
        <w:rPr>
          <w:rFonts w:ascii="Noto Sans" w:hAnsi="Noto Sans" w:cs="Noto Sans"/>
          <w:sz w:val="20"/>
          <w:szCs w:val="20"/>
          <w:lang w:val="es-ES"/>
        </w:rPr>
        <w:t xml:space="preserve">general </w:t>
      </w:r>
      <w:r>
        <w:rPr>
          <w:rFonts w:ascii="Noto Sans" w:hAnsi="Noto Sans" w:cs="Noto Sans"/>
          <w:sz w:val="20"/>
          <w:szCs w:val="20"/>
          <w:lang w:val="es-ES"/>
        </w:rPr>
        <w:t xml:space="preserve">México se situará </w:t>
      </w:r>
      <w:r w:rsidRPr="00AB275E">
        <w:rPr>
          <w:rFonts w:ascii="Noto Sans" w:hAnsi="Noto Sans" w:cs="Noto Sans"/>
          <w:b/>
          <w:bCs/>
          <w:sz w:val="20"/>
          <w:szCs w:val="20"/>
          <w:lang w:val="es-ES"/>
        </w:rPr>
        <w:t>en una posición relativamente menos favorable</w:t>
      </w:r>
      <w:r w:rsidR="009E1874">
        <w:rPr>
          <w:rFonts w:ascii="Noto Sans" w:hAnsi="Noto Sans" w:cs="Noto Sans"/>
          <w:b/>
          <w:bCs/>
          <w:sz w:val="20"/>
          <w:szCs w:val="20"/>
          <w:lang w:val="es-ES"/>
        </w:rPr>
        <w:t xml:space="preserve"> con respecto a la situación previa a la Proclamación</w:t>
      </w:r>
      <w:r>
        <w:rPr>
          <w:rFonts w:ascii="Noto Sans" w:hAnsi="Noto Sans" w:cs="Noto Sans"/>
          <w:sz w:val="20"/>
          <w:szCs w:val="20"/>
          <w:lang w:val="es-ES"/>
        </w:rPr>
        <w:t xml:space="preserve">. </w:t>
      </w:r>
    </w:p>
    <w:p w14:paraId="4EBDD872" w14:textId="694EC885" w:rsidR="00AB275E" w:rsidRPr="002614DE" w:rsidRDefault="002A03AF" w:rsidP="002614DE">
      <w:pPr>
        <w:pStyle w:val="Prrafodelista"/>
        <w:numPr>
          <w:ilvl w:val="0"/>
          <w:numId w:val="6"/>
        </w:numPr>
        <w:spacing w:after="120"/>
        <w:jc w:val="both"/>
        <w:rPr>
          <w:rFonts w:ascii="Noto Sans" w:hAnsi="Noto Sans" w:cs="Noto Sans"/>
          <w:sz w:val="20"/>
          <w:szCs w:val="20"/>
          <w:lang w:val="es-ES"/>
        </w:rPr>
      </w:pPr>
      <w:r w:rsidRPr="002A03AF">
        <w:rPr>
          <w:rFonts w:ascii="Noto Sans" w:hAnsi="Noto Sans" w:cs="Noto Sans"/>
          <w:sz w:val="20"/>
          <w:szCs w:val="20"/>
          <w:lang w:val="es-ES"/>
        </w:rPr>
        <w:t>No obstante, el impacto podría ser favorable para ciertos exportadores y sectores específicos. Destacan aquellos exportadores que utilicen insumos de procedencia estadounidense o cuyos bienes presenten un valor de contenido de metales (cobre, aluminio o acero) menor al 15%. Asimismo, se verán favorecidas las exportaciones exentas de estas disposiciones, tales como productos alimenticios enlatados o envases de aerosol</w:t>
      </w:r>
      <w:bookmarkEnd w:id="0"/>
    </w:p>
    <w:sectPr w:rsidR="00AB275E" w:rsidRPr="002614DE" w:rsidSect="005B6555">
      <w:type w:val="continuous"/>
      <w:pgSz w:w="12240" w:h="15840"/>
      <w:pgMar w:top="1843" w:right="1021" w:bottom="1701" w:left="1021" w:header="709" w:footer="232" w:gutter="0"/>
      <w:cols w:num="2" w:space="51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75601" w14:textId="77777777" w:rsidR="006426B5" w:rsidRDefault="006426B5" w:rsidP="00025DA4">
      <w:r>
        <w:separator/>
      </w:r>
    </w:p>
  </w:endnote>
  <w:endnote w:type="continuationSeparator" w:id="0">
    <w:p w14:paraId="7CCDBAFC" w14:textId="77777777" w:rsidR="006426B5" w:rsidRDefault="006426B5" w:rsidP="00025DA4">
      <w:r>
        <w:continuationSeparator/>
      </w:r>
    </w:p>
  </w:endnote>
  <w:endnote w:type="continuationNotice" w:id="1">
    <w:p w14:paraId="2C11F0BD" w14:textId="77777777" w:rsidR="006426B5" w:rsidRDefault="006426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5871363"/>
      <w:docPartObj>
        <w:docPartGallery w:val="Page Numbers (Bottom of Page)"/>
        <w:docPartUnique/>
      </w:docPartObj>
    </w:sdtPr>
    <w:sdtEndPr>
      <w:rPr>
        <w:rFonts w:ascii="Noto Sans" w:hAnsi="Noto Sans" w:cs="Noto Sans"/>
        <w:noProof/>
        <w:sz w:val="20"/>
        <w:szCs w:val="20"/>
      </w:rPr>
    </w:sdtEndPr>
    <w:sdtContent>
      <w:p w14:paraId="2E15919A" w14:textId="565ECCC0" w:rsidR="0004728F" w:rsidRPr="0004728F" w:rsidRDefault="0004728F">
        <w:pPr>
          <w:pStyle w:val="Piedepgina"/>
          <w:jc w:val="right"/>
          <w:rPr>
            <w:rFonts w:ascii="Noto Sans" w:hAnsi="Noto Sans" w:cs="Noto Sans"/>
            <w:sz w:val="20"/>
            <w:szCs w:val="20"/>
          </w:rPr>
        </w:pPr>
        <w:r w:rsidRPr="0004728F">
          <w:rPr>
            <w:rFonts w:ascii="Noto Sans" w:hAnsi="Noto Sans" w:cs="Noto Sans"/>
            <w:sz w:val="20"/>
            <w:szCs w:val="20"/>
          </w:rPr>
          <w:fldChar w:fldCharType="begin"/>
        </w:r>
        <w:r w:rsidRPr="0004728F">
          <w:rPr>
            <w:rFonts w:ascii="Noto Sans" w:hAnsi="Noto Sans" w:cs="Noto Sans"/>
            <w:sz w:val="20"/>
            <w:szCs w:val="20"/>
          </w:rPr>
          <w:instrText xml:space="preserve"> PAGE   \* MERGEFORMAT </w:instrText>
        </w:r>
        <w:r w:rsidRPr="0004728F">
          <w:rPr>
            <w:rFonts w:ascii="Noto Sans" w:hAnsi="Noto Sans" w:cs="Noto Sans"/>
            <w:sz w:val="20"/>
            <w:szCs w:val="20"/>
          </w:rPr>
          <w:fldChar w:fldCharType="separate"/>
        </w:r>
        <w:r w:rsidRPr="0004728F">
          <w:rPr>
            <w:rFonts w:ascii="Noto Sans" w:hAnsi="Noto Sans" w:cs="Noto Sans"/>
            <w:noProof/>
            <w:sz w:val="20"/>
            <w:szCs w:val="20"/>
          </w:rPr>
          <w:t>2</w:t>
        </w:r>
        <w:r w:rsidRPr="0004728F">
          <w:rPr>
            <w:rFonts w:ascii="Noto Sans" w:hAnsi="Noto Sans" w:cs="Noto Sans"/>
            <w:noProof/>
            <w:sz w:val="20"/>
            <w:szCs w:val="20"/>
          </w:rPr>
          <w:fldChar w:fldCharType="end"/>
        </w:r>
      </w:p>
    </w:sdtContent>
  </w:sdt>
  <w:p w14:paraId="4139D8E2" w14:textId="77777777" w:rsidR="0004728F" w:rsidRDefault="000472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C1546" w14:textId="77777777" w:rsidR="006426B5" w:rsidRDefault="006426B5" w:rsidP="00025DA4">
      <w:r>
        <w:separator/>
      </w:r>
    </w:p>
  </w:footnote>
  <w:footnote w:type="continuationSeparator" w:id="0">
    <w:p w14:paraId="13C6C24B" w14:textId="77777777" w:rsidR="006426B5" w:rsidRDefault="006426B5" w:rsidP="00025DA4">
      <w:r>
        <w:continuationSeparator/>
      </w:r>
    </w:p>
  </w:footnote>
  <w:footnote w:type="continuationNotice" w:id="1">
    <w:p w14:paraId="045B3A85" w14:textId="77777777" w:rsidR="006426B5" w:rsidRDefault="006426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38FE2" w14:textId="17D5EF54" w:rsidR="00025DA4" w:rsidRDefault="00025DA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54B2A7B" wp14:editId="761DA349">
          <wp:simplePos x="0" y="0"/>
          <wp:positionH relativeFrom="page">
            <wp:posOffset>0</wp:posOffset>
          </wp:positionH>
          <wp:positionV relativeFrom="margin">
            <wp:posOffset>-1166333</wp:posOffset>
          </wp:positionV>
          <wp:extent cx="7772115" cy="10058032"/>
          <wp:effectExtent l="0" t="0" r="635" b="635"/>
          <wp:wrapNone/>
          <wp:docPr id="19597942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499149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115" cy="100580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21D69"/>
    <w:multiLevelType w:val="hybridMultilevel"/>
    <w:tmpl w:val="52866974"/>
    <w:lvl w:ilvl="0" w:tplc="A814A5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Noto San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0485B"/>
    <w:multiLevelType w:val="hybridMultilevel"/>
    <w:tmpl w:val="2578EA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E22B6"/>
    <w:multiLevelType w:val="hybridMultilevel"/>
    <w:tmpl w:val="C16E21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C17B0"/>
    <w:multiLevelType w:val="hybridMultilevel"/>
    <w:tmpl w:val="014C16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141C4"/>
    <w:multiLevelType w:val="hybridMultilevel"/>
    <w:tmpl w:val="0D34DE48"/>
    <w:lvl w:ilvl="0" w:tplc="0AAA5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0C4906"/>
    <w:multiLevelType w:val="hybridMultilevel"/>
    <w:tmpl w:val="40322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201530">
    <w:abstractNumId w:val="2"/>
  </w:num>
  <w:num w:numId="2" w16cid:durableId="1883664994">
    <w:abstractNumId w:val="5"/>
  </w:num>
  <w:num w:numId="3" w16cid:durableId="385223305">
    <w:abstractNumId w:val="1"/>
  </w:num>
  <w:num w:numId="4" w16cid:durableId="1597641217">
    <w:abstractNumId w:val="3"/>
  </w:num>
  <w:num w:numId="5" w16cid:durableId="1166440686">
    <w:abstractNumId w:val="4"/>
  </w:num>
  <w:num w:numId="6" w16cid:durableId="156093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DA4"/>
    <w:rsid w:val="000052F2"/>
    <w:rsid w:val="000069C0"/>
    <w:rsid w:val="00015BB9"/>
    <w:rsid w:val="00016703"/>
    <w:rsid w:val="000169F6"/>
    <w:rsid w:val="000178F4"/>
    <w:rsid w:val="0002325C"/>
    <w:rsid w:val="00025DA4"/>
    <w:rsid w:val="00033BCB"/>
    <w:rsid w:val="00035C3E"/>
    <w:rsid w:val="00037A7E"/>
    <w:rsid w:val="000421EB"/>
    <w:rsid w:val="00044635"/>
    <w:rsid w:val="0004728F"/>
    <w:rsid w:val="00051036"/>
    <w:rsid w:val="0005476D"/>
    <w:rsid w:val="000569B0"/>
    <w:rsid w:val="000602F1"/>
    <w:rsid w:val="00061860"/>
    <w:rsid w:val="0006390A"/>
    <w:rsid w:val="00077454"/>
    <w:rsid w:val="00087B9F"/>
    <w:rsid w:val="000908F5"/>
    <w:rsid w:val="000A0647"/>
    <w:rsid w:val="000A5470"/>
    <w:rsid w:val="000B499B"/>
    <w:rsid w:val="000C68C8"/>
    <w:rsid w:val="000C6BAB"/>
    <w:rsid w:val="000D14C4"/>
    <w:rsid w:val="000D1615"/>
    <w:rsid w:val="000D24C3"/>
    <w:rsid w:val="000D4089"/>
    <w:rsid w:val="000D5F66"/>
    <w:rsid w:val="000E06AB"/>
    <w:rsid w:val="000E3010"/>
    <w:rsid w:val="000E35FC"/>
    <w:rsid w:val="000E7BDB"/>
    <w:rsid w:val="000F33C3"/>
    <w:rsid w:val="000F3EFB"/>
    <w:rsid w:val="00100F40"/>
    <w:rsid w:val="001043C7"/>
    <w:rsid w:val="0011106F"/>
    <w:rsid w:val="001151D8"/>
    <w:rsid w:val="001244B7"/>
    <w:rsid w:val="00130334"/>
    <w:rsid w:val="00133884"/>
    <w:rsid w:val="00150349"/>
    <w:rsid w:val="00151A46"/>
    <w:rsid w:val="001520EA"/>
    <w:rsid w:val="00152327"/>
    <w:rsid w:val="00153645"/>
    <w:rsid w:val="00155DFF"/>
    <w:rsid w:val="00156CF2"/>
    <w:rsid w:val="001700C6"/>
    <w:rsid w:val="001715C3"/>
    <w:rsid w:val="00174FAC"/>
    <w:rsid w:val="00177964"/>
    <w:rsid w:val="00180226"/>
    <w:rsid w:val="00195A92"/>
    <w:rsid w:val="001968DF"/>
    <w:rsid w:val="00196D1E"/>
    <w:rsid w:val="001A117D"/>
    <w:rsid w:val="001A1FB9"/>
    <w:rsid w:val="001A4C18"/>
    <w:rsid w:val="001A5EFC"/>
    <w:rsid w:val="001A6A8C"/>
    <w:rsid w:val="001A71B3"/>
    <w:rsid w:val="001B3486"/>
    <w:rsid w:val="001B34B5"/>
    <w:rsid w:val="001B41C4"/>
    <w:rsid w:val="001B49B1"/>
    <w:rsid w:val="001B69A8"/>
    <w:rsid w:val="001B6DF8"/>
    <w:rsid w:val="001D3573"/>
    <w:rsid w:val="001D4E1C"/>
    <w:rsid w:val="001E1D71"/>
    <w:rsid w:val="001E3469"/>
    <w:rsid w:val="001E366A"/>
    <w:rsid w:val="001E3B05"/>
    <w:rsid w:val="001F1003"/>
    <w:rsid w:val="001F1803"/>
    <w:rsid w:val="001F7C37"/>
    <w:rsid w:val="00200488"/>
    <w:rsid w:val="0020707B"/>
    <w:rsid w:val="00207AF3"/>
    <w:rsid w:val="00207EF6"/>
    <w:rsid w:val="00211DAC"/>
    <w:rsid w:val="00212D28"/>
    <w:rsid w:val="002137EA"/>
    <w:rsid w:val="0021702D"/>
    <w:rsid w:val="00223706"/>
    <w:rsid w:val="00230D08"/>
    <w:rsid w:val="00231B96"/>
    <w:rsid w:val="00234C35"/>
    <w:rsid w:val="00236859"/>
    <w:rsid w:val="00241288"/>
    <w:rsid w:val="00242A0E"/>
    <w:rsid w:val="0024599C"/>
    <w:rsid w:val="002614DE"/>
    <w:rsid w:val="0026463D"/>
    <w:rsid w:val="00264BF7"/>
    <w:rsid w:val="00266A19"/>
    <w:rsid w:val="0026708A"/>
    <w:rsid w:val="00284520"/>
    <w:rsid w:val="002853B9"/>
    <w:rsid w:val="002857BD"/>
    <w:rsid w:val="00294CB9"/>
    <w:rsid w:val="00295F53"/>
    <w:rsid w:val="002A03AF"/>
    <w:rsid w:val="002A36D4"/>
    <w:rsid w:val="002A5C45"/>
    <w:rsid w:val="002B0EA6"/>
    <w:rsid w:val="002B291F"/>
    <w:rsid w:val="002B362E"/>
    <w:rsid w:val="002C22F4"/>
    <w:rsid w:val="002C4081"/>
    <w:rsid w:val="002C483E"/>
    <w:rsid w:val="002D04DD"/>
    <w:rsid w:val="002D236D"/>
    <w:rsid w:val="002D2E4C"/>
    <w:rsid w:val="002E260E"/>
    <w:rsid w:val="002E392B"/>
    <w:rsid w:val="002E7938"/>
    <w:rsid w:val="002F6375"/>
    <w:rsid w:val="00302DD5"/>
    <w:rsid w:val="00303C2B"/>
    <w:rsid w:val="0030797A"/>
    <w:rsid w:val="003142A6"/>
    <w:rsid w:val="00314369"/>
    <w:rsid w:val="003176AA"/>
    <w:rsid w:val="003204E1"/>
    <w:rsid w:val="0032177A"/>
    <w:rsid w:val="00324D77"/>
    <w:rsid w:val="00331228"/>
    <w:rsid w:val="003328FF"/>
    <w:rsid w:val="0033530B"/>
    <w:rsid w:val="003409C2"/>
    <w:rsid w:val="00340E7B"/>
    <w:rsid w:val="00343E8E"/>
    <w:rsid w:val="00343F6B"/>
    <w:rsid w:val="00347760"/>
    <w:rsid w:val="003510A9"/>
    <w:rsid w:val="00353A14"/>
    <w:rsid w:val="0035523C"/>
    <w:rsid w:val="00355D5C"/>
    <w:rsid w:val="00361784"/>
    <w:rsid w:val="0036180E"/>
    <w:rsid w:val="0036529D"/>
    <w:rsid w:val="00365B50"/>
    <w:rsid w:val="00371EEA"/>
    <w:rsid w:val="0037284E"/>
    <w:rsid w:val="00375E0C"/>
    <w:rsid w:val="00381E83"/>
    <w:rsid w:val="00383722"/>
    <w:rsid w:val="00386FEF"/>
    <w:rsid w:val="003917FA"/>
    <w:rsid w:val="003945B8"/>
    <w:rsid w:val="003A0C98"/>
    <w:rsid w:val="003A1FBC"/>
    <w:rsid w:val="003A713E"/>
    <w:rsid w:val="003B0F1B"/>
    <w:rsid w:val="003B547F"/>
    <w:rsid w:val="003C1E31"/>
    <w:rsid w:val="003D1B27"/>
    <w:rsid w:val="003D373D"/>
    <w:rsid w:val="003D3A79"/>
    <w:rsid w:val="003D54E2"/>
    <w:rsid w:val="003E64E5"/>
    <w:rsid w:val="003F52FF"/>
    <w:rsid w:val="003F5C4C"/>
    <w:rsid w:val="003F6EB8"/>
    <w:rsid w:val="004013B3"/>
    <w:rsid w:val="004018EA"/>
    <w:rsid w:val="0040459A"/>
    <w:rsid w:val="00406802"/>
    <w:rsid w:val="004068EA"/>
    <w:rsid w:val="00407DC9"/>
    <w:rsid w:val="00412EED"/>
    <w:rsid w:val="0041307F"/>
    <w:rsid w:val="0041458C"/>
    <w:rsid w:val="00421EF3"/>
    <w:rsid w:val="004224EB"/>
    <w:rsid w:val="00424877"/>
    <w:rsid w:val="0042540B"/>
    <w:rsid w:val="0043116D"/>
    <w:rsid w:val="0043357E"/>
    <w:rsid w:val="004355AD"/>
    <w:rsid w:val="00435ECA"/>
    <w:rsid w:val="00441336"/>
    <w:rsid w:val="0044299A"/>
    <w:rsid w:val="0044353A"/>
    <w:rsid w:val="00443921"/>
    <w:rsid w:val="0044401F"/>
    <w:rsid w:val="00452C25"/>
    <w:rsid w:val="00454561"/>
    <w:rsid w:val="004578D5"/>
    <w:rsid w:val="00462A76"/>
    <w:rsid w:val="00465B16"/>
    <w:rsid w:val="004673EB"/>
    <w:rsid w:val="00467D71"/>
    <w:rsid w:val="0047163F"/>
    <w:rsid w:val="00475892"/>
    <w:rsid w:val="00477DB6"/>
    <w:rsid w:val="00480265"/>
    <w:rsid w:val="00482D75"/>
    <w:rsid w:val="004861A7"/>
    <w:rsid w:val="004861A8"/>
    <w:rsid w:val="0048668E"/>
    <w:rsid w:val="00490379"/>
    <w:rsid w:val="00492E47"/>
    <w:rsid w:val="0049321A"/>
    <w:rsid w:val="004946EE"/>
    <w:rsid w:val="0049480C"/>
    <w:rsid w:val="004A1AEB"/>
    <w:rsid w:val="004A7EA2"/>
    <w:rsid w:val="004B0C61"/>
    <w:rsid w:val="004B18BF"/>
    <w:rsid w:val="004B5A46"/>
    <w:rsid w:val="004B63C1"/>
    <w:rsid w:val="004C0FCF"/>
    <w:rsid w:val="004C254F"/>
    <w:rsid w:val="004C5243"/>
    <w:rsid w:val="004C7550"/>
    <w:rsid w:val="004D0D80"/>
    <w:rsid w:val="004D7A19"/>
    <w:rsid w:val="004F2678"/>
    <w:rsid w:val="004F521A"/>
    <w:rsid w:val="004F5B7A"/>
    <w:rsid w:val="004F6929"/>
    <w:rsid w:val="004F797F"/>
    <w:rsid w:val="0050636C"/>
    <w:rsid w:val="00512454"/>
    <w:rsid w:val="00514092"/>
    <w:rsid w:val="00514B8E"/>
    <w:rsid w:val="005153A4"/>
    <w:rsid w:val="0052324F"/>
    <w:rsid w:val="005237D8"/>
    <w:rsid w:val="00523E26"/>
    <w:rsid w:val="005251F3"/>
    <w:rsid w:val="005309EA"/>
    <w:rsid w:val="00536692"/>
    <w:rsid w:val="00536E4A"/>
    <w:rsid w:val="00536F69"/>
    <w:rsid w:val="00537130"/>
    <w:rsid w:val="00540F7B"/>
    <w:rsid w:val="0054252F"/>
    <w:rsid w:val="005426EC"/>
    <w:rsid w:val="005432FC"/>
    <w:rsid w:val="00552503"/>
    <w:rsid w:val="00553321"/>
    <w:rsid w:val="00557466"/>
    <w:rsid w:val="005612AB"/>
    <w:rsid w:val="005721FD"/>
    <w:rsid w:val="00573D13"/>
    <w:rsid w:val="005759B2"/>
    <w:rsid w:val="005771EC"/>
    <w:rsid w:val="0058295C"/>
    <w:rsid w:val="005A05BF"/>
    <w:rsid w:val="005A4207"/>
    <w:rsid w:val="005A742C"/>
    <w:rsid w:val="005B26EE"/>
    <w:rsid w:val="005B6555"/>
    <w:rsid w:val="005D0CD1"/>
    <w:rsid w:val="005D3A47"/>
    <w:rsid w:val="005D6536"/>
    <w:rsid w:val="005E4DE9"/>
    <w:rsid w:val="005F01E0"/>
    <w:rsid w:val="005F0F21"/>
    <w:rsid w:val="00600E1F"/>
    <w:rsid w:val="006013D2"/>
    <w:rsid w:val="00602898"/>
    <w:rsid w:val="00604CA7"/>
    <w:rsid w:val="00611CA4"/>
    <w:rsid w:val="0062255E"/>
    <w:rsid w:val="00624684"/>
    <w:rsid w:val="00625FDB"/>
    <w:rsid w:val="00626C80"/>
    <w:rsid w:val="0063313C"/>
    <w:rsid w:val="00634A0F"/>
    <w:rsid w:val="006426B5"/>
    <w:rsid w:val="00652A3E"/>
    <w:rsid w:val="006532AA"/>
    <w:rsid w:val="00657FA9"/>
    <w:rsid w:val="0066362B"/>
    <w:rsid w:val="0066647C"/>
    <w:rsid w:val="00672528"/>
    <w:rsid w:val="00673148"/>
    <w:rsid w:val="00681CAB"/>
    <w:rsid w:val="006859F4"/>
    <w:rsid w:val="00690C60"/>
    <w:rsid w:val="00691877"/>
    <w:rsid w:val="00693B54"/>
    <w:rsid w:val="00696BF6"/>
    <w:rsid w:val="006B2489"/>
    <w:rsid w:val="006B4417"/>
    <w:rsid w:val="006B4892"/>
    <w:rsid w:val="006B57CA"/>
    <w:rsid w:val="006C5D11"/>
    <w:rsid w:val="006C6D02"/>
    <w:rsid w:val="006D10EE"/>
    <w:rsid w:val="006D1265"/>
    <w:rsid w:val="006D1C14"/>
    <w:rsid w:val="006E36A7"/>
    <w:rsid w:val="006E4DAC"/>
    <w:rsid w:val="006F0E1F"/>
    <w:rsid w:val="007036A1"/>
    <w:rsid w:val="00704729"/>
    <w:rsid w:val="007052E3"/>
    <w:rsid w:val="00707B6A"/>
    <w:rsid w:val="007123B4"/>
    <w:rsid w:val="007139E3"/>
    <w:rsid w:val="007208BE"/>
    <w:rsid w:val="0072284F"/>
    <w:rsid w:val="0072432C"/>
    <w:rsid w:val="00724BD7"/>
    <w:rsid w:val="007310D5"/>
    <w:rsid w:val="0074131C"/>
    <w:rsid w:val="00744E06"/>
    <w:rsid w:val="00745351"/>
    <w:rsid w:val="00746837"/>
    <w:rsid w:val="00746D66"/>
    <w:rsid w:val="00746ED5"/>
    <w:rsid w:val="00751FCA"/>
    <w:rsid w:val="007562FC"/>
    <w:rsid w:val="007569BB"/>
    <w:rsid w:val="007619E0"/>
    <w:rsid w:val="00762ECE"/>
    <w:rsid w:val="007653B2"/>
    <w:rsid w:val="007729E5"/>
    <w:rsid w:val="00782D69"/>
    <w:rsid w:val="00783686"/>
    <w:rsid w:val="007836FC"/>
    <w:rsid w:val="0078480F"/>
    <w:rsid w:val="007919A8"/>
    <w:rsid w:val="0079371D"/>
    <w:rsid w:val="00797F01"/>
    <w:rsid w:val="007A14DB"/>
    <w:rsid w:val="007B0C26"/>
    <w:rsid w:val="007B4D0D"/>
    <w:rsid w:val="007C67C9"/>
    <w:rsid w:val="007D02BB"/>
    <w:rsid w:val="007D32C1"/>
    <w:rsid w:val="007D3458"/>
    <w:rsid w:val="007D7DEA"/>
    <w:rsid w:val="007E25A9"/>
    <w:rsid w:val="007E2A21"/>
    <w:rsid w:val="007E4756"/>
    <w:rsid w:val="007F5C86"/>
    <w:rsid w:val="00802184"/>
    <w:rsid w:val="00802B27"/>
    <w:rsid w:val="00803FE9"/>
    <w:rsid w:val="00807316"/>
    <w:rsid w:val="00813427"/>
    <w:rsid w:val="00823C28"/>
    <w:rsid w:val="00825222"/>
    <w:rsid w:val="008321A8"/>
    <w:rsid w:val="008322A2"/>
    <w:rsid w:val="00833AFE"/>
    <w:rsid w:val="00837C63"/>
    <w:rsid w:val="008540F5"/>
    <w:rsid w:val="008547F6"/>
    <w:rsid w:val="0086110E"/>
    <w:rsid w:val="00862702"/>
    <w:rsid w:val="00863F16"/>
    <w:rsid w:val="0086758F"/>
    <w:rsid w:val="00873079"/>
    <w:rsid w:val="00874CBA"/>
    <w:rsid w:val="008804BC"/>
    <w:rsid w:val="00880B57"/>
    <w:rsid w:val="00880E15"/>
    <w:rsid w:val="00886502"/>
    <w:rsid w:val="0089074B"/>
    <w:rsid w:val="00894A39"/>
    <w:rsid w:val="00896583"/>
    <w:rsid w:val="00897985"/>
    <w:rsid w:val="008A30B7"/>
    <w:rsid w:val="008B38A3"/>
    <w:rsid w:val="008B5802"/>
    <w:rsid w:val="008C6256"/>
    <w:rsid w:val="008C6EB6"/>
    <w:rsid w:val="008C77FA"/>
    <w:rsid w:val="008D0BE3"/>
    <w:rsid w:val="008D36A1"/>
    <w:rsid w:val="008D5267"/>
    <w:rsid w:val="008E0EC8"/>
    <w:rsid w:val="008E2ECF"/>
    <w:rsid w:val="008F12D3"/>
    <w:rsid w:val="008F2443"/>
    <w:rsid w:val="008F70BB"/>
    <w:rsid w:val="008F7359"/>
    <w:rsid w:val="00900042"/>
    <w:rsid w:val="009027EF"/>
    <w:rsid w:val="00922B40"/>
    <w:rsid w:val="00926C27"/>
    <w:rsid w:val="009415CB"/>
    <w:rsid w:val="00944152"/>
    <w:rsid w:val="00945A00"/>
    <w:rsid w:val="00950F01"/>
    <w:rsid w:val="00951CDF"/>
    <w:rsid w:val="00951D58"/>
    <w:rsid w:val="00952B93"/>
    <w:rsid w:val="00964D3A"/>
    <w:rsid w:val="009664DE"/>
    <w:rsid w:val="00967697"/>
    <w:rsid w:val="00970DAB"/>
    <w:rsid w:val="0097694D"/>
    <w:rsid w:val="0098421F"/>
    <w:rsid w:val="009859C2"/>
    <w:rsid w:val="0098658E"/>
    <w:rsid w:val="00987F8D"/>
    <w:rsid w:val="0099103C"/>
    <w:rsid w:val="0099651A"/>
    <w:rsid w:val="009A2DB9"/>
    <w:rsid w:val="009A475C"/>
    <w:rsid w:val="009A604D"/>
    <w:rsid w:val="009A6E53"/>
    <w:rsid w:val="009B16AD"/>
    <w:rsid w:val="009B2AF8"/>
    <w:rsid w:val="009B3574"/>
    <w:rsid w:val="009B53D0"/>
    <w:rsid w:val="009C1273"/>
    <w:rsid w:val="009C4B4C"/>
    <w:rsid w:val="009C5286"/>
    <w:rsid w:val="009C5FC8"/>
    <w:rsid w:val="009D1BBD"/>
    <w:rsid w:val="009D605B"/>
    <w:rsid w:val="009D70F5"/>
    <w:rsid w:val="009E0D97"/>
    <w:rsid w:val="009E1874"/>
    <w:rsid w:val="009E1C2E"/>
    <w:rsid w:val="009E3B1D"/>
    <w:rsid w:val="009E3C85"/>
    <w:rsid w:val="009F1B12"/>
    <w:rsid w:val="009F1D2A"/>
    <w:rsid w:val="009F5931"/>
    <w:rsid w:val="009F6D44"/>
    <w:rsid w:val="00A02FFE"/>
    <w:rsid w:val="00A07A08"/>
    <w:rsid w:val="00A07A61"/>
    <w:rsid w:val="00A175AA"/>
    <w:rsid w:val="00A21610"/>
    <w:rsid w:val="00A23E28"/>
    <w:rsid w:val="00A2771F"/>
    <w:rsid w:val="00A30441"/>
    <w:rsid w:val="00A31759"/>
    <w:rsid w:val="00A3201A"/>
    <w:rsid w:val="00A32BA4"/>
    <w:rsid w:val="00A35FF8"/>
    <w:rsid w:val="00A374A3"/>
    <w:rsid w:val="00A37E8C"/>
    <w:rsid w:val="00A40B8E"/>
    <w:rsid w:val="00A40F69"/>
    <w:rsid w:val="00A4159B"/>
    <w:rsid w:val="00A4576F"/>
    <w:rsid w:val="00A540DE"/>
    <w:rsid w:val="00A553B2"/>
    <w:rsid w:val="00A574FF"/>
    <w:rsid w:val="00A57EC4"/>
    <w:rsid w:val="00A61579"/>
    <w:rsid w:val="00A62EAE"/>
    <w:rsid w:val="00A63D46"/>
    <w:rsid w:val="00A64154"/>
    <w:rsid w:val="00A64384"/>
    <w:rsid w:val="00A6526D"/>
    <w:rsid w:val="00A83872"/>
    <w:rsid w:val="00A92A48"/>
    <w:rsid w:val="00A94C7F"/>
    <w:rsid w:val="00A9558B"/>
    <w:rsid w:val="00A96366"/>
    <w:rsid w:val="00AA2060"/>
    <w:rsid w:val="00AA40D7"/>
    <w:rsid w:val="00AA43D3"/>
    <w:rsid w:val="00AB04DA"/>
    <w:rsid w:val="00AB2502"/>
    <w:rsid w:val="00AB275E"/>
    <w:rsid w:val="00AB2C3D"/>
    <w:rsid w:val="00AC1285"/>
    <w:rsid w:val="00AC2114"/>
    <w:rsid w:val="00AC39A4"/>
    <w:rsid w:val="00AD0D8D"/>
    <w:rsid w:val="00AD1ADD"/>
    <w:rsid w:val="00AE1382"/>
    <w:rsid w:val="00AE793B"/>
    <w:rsid w:val="00AF2E3F"/>
    <w:rsid w:val="00AF4D5A"/>
    <w:rsid w:val="00AF7A20"/>
    <w:rsid w:val="00B003C2"/>
    <w:rsid w:val="00B03B75"/>
    <w:rsid w:val="00B03C73"/>
    <w:rsid w:val="00B03EF2"/>
    <w:rsid w:val="00B06750"/>
    <w:rsid w:val="00B11F21"/>
    <w:rsid w:val="00B17091"/>
    <w:rsid w:val="00B2095C"/>
    <w:rsid w:val="00B228C8"/>
    <w:rsid w:val="00B22CF2"/>
    <w:rsid w:val="00B27DB5"/>
    <w:rsid w:val="00B374BA"/>
    <w:rsid w:val="00B51DD1"/>
    <w:rsid w:val="00B5506B"/>
    <w:rsid w:val="00B569BF"/>
    <w:rsid w:val="00B61D6C"/>
    <w:rsid w:val="00B6299F"/>
    <w:rsid w:val="00B64A4F"/>
    <w:rsid w:val="00B64B74"/>
    <w:rsid w:val="00B7418E"/>
    <w:rsid w:val="00B76001"/>
    <w:rsid w:val="00B83F12"/>
    <w:rsid w:val="00B86EDF"/>
    <w:rsid w:val="00B90446"/>
    <w:rsid w:val="00B92848"/>
    <w:rsid w:val="00B93977"/>
    <w:rsid w:val="00B961F3"/>
    <w:rsid w:val="00B97038"/>
    <w:rsid w:val="00BA1CAA"/>
    <w:rsid w:val="00BA1E54"/>
    <w:rsid w:val="00BA67C7"/>
    <w:rsid w:val="00BB0C3C"/>
    <w:rsid w:val="00BB1181"/>
    <w:rsid w:val="00BB20EE"/>
    <w:rsid w:val="00BB3543"/>
    <w:rsid w:val="00BB4374"/>
    <w:rsid w:val="00BB56B8"/>
    <w:rsid w:val="00BB7C3A"/>
    <w:rsid w:val="00BC68D1"/>
    <w:rsid w:val="00BD4A72"/>
    <w:rsid w:val="00BD50E4"/>
    <w:rsid w:val="00BD5863"/>
    <w:rsid w:val="00BD7E96"/>
    <w:rsid w:val="00BE241F"/>
    <w:rsid w:val="00BE541D"/>
    <w:rsid w:val="00BE57BE"/>
    <w:rsid w:val="00BE6ACA"/>
    <w:rsid w:val="00BF0003"/>
    <w:rsid w:val="00BF22E3"/>
    <w:rsid w:val="00BF2B45"/>
    <w:rsid w:val="00BF34C2"/>
    <w:rsid w:val="00BF6F40"/>
    <w:rsid w:val="00C041B3"/>
    <w:rsid w:val="00C152A7"/>
    <w:rsid w:val="00C16C9C"/>
    <w:rsid w:val="00C226E4"/>
    <w:rsid w:val="00C24F3B"/>
    <w:rsid w:val="00C272C0"/>
    <w:rsid w:val="00C277EA"/>
    <w:rsid w:val="00C30DFD"/>
    <w:rsid w:val="00C34A3D"/>
    <w:rsid w:val="00C35191"/>
    <w:rsid w:val="00C371C4"/>
    <w:rsid w:val="00C479F7"/>
    <w:rsid w:val="00C50185"/>
    <w:rsid w:val="00C52900"/>
    <w:rsid w:val="00C54A61"/>
    <w:rsid w:val="00C56399"/>
    <w:rsid w:val="00C57744"/>
    <w:rsid w:val="00C613BC"/>
    <w:rsid w:val="00C62043"/>
    <w:rsid w:val="00C70B29"/>
    <w:rsid w:val="00C71546"/>
    <w:rsid w:val="00C731BE"/>
    <w:rsid w:val="00C7523A"/>
    <w:rsid w:val="00C84283"/>
    <w:rsid w:val="00C842F1"/>
    <w:rsid w:val="00C872FE"/>
    <w:rsid w:val="00C90E31"/>
    <w:rsid w:val="00C92D97"/>
    <w:rsid w:val="00C93A1B"/>
    <w:rsid w:val="00CA7391"/>
    <w:rsid w:val="00CB3294"/>
    <w:rsid w:val="00CB3C0F"/>
    <w:rsid w:val="00CB7982"/>
    <w:rsid w:val="00CC408B"/>
    <w:rsid w:val="00CC518E"/>
    <w:rsid w:val="00CC7781"/>
    <w:rsid w:val="00CD4001"/>
    <w:rsid w:val="00CD6E46"/>
    <w:rsid w:val="00CE23BD"/>
    <w:rsid w:val="00CE30FD"/>
    <w:rsid w:val="00CE459A"/>
    <w:rsid w:val="00CE71F1"/>
    <w:rsid w:val="00CF2BA3"/>
    <w:rsid w:val="00CF765D"/>
    <w:rsid w:val="00D0096D"/>
    <w:rsid w:val="00D014AA"/>
    <w:rsid w:val="00D049E8"/>
    <w:rsid w:val="00D05976"/>
    <w:rsid w:val="00D10BF3"/>
    <w:rsid w:val="00D1132A"/>
    <w:rsid w:val="00D1150E"/>
    <w:rsid w:val="00D1237A"/>
    <w:rsid w:val="00D14911"/>
    <w:rsid w:val="00D16B1B"/>
    <w:rsid w:val="00D17BE4"/>
    <w:rsid w:val="00D20B7F"/>
    <w:rsid w:val="00D27060"/>
    <w:rsid w:val="00D27078"/>
    <w:rsid w:val="00D34868"/>
    <w:rsid w:val="00D41226"/>
    <w:rsid w:val="00D4415F"/>
    <w:rsid w:val="00D46ECD"/>
    <w:rsid w:val="00D52A7B"/>
    <w:rsid w:val="00D56C60"/>
    <w:rsid w:val="00D63673"/>
    <w:rsid w:val="00D67366"/>
    <w:rsid w:val="00D804FC"/>
    <w:rsid w:val="00D80763"/>
    <w:rsid w:val="00D829FA"/>
    <w:rsid w:val="00D83FF7"/>
    <w:rsid w:val="00D84B2F"/>
    <w:rsid w:val="00D92457"/>
    <w:rsid w:val="00D96847"/>
    <w:rsid w:val="00DA016E"/>
    <w:rsid w:val="00DA28FC"/>
    <w:rsid w:val="00DA33B8"/>
    <w:rsid w:val="00DB096F"/>
    <w:rsid w:val="00DB0A25"/>
    <w:rsid w:val="00DB111C"/>
    <w:rsid w:val="00DB1A8D"/>
    <w:rsid w:val="00DB2469"/>
    <w:rsid w:val="00DB762D"/>
    <w:rsid w:val="00DC14F0"/>
    <w:rsid w:val="00DC61F2"/>
    <w:rsid w:val="00DD2F2F"/>
    <w:rsid w:val="00DD4B80"/>
    <w:rsid w:val="00DE1DDA"/>
    <w:rsid w:val="00DE2F97"/>
    <w:rsid w:val="00DE32BD"/>
    <w:rsid w:val="00DF3921"/>
    <w:rsid w:val="00DF68E7"/>
    <w:rsid w:val="00DF697D"/>
    <w:rsid w:val="00E023F9"/>
    <w:rsid w:val="00E02629"/>
    <w:rsid w:val="00E02E2A"/>
    <w:rsid w:val="00E03434"/>
    <w:rsid w:val="00E0354C"/>
    <w:rsid w:val="00E04FAB"/>
    <w:rsid w:val="00E056A9"/>
    <w:rsid w:val="00E1140C"/>
    <w:rsid w:val="00E15DA5"/>
    <w:rsid w:val="00E17C2A"/>
    <w:rsid w:val="00E23783"/>
    <w:rsid w:val="00E24073"/>
    <w:rsid w:val="00E24D68"/>
    <w:rsid w:val="00E30714"/>
    <w:rsid w:val="00E315D0"/>
    <w:rsid w:val="00E3512C"/>
    <w:rsid w:val="00E35EFC"/>
    <w:rsid w:val="00E47BB7"/>
    <w:rsid w:val="00E47E9E"/>
    <w:rsid w:val="00E5079D"/>
    <w:rsid w:val="00E515FC"/>
    <w:rsid w:val="00E56C8A"/>
    <w:rsid w:val="00E571BB"/>
    <w:rsid w:val="00E57C56"/>
    <w:rsid w:val="00E57E17"/>
    <w:rsid w:val="00E60930"/>
    <w:rsid w:val="00E63F09"/>
    <w:rsid w:val="00E64808"/>
    <w:rsid w:val="00E758BC"/>
    <w:rsid w:val="00E768B6"/>
    <w:rsid w:val="00E87102"/>
    <w:rsid w:val="00E875D2"/>
    <w:rsid w:val="00E9025C"/>
    <w:rsid w:val="00E90667"/>
    <w:rsid w:val="00E936E2"/>
    <w:rsid w:val="00E95E18"/>
    <w:rsid w:val="00E963A7"/>
    <w:rsid w:val="00EA2730"/>
    <w:rsid w:val="00EA5BCC"/>
    <w:rsid w:val="00EB49BD"/>
    <w:rsid w:val="00EB49D0"/>
    <w:rsid w:val="00EB4C67"/>
    <w:rsid w:val="00EC0586"/>
    <w:rsid w:val="00EC2880"/>
    <w:rsid w:val="00ED3021"/>
    <w:rsid w:val="00ED3C8B"/>
    <w:rsid w:val="00ED4B60"/>
    <w:rsid w:val="00ED4C38"/>
    <w:rsid w:val="00ED6F88"/>
    <w:rsid w:val="00EE2B8B"/>
    <w:rsid w:val="00EF1AAA"/>
    <w:rsid w:val="00EF3AC7"/>
    <w:rsid w:val="00EF4F15"/>
    <w:rsid w:val="00F01138"/>
    <w:rsid w:val="00F02C1F"/>
    <w:rsid w:val="00F0653C"/>
    <w:rsid w:val="00F07F59"/>
    <w:rsid w:val="00F10AA7"/>
    <w:rsid w:val="00F12F18"/>
    <w:rsid w:val="00F15E57"/>
    <w:rsid w:val="00F17C79"/>
    <w:rsid w:val="00F21776"/>
    <w:rsid w:val="00F24522"/>
    <w:rsid w:val="00F307BA"/>
    <w:rsid w:val="00F337C5"/>
    <w:rsid w:val="00F34D4F"/>
    <w:rsid w:val="00F35ACB"/>
    <w:rsid w:val="00F35E2C"/>
    <w:rsid w:val="00F41048"/>
    <w:rsid w:val="00F4185A"/>
    <w:rsid w:val="00F5324E"/>
    <w:rsid w:val="00F541D9"/>
    <w:rsid w:val="00F553B6"/>
    <w:rsid w:val="00F579ED"/>
    <w:rsid w:val="00F749C5"/>
    <w:rsid w:val="00F7677E"/>
    <w:rsid w:val="00F77003"/>
    <w:rsid w:val="00F81ADD"/>
    <w:rsid w:val="00F84870"/>
    <w:rsid w:val="00F864E2"/>
    <w:rsid w:val="00F96A29"/>
    <w:rsid w:val="00F9760B"/>
    <w:rsid w:val="00FA0267"/>
    <w:rsid w:val="00FA115E"/>
    <w:rsid w:val="00FA248A"/>
    <w:rsid w:val="00FA31C4"/>
    <w:rsid w:val="00FA456D"/>
    <w:rsid w:val="00FA69EF"/>
    <w:rsid w:val="00FB2470"/>
    <w:rsid w:val="00FB3360"/>
    <w:rsid w:val="00FB361D"/>
    <w:rsid w:val="00FB489F"/>
    <w:rsid w:val="00FB65C0"/>
    <w:rsid w:val="00FB66FB"/>
    <w:rsid w:val="00FC0BA2"/>
    <w:rsid w:val="00FD09EC"/>
    <w:rsid w:val="00FD6018"/>
    <w:rsid w:val="00FD73A5"/>
    <w:rsid w:val="00FD7D97"/>
    <w:rsid w:val="00FE0017"/>
    <w:rsid w:val="00FE7393"/>
    <w:rsid w:val="00FF34B3"/>
    <w:rsid w:val="00FF5034"/>
    <w:rsid w:val="00FF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15B9"/>
  <w15:chartTrackingRefBased/>
  <w15:docId w15:val="{A2696206-D2D2-4586-B4E1-4B08102A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A6A4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A6A4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DA4"/>
    <w:pPr>
      <w:keepNext/>
      <w:keepLines/>
      <w:spacing w:before="160" w:after="80"/>
      <w:outlineLvl w:val="2"/>
    </w:pPr>
    <w:rPr>
      <w:rFonts w:eastAsiaTheme="majorEastAsia" w:cstheme="majorBidi"/>
      <w:color w:val="8A6A4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A6A4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DA4"/>
    <w:pPr>
      <w:keepNext/>
      <w:keepLines/>
      <w:spacing w:before="80" w:after="40"/>
      <w:outlineLvl w:val="4"/>
    </w:pPr>
    <w:rPr>
      <w:rFonts w:eastAsiaTheme="majorEastAsia" w:cstheme="majorBidi"/>
      <w:color w:val="8A6A4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DA4"/>
    <w:rPr>
      <w:rFonts w:asciiTheme="majorHAnsi" w:eastAsiaTheme="majorEastAsia" w:hAnsiTheme="majorHAnsi" w:cstheme="majorBidi"/>
      <w:color w:val="8A6A4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DA4"/>
    <w:rPr>
      <w:rFonts w:asciiTheme="majorHAnsi" w:eastAsiaTheme="majorEastAsia" w:hAnsiTheme="majorHAnsi" w:cstheme="majorBidi"/>
      <w:color w:val="8A6A4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DA4"/>
    <w:rPr>
      <w:rFonts w:eastAsiaTheme="majorEastAsia" w:cstheme="majorBidi"/>
      <w:color w:val="8A6A4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DA4"/>
    <w:rPr>
      <w:rFonts w:eastAsiaTheme="majorEastAsia" w:cstheme="majorBidi"/>
      <w:i/>
      <w:iCs/>
      <w:color w:val="8A6A4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DA4"/>
    <w:rPr>
      <w:rFonts w:eastAsiaTheme="majorEastAsia" w:cstheme="majorBidi"/>
      <w:color w:val="8A6A4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D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D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DA4"/>
    <w:rPr>
      <w:i/>
      <w:iCs/>
      <w:color w:val="8A6A4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DA4"/>
    <w:pPr>
      <w:pBdr>
        <w:top w:val="single" w:sz="4" w:space="10" w:color="8A6A41" w:themeColor="accent1" w:themeShade="BF"/>
        <w:bottom w:val="single" w:sz="4" w:space="10" w:color="8A6A41" w:themeColor="accent1" w:themeShade="BF"/>
      </w:pBdr>
      <w:spacing w:before="360" w:after="360"/>
      <w:ind w:left="864" w:right="864"/>
      <w:jc w:val="center"/>
    </w:pPr>
    <w:rPr>
      <w:i/>
      <w:iCs/>
      <w:color w:val="8A6A4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DA4"/>
    <w:rPr>
      <w:i/>
      <w:iCs/>
      <w:color w:val="8A6A4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DA4"/>
    <w:rPr>
      <w:b/>
      <w:bCs/>
      <w:smallCaps/>
      <w:color w:val="8A6A4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5D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5DA4"/>
  </w:style>
  <w:style w:type="paragraph" w:styleId="Piedepgina">
    <w:name w:val="footer"/>
    <w:basedOn w:val="Normal"/>
    <w:link w:val="PiedepginaCar"/>
    <w:uiPriority w:val="99"/>
    <w:unhideWhenUsed/>
    <w:rsid w:val="00025D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DA4"/>
  </w:style>
  <w:style w:type="character" w:styleId="Refdecomentario">
    <w:name w:val="annotation reference"/>
    <w:basedOn w:val="Fuentedeprrafopredeter"/>
    <w:uiPriority w:val="99"/>
    <w:semiHidden/>
    <w:unhideWhenUsed/>
    <w:rsid w:val="00E3512C"/>
    <w:rPr>
      <w:sz w:val="16"/>
      <w:szCs w:val="16"/>
    </w:rPr>
  </w:style>
  <w:style w:type="table" w:styleId="Tablaconcuadrcula">
    <w:name w:val="Table Grid"/>
    <w:basedOn w:val="Tablanormal"/>
    <w:uiPriority w:val="39"/>
    <w:rsid w:val="0015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A2DB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A2D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2D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2DB9"/>
    <w:rPr>
      <w:b/>
      <w:bCs/>
      <w:sz w:val="20"/>
      <w:szCs w:val="20"/>
    </w:rPr>
  </w:style>
  <w:style w:type="paragraph" w:customStyle="1" w:styleId="Texto">
    <w:name w:val="Texto"/>
    <w:basedOn w:val="Normal"/>
    <w:link w:val="TextoCar"/>
    <w:rsid w:val="004B18BF"/>
    <w:pPr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character" w:customStyle="1" w:styleId="TextoCar">
    <w:name w:val="Texto Car"/>
    <w:link w:val="Texto"/>
    <w:locked/>
    <w:rsid w:val="004B18BF"/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B655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655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6555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BD5863"/>
    <w:rPr>
      <w:color w:val="0563C1" w:themeColor="hyperlink"/>
      <w:u w:val="single"/>
    </w:rPr>
  </w:style>
  <w:style w:type="table" w:styleId="Tablanormal4">
    <w:name w:val="Plain Table 4"/>
    <w:basedOn w:val="Tablanormal"/>
    <w:uiPriority w:val="99"/>
    <w:rsid w:val="009D605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1">
    <w:name w:val="Plain Table 1"/>
    <w:basedOn w:val="Tablanormal"/>
    <w:uiPriority w:val="41"/>
    <w:rsid w:val="005251F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B4417"/>
    <w:rPr>
      <w:color w:val="954F72" w:themeColor="followed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1E1D71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443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Custom 3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B38E5D"/>
      </a:accent1>
      <a:accent2>
        <a:srgbClr val="9D2449"/>
      </a:accent2>
      <a:accent3>
        <a:srgbClr val="285C4D"/>
      </a:accent3>
      <a:accent4>
        <a:srgbClr val="D4C19C"/>
      </a:accent4>
      <a:accent5>
        <a:srgbClr val="621132"/>
      </a:accent5>
      <a:accent6>
        <a:srgbClr val="13322B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46F11B89C72D4DB6B90B63C3490928" ma:contentTypeVersion="13" ma:contentTypeDescription="Crear nuevo documento." ma:contentTypeScope="" ma:versionID="a21d512ed4461299e0224cce5d8468bc">
  <xsd:schema xmlns:xsd="http://www.w3.org/2001/XMLSchema" xmlns:xs="http://www.w3.org/2001/XMLSchema" xmlns:p="http://schemas.microsoft.com/office/2006/metadata/properties" xmlns:ns2="143ad42a-a847-4375-8ac2-1b925d5e4610" xmlns:ns3="680764f2-dead-424e-9767-2cb9a2286931" targetNamespace="http://schemas.microsoft.com/office/2006/metadata/properties" ma:root="true" ma:fieldsID="fe42929a43d851dfccdb0e5a5d5ca17c" ns2:_="" ns3:_="">
    <xsd:import namespace="143ad42a-a847-4375-8ac2-1b925d5e4610"/>
    <xsd:import namespace="680764f2-dead-424e-9767-2cb9a22869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ad42a-a847-4375-8ac2-1b925d5e46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c1f861e-66bf-495c-afd5-8500f4fcce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764f2-dead-424e-9767-2cb9a228693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070e8ef-c956-494d-b810-af7059f0ccec}" ma:internalName="TaxCatchAll" ma:showField="CatchAllData" ma:web="680764f2-dead-424e-9767-2cb9a22869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3ad42a-a847-4375-8ac2-1b925d5e4610">
      <Terms xmlns="http://schemas.microsoft.com/office/infopath/2007/PartnerControls"/>
    </lcf76f155ced4ddcb4097134ff3c332f>
    <TaxCatchAll xmlns="680764f2-dead-424e-9767-2cb9a2286931" xsi:nil="true"/>
  </documentManagement>
</p:properties>
</file>

<file path=customXml/itemProps1.xml><?xml version="1.0" encoding="utf-8"?>
<ds:datastoreItem xmlns:ds="http://schemas.openxmlformats.org/officeDocument/2006/customXml" ds:itemID="{FFF74439-3402-F64B-BF30-9EB997F933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9C292F-D72D-4F19-A296-F4EEFC23D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ad42a-a847-4375-8ac2-1b925d5e4610"/>
    <ds:schemaRef ds:uri="680764f2-dead-424e-9767-2cb9a22869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5E600F-3321-425C-8462-54ABE6D4AA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C11A9E-DF8A-49B6-B550-4EDFAFE36184}">
  <ds:schemaRefs>
    <ds:schemaRef ds:uri="http://schemas.microsoft.com/office/2006/metadata/properties"/>
    <ds:schemaRef ds:uri="http://schemas.microsoft.com/office/infopath/2007/PartnerControls"/>
    <ds:schemaRef ds:uri="143ad42a-a847-4375-8ac2-1b925d5e4610"/>
    <ds:schemaRef ds:uri="680764f2-dead-424e-9767-2cb9a22869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660</Words>
  <Characters>3742</Characters>
  <Application>Microsoft Office Word</Application>
  <DocSecurity>0</DocSecurity>
  <Lines>98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4376</CharactersWithSpaces>
  <SharedDoc>false</SharedDoc>
  <HLinks>
    <vt:vector size="12" baseType="variant">
      <vt:variant>
        <vt:i4>3932279</vt:i4>
      </vt:variant>
      <vt:variant>
        <vt:i4>3</vt:i4>
      </vt:variant>
      <vt:variant>
        <vt:i4>0</vt:i4>
      </vt:variant>
      <vt:variant>
        <vt:i4>5</vt:i4>
      </vt:variant>
      <vt:variant>
        <vt:lpwstr>https://www.transparenciapresupuestaria.gob.mx/Obra-Publica-Abierta</vt:lpwstr>
      </vt:variant>
      <vt:variant>
        <vt:lpwstr/>
      </vt:variant>
      <vt:variant>
        <vt:i4>5439518</vt:i4>
      </vt:variant>
      <vt:variant>
        <vt:i4>0</vt:i4>
      </vt:variant>
      <vt:variant>
        <vt:i4>0</vt:i4>
      </vt:variant>
      <vt:variant>
        <vt:i4>5</vt:i4>
      </vt:variant>
      <vt:variant>
        <vt:lpwstr>https://www.proyectosmexico.gob.mx/proyectos/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Cevallos Maciel</dc:creator>
  <cp:keywords/>
  <dc:description/>
  <cp:lastModifiedBy>Christian Eduardo Lastire Olmedo</cp:lastModifiedBy>
  <cp:revision>14</cp:revision>
  <cp:lastPrinted>2026-02-13T01:11:00Z</cp:lastPrinted>
  <dcterms:created xsi:type="dcterms:W3CDTF">2026-04-15T00:01:00Z</dcterms:created>
  <dcterms:modified xsi:type="dcterms:W3CDTF">2026-04-15T03:27:00Z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0x0101008846F11B89C72D4DB6B90B63C3490928</vt:lpwstr>
  </property>
  <property fmtid="{D5CDD505-2E9C-101B-9397-08002B2CF9AE}" pid="3" name="MediaServiceImageTags">
    <vt:lpwstr/>
  </property>
</Properties>
</file>