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02FED06" w14:textId="511331B8" w:rsidR="004C6EA5" w:rsidRDefault="004C6EA5" w:rsidP="004C6EA5">
      <w:pPr>
        <w:keepNext/>
        <w:keepLines/>
        <w:spacing w:before="240" w:after="120"/>
        <w:jc w:val="center"/>
        <w:outlineLvl w:val="0"/>
        <w:rPr>
          <w:rFonts w:ascii="Noto Sans" w:eastAsia="Yu Gothic Light" w:hAnsi="Noto Sans" w:cs="Noto Sans"/>
          <w:b/>
          <w:szCs w:val="40"/>
          <w:lang w:val="es-ES"/>
        </w:rPr>
      </w:pPr>
      <w:r w:rsidRPr="00CE3405">
        <w:rPr>
          <w:rFonts w:ascii="Noto Sans" w:eastAsia="Yu Gothic Light" w:hAnsi="Noto Sans" w:cs="Noto Sans"/>
          <w:b/>
          <w:szCs w:val="40"/>
          <w:lang w:val="es-ES"/>
        </w:rPr>
        <w:t xml:space="preserve">Nota: </w:t>
      </w:r>
      <w:r w:rsidR="00E4532D">
        <w:rPr>
          <w:rFonts w:ascii="Noto Sans" w:eastAsia="Yu Gothic Light" w:hAnsi="Noto Sans" w:cs="Noto Sans"/>
          <w:b/>
          <w:szCs w:val="40"/>
          <w:lang w:val="es-ES"/>
        </w:rPr>
        <w:t xml:space="preserve">Pronunciamiento de la Corte Suprema de Estados Unidos sobre los aranceles </w:t>
      </w:r>
      <w:r w:rsidR="00E4532D" w:rsidRPr="00E4532D">
        <w:rPr>
          <w:rFonts w:ascii="Noto Sans" w:eastAsia="Yu Gothic Light" w:hAnsi="Noto Sans" w:cs="Noto Sans"/>
          <w:b/>
          <w:szCs w:val="40"/>
        </w:rPr>
        <w:t>bajo la Ley de Poderes Económicos de Emergencia Internacional</w:t>
      </w:r>
      <w:r w:rsidR="00E4532D">
        <w:rPr>
          <w:rFonts w:ascii="Noto Sans" w:eastAsia="Yu Gothic Light" w:hAnsi="Noto Sans" w:cs="Noto Sans"/>
          <w:b/>
          <w:szCs w:val="40"/>
        </w:rPr>
        <w:t xml:space="preserve"> (IEEPA)</w:t>
      </w:r>
    </w:p>
    <w:p w14:paraId="69A4B068" w14:textId="77777777" w:rsidR="004C6EA5" w:rsidRDefault="004C6EA5" w:rsidP="004C6EA5">
      <w:pPr>
        <w:keepNext/>
        <w:keepLines/>
        <w:spacing w:before="240" w:after="120"/>
        <w:jc w:val="center"/>
        <w:outlineLvl w:val="0"/>
        <w:rPr>
          <w:rFonts w:ascii="Noto Sans" w:eastAsia="Yu Gothic Light" w:hAnsi="Noto Sans" w:cs="Noto Sans"/>
          <w:b/>
          <w:szCs w:val="40"/>
          <w:lang w:val="es-ES"/>
        </w:rPr>
        <w:sectPr w:rsidR="004C6EA5" w:rsidSect="00D13415">
          <w:headerReference w:type="default" r:id="rId11"/>
          <w:footerReference w:type="default" r:id="rId12"/>
          <w:type w:val="continuous"/>
          <w:pgSz w:w="12240" w:h="15840"/>
          <w:pgMar w:top="2835" w:right="1021" w:bottom="2257" w:left="1021" w:header="709" w:footer="709" w:gutter="0"/>
          <w:cols w:space="708"/>
          <w:docGrid w:linePitch="360"/>
        </w:sectPr>
      </w:pPr>
    </w:p>
    <w:p w14:paraId="45DB67F6" w14:textId="72D1232C" w:rsidR="00261BE2" w:rsidRDefault="00261BE2" w:rsidP="00E4532D">
      <w:pPr>
        <w:spacing w:after="240"/>
        <w:jc w:val="both"/>
        <w:rPr>
          <w:rFonts w:ascii="Noto Sans" w:hAnsi="Noto Sans" w:cs="Noto Sans"/>
          <w:b/>
          <w:bCs/>
          <w:sz w:val="18"/>
          <w:szCs w:val="18"/>
        </w:rPr>
      </w:pPr>
      <w:r>
        <w:rPr>
          <w:rFonts w:ascii="Noto Sans" w:hAnsi="Noto Sans" w:cs="Noto Sans"/>
          <w:b/>
          <w:bCs/>
          <w:sz w:val="18"/>
          <w:szCs w:val="18"/>
        </w:rPr>
        <w:t>Principales puntos</w:t>
      </w:r>
    </w:p>
    <w:p w14:paraId="02F8FFC2" w14:textId="51BAAE33" w:rsidR="00261BE2" w:rsidRPr="007E5268" w:rsidRDefault="00A04E8F" w:rsidP="00261BE2">
      <w:pPr>
        <w:pStyle w:val="Prrafodelista"/>
        <w:numPr>
          <w:ilvl w:val="0"/>
          <w:numId w:val="11"/>
        </w:numPr>
        <w:spacing w:after="240"/>
        <w:jc w:val="both"/>
        <w:rPr>
          <w:rFonts w:ascii="Noto Sans" w:hAnsi="Noto Sans" w:cs="Noto Sans"/>
          <w:b/>
          <w:bCs/>
          <w:sz w:val="16"/>
          <w:szCs w:val="16"/>
        </w:rPr>
      </w:pPr>
      <w:r w:rsidRPr="007E5268">
        <w:rPr>
          <w:rFonts w:ascii="Noto Sans" w:hAnsi="Noto Sans" w:cs="Noto Sans"/>
          <w:b/>
          <w:bCs/>
          <w:sz w:val="16"/>
          <w:szCs w:val="16"/>
        </w:rPr>
        <w:t>El 20 de febrero de 2026, la Suprema Corte de Justicia de Estados Unidos declaró inconstitucionales los aranceles impuestos bajo la Ley de Poderes Económicos de Emergencia Internacional (IEEPA).</w:t>
      </w:r>
    </w:p>
    <w:p w14:paraId="4C8E48B7" w14:textId="223175D6" w:rsidR="00A04E8F" w:rsidRPr="007E5268" w:rsidRDefault="0006187F" w:rsidP="00261BE2">
      <w:pPr>
        <w:pStyle w:val="Prrafodelista"/>
        <w:numPr>
          <w:ilvl w:val="0"/>
          <w:numId w:val="11"/>
        </w:numPr>
        <w:spacing w:after="240"/>
        <w:jc w:val="both"/>
        <w:rPr>
          <w:rFonts w:ascii="Noto Sans" w:hAnsi="Noto Sans" w:cs="Noto Sans"/>
          <w:sz w:val="16"/>
          <w:szCs w:val="16"/>
        </w:rPr>
      </w:pPr>
      <w:r w:rsidRPr="007E5268">
        <w:rPr>
          <w:rFonts w:ascii="Noto Sans" w:hAnsi="Noto Sans" w:cs="Noto Sans"/>
          <w:sz w:val="16"/>
          <w:szCs w:val="16"/>
        </w:rPr>
        <w:t xml:space="preserve">Esta decisión </w:t>
      </w:r>
      <w:r w:rsidRPr="007E5268">
        <w:rPr>
          <w:rFonts w:ascii="Noto Sans" w:hAnsi="Noto Sans" w:cs="Noto Sans"/>
          <w:b/>
          <w:bCs/>
          <w:sz w:val="16"/>
          <w:szCs w:val="16"/>
        </w:rPr>
        <w:t>implicará que los siguientes aranceles dejen de estar vigentes</w:t>
      </w:r>
      <w:r w:rsidRPr="007E5268">
        <w:rPr>
          <w:rFonts w:ascii="Noto Sans" w:hAnsi="Noto Sans" w:cs="Noto Sans"/>
          <w:sz w:val="16"/>
          <w:szCs w:val="16"/>
        </w:rPr>
        <w:t xml:space="preserve">: i) 25 por ciento a México y Canadá por fentanilo, ii) los llamados aranceles recíprocos anunciados durante el denominado ‘Día de la Liberación’; iii) </w:t>
      </w:r>
      <w:r w:rsidR="0052141A" w:rsidRPr="007E5268">
        <w:rPr>
          <w:rFonts w:ascii="Noto Sans" w:hAnsi="Noto Sans" w:cs="Noto Sans"/>
          <w:sz w:val="16"/>
          <w:szCs w:val="16"/>
        </w:rPr>
        <w:t>otros aranceles específicos a China.</w:t>
      </w:r>
    </w:p>
    <w:p w14:paraId="6668F96E" w14:textId="33E0F908" w:rsidR="0006187F" w:rsidRPr="007E5268" w:rsidRDefault="0006187F" w:rsidP="00261BE2">
      <w:pPr>
        <w:pStyle w:val="Prrafodelista"/>
        <w:numPr>
          <w:ilvl w:val="0"/>
          <w:numId w:val="11"/>
        </w:numPr>
        <w:spacing w:after="240"/>
        <w:jc w:val="both"/>
        <w:rPr>
          <w:rFonts w:ascii="Noto Sans" w:hAnsi="Noto Sans" w:cs="Noto Sans"/>
          <w:sz w:val="16"/>
          <w:szCs w:val="16"/>
        </w:rPr>
      </w:pPr>
      <w:r w:rsidRPr="007E5268">
        <w:rPr>
          <w:rFonts w:ascii="Noto Sans" w:hAnsi="Noto Sans" w:cs="Noto Sans"/>
          <w:b/>
          <w:bCs/>
          <w:sz w:val="16"/>
          <w:szCs w:val="16"/>
        </w:rPr>
        <w:t>Sin embargo, permanecen</w:t>
      </w:r>
      <w:r w:rsidRPr="007E5268">
        <w:rPr>
          <w:rFonts w:ascii="Noto Sans" w:hAnsi="Noto Sans" w:cs="Noto Sans"/>
          <w:sz w:val="16"/>
          <w:szCs w:val="16"/>
        </w:rPr>
        <w:t xml:space="preserve"> los aranceles sectoriales, como </w:t>
      </w:r>
      <w:r w:rsidR="007E5268">
        <w:rPr>
          <w:rFonts w:ascii="Noto Sans" w:hAnsi="Noto Sans" w:cs="Noto Sans"/>
          <w:sz w:val="16"/>
          <w:szCs w:val="16"/>
        </w:rPr>
        <w:t>los de</w:t>
      </w:r>
      <w:r w:rsidRPr="007E5268">
        <w:rPr>
          <w:rFonts w:ascii="Noto Sans" w:hAnsi="Noto Sans" w:cs="Noto Sans"/>
          <w:sz w:val="16"/>
          <w:szCs w:val="16"/>
        </w:rPr>
        <w:t xml:space="preserve"> productos automotrices, acero, cobre, aluminio y vehículos pesados.</w:t>
      </w:r>
    </w:p>
    <w:p w14:paraId="20B6AC62" w14:textId="58BE6F63" w:rsidR="0052141A" w:rsidRPr="007E5268" w:rsidRDefault="0052141A" w:rsidP="00261BE2">
      <w:pPr>
        <w:pStyle w:val="Prrafodelista"/>
        <w:numPr>
          <w:ilvl w:val="0"/>
          <w:numId w:val="11"/>
        </w:numPr>
        <w:spacing w:after="240"/>
        <w:jc w:val="both"/>
        <w:rPr>
          <w:rFonts w:ascii="Noto Sans" w:hAnsi="Noto Sans" w:cs="Noto Sans"/>
          <w:sz w:val="16"/>
          <w:szCs w:val="16"/>
        </w:rPr>
      </w:pPr>
      <w:r w:rsidRPr="007E5268">
        <w:rPr>
          <w:rFonts w:ascii="Noto Sans" w:hAnsi="Noto Sans" w:cs="Noto Sans"/>
          <w:b/>
          <w:bCs/>
          <w:sz w:val="16"/>
          <w:szCs w:val="16"/>
        </w:rPr>
        <w:t>Acciones del Gobierno de Estados Unidos</w:t>
      </w:r>
      <w:r w:rsidRPr="007E5268">
        <w:rPr>
          <w:rFonts w:ascii="Noto Sans" w:hAnsi="Noto Sans" w:cs="Noto Sans"/>
          <w:sz w:val="16"/>
          <w:szCs w:val="16"/>
        </w:rPr>
        <w:t>: En conferencia de prensa</w:t>
      </w:r>
      <w:r w:rsidR="00DC2C70" w:rsidRPr="007E5268">
        <w:rPr>
          <w:rFonts w:ascii="Noto Sans" w:hAnsi="Noto Sans" w:cs="Noto Sans"/>
          <w:sz w:val="16"/>
          <w:szCs w:val="16"/>
        </w:rPr>
        <w:t xml:space="preserve"> del 20 de febrero</w:t>
      </w:r>
      <w:r w:rsidRPr="007E5268">
        <w:rPr>
          <w:rFonts w:ascii="Noto Sans" w:hAnsi="Noto Sans" w:cs="Noto Sans"/>
          <w:sz w:val="16"/>
          <w:szCs w:val="16"/>
        </w:rPr>
        <w:t>, el presidente de Estados Unidos declaró que establecerá un arancel del 10%</w:t>
      </w:r>
      <w:r w:rsidR="0047303E" w:rsidRPr="007E5268">
        <w:rPr>
          <w:rFonts w:ascii="Noto Sans" w:hAnsi="Noto Sans" w:cs="Noto Sans"/>
          <w:sz w:val="16"/>
          <w:szCs w:val="16"/>
        </w:rPr>
        <w:t xml:space="preserve"> </w:t>
      </w:r>
      <w:r w:rsidR="00DF34A5" w:rsidRPr="007E5268">
        <w:rPr>
          <w:rFonts w:ascii="Noto Sans" w:hAnsi="Noto Sans" w:cs="Noto Sans"/>
          <w:b/>
          <w:bCs/>
          <w:sz w:val="16"/>
          <w:szCs w:val="16"/>
        </w:rPr>
        <w:t xml:space="preserve">adicional a los que se encuentran vigentes </w:t>
      </w:r>
      <w:r w:rsidR="0047303E" w:rsidRPr="007E5268">
        <w:rPr>
          <w:rFonts w:ascii="Noto Sans" w:hAnsi="Noto Sans" w:cs="Noto Sans"/>
          <w:sz w:val="16"/>
          <w:szCs w:val="16"/>
        </w:rPr>
        <w:t xml:space="preserve">utilizando la </w:t>
      </w:r>
      <w:r w:rsidR="0047303E" w:rsidRPr="007E5268">
        <w:rPr>
          <w:rFonts w:ascii="Noto Sans" w:hAnsi="Noto Sans" w:cs="Noto Sans"/>
          <w:b/>
          <w:bCs/>
          <w:sz w:val="16"/>
          <w:szCs w:val="16"/>
        </w:rPr>
        <w:t>Sección 122,</w:t>
      </w:r>
      <w:r w:rsidRPr="007E5268">
        <w:rPr>
          <w:rFonts w:ascii="Noto Sans" w:hAnsi="Noto Sans" w:cs="Noto Sans"/>
          <w:sz w:val="16"/>
          <w:szCs w:val="16"/>
        </w:rPr>
        <w:t xml:space="preserve"> </w:t>
      </w:r>
      <w:r w:rsidR="00DF34A5" w:rsidRPr="007E5268">
        <w:rPr>
          <w:rFonts w:ascii="Noto Sans" w:hAnsi="Noto Sans" w:cs="Noto Sans"/>
          <w:sz w:val="16"/>
          <w:szCs w:val="16"/>
        </w:rPr>
        <w:t>la</w:t>
      </w:r>
      <w:r w:rsidR="0047303E" w:rsidRPr="007E5268">
        <w:rPr>
          <w:rFonts w:ascii="Noto Sans" w:hAnsi="Noto Sans" w:cs="Noto Sans"/>
          <w:sz w:val="16"/>
          <w:szCs w:val="16"/>
        </w:rPr>
        <w:t xml:space="preserve"> cual otorga al Presidente la facultad de establecer aranceles de hasta el </w:t>
      </w:r>
      <w:r w:rsidR="0047303E" w:rsidRPr="007E5268">
        <w:rPr>
          <w:rFonts w:ascii="Noto Sans" w:hAnsi="Noto Sans" w:cs="Noto Sans"/>
          <w:b/>
          <w:bCs/>
          <w:sz w:val="16"/>
          <w:szCs w:val="16"/>
        </w:rPr>
        <w:t>15% por un periodo de 150 días</w:t>
      </w:r>
      <w:r w:rsidR="0047303E" w:rsidRPr="007E5268">
        <w:rPr>
          <w:rFonts w:ascii="Noto Sans" w:hAnsi="Noto Sans" w:cs="Noto Sans"/>
          <w:sz w:val="16"/>
          <w:szCs w:val="16"/>
        </w:rPr>
        <w:t>.</w:t>
      </w:r>
      <w:r w:rsidR="00DC2C70" w:rsidRPr="007E5268">
        <w:rPr>
          <w:rFonts w:ascii="Noto Sans" w:hAnsi="Noto Sans" w:cs="Noto Sans"/>
          <w:sz w:val="16"/>
          <w:szCs w:val="16"/>
        </w:rPr>
        <w:t xml:space="preserve"> De acuerdo con lo declarado en la conferencia de prensa, estos aranceles estarán </w:t>
      </w:r>
      <w:r w:rsidR="00DC2C70" w:rsidRPr="007E5268">
        <w:rPr>
          <w:rFonts w:ascii="Noto Sans" w:hAnsi="Noto Sans" w:cs="Noto Sans"/>
          <w:b/>
          <w:bCs/>
          <w:sz w:val="16"/>
          <w:szCs w:val="16"/>
        </w:rPr>
        <w:t xml:space="preserve">vigentes </w:t>
      </w:r>
      <w:r w:rsidR="00DF34A5" w:rsidRPr="007E5268">
        <w:rPr>
          <w:rFonts w:ascii="Noto Sans" w:hAnsi="Noto Sans" w:cs="Noto Sans"/>
          <w:b/>
          <w:bCs/>
          <w:sz w:val="16"/>
          <w:szCs w:val="16"/>
        </w:rPr>
        <w:t>dentro de tres días</w:t>
      </w:r>
      <w:r w:rsidR="00DC2C70" w:rsidRPr="007E5268">
        <w:rPr>
          <w:rFonts w:ascii="Noto Sans" w:hAnsi="Noto Sans" w:cs="Noto Sans"/>
          <w:sz w:val="16"/>
          <w:szCs w:val="16"/>
        </w:rPr>
        <w:t>.</w:t>
      </w:r>
    </w:p>
    <w:p w14:paraId="2057069E" w14:textId="446F2C93" w:rsidR="0047303E" w:rsidRPr="0047303E" w:rsidRDefault="0047303E" w:rsidP="0047303E">
      <w:pPr>
        <w:pStyle w:val="Prrafodelista"/>
        <w:numPr>
          <w:ilvl w:val="0"/>
          <w:numId w:val="11"/>
        </w:numPr>
        <w:spacing w:after="240"/>
        <w:jc w:val="both"/>
        <w:rPr>
          <w:rFonts w:ascii="Noto Sans" w:hAnsi="Noto Sans" w:cs="Noto Sans"/>
          <w:sz w:val="18"/>
          <w:szCs w:val="18"/>
        </w:rPr>
      </w:pPr>
      <w:r w:rsidRPr="007E5268">
        <w:rPr>
          <w:rFonts w:ascii="Noto Sans" w:hAnsi="Noto Sans" w:cs="Noto Sans"/>
          <w:b/>
          <w:bCs/>
          <w:sz w:val="16"/>
          <w:szCs w:val="16"/>
        </w:rPr>
        <w:t>Impacto para México</w:t>
      </w:r>
      <w:r w:rsidRPr="007E5268">
        <w:rPr>
          <w:rFonts w:ascii="Noto Sans" w:hAnsi="Noto Sans" w:cs="Noto Sans"/>
          <w:sz w:val="16"/>
          <w:szCs w:val="16"/>
        </w:rPr>
        <w:t xml:space="preserve">: </w:t>
      </w:r>
      <w:r w:rsidR="007177F8" w:rsidRPr="007E5268">
        <w:rPr>
          <w:rFonts w:ascii="Noto Sans" w:hAnsi="Noto Sans" w:cs="Noto Sans"/>
          <w:sz w:val="16"/>
          <w:szCs w:val="16"/>
        </w:rPr>
        <w:t>A</w:t>
      </w:r>
      <w:r w:rsidRPr="007E5268">
        <w:rPr>
          <w:rFonts w:ascii="Noto Sans" w:hAnsi="Noto Sans" w:cs="Noto Sans"/>
          <w:sz w:val="16"/>
          <w:szCs w:val="16"/>
        </w:rPr>
        <w:t xml:space="preserve">ún es incierto cómo se impondrán los aranceles de la </w:t>
      </w:r>
      <w:r w:rsidRPr="007E5268">
        <w:rPr>
          <w:rFonts w:ascii="Noto Sans" w:hAnsi="Noto Sans" w:cs="Noto Sans"/>
          <w:b/>
          <w:bCs/>
          <w:sz w:val="16"/>
          <w:szCs w:val="16"/>
        </w:rPr>
        <w:t>Sección</w:t>
      </w:r>
      <w:r w:rsidR="007E5268">
        <w:rPr>
          <w:rFonts w:ascii="Noto Sans" w:hAnsi="Noto Sans" w:cs="Noto Sans"/>
          <w:b/>
          <w:bCs/>
          <w:sz w:val="16"/>
          <w:szCs w:val="16"/>
        </w:rPr>
        <w:t xml:space="preserve"> 122</w:t>
      </w:r>
      <w:r w:rsidR="007177F8" w:rsidRPr="007E5268">
        <w:rPr>
          <w:rFonts w:ascii="Noto Sans" w:hAnsi="Noto Sans" w:cs="Noto Sans"/>
          <w:b/>
          <w:bCs/>
          <w:sz w:val="16"/>
          <w:szCs w:val="16"/>
        </w:rPr>
        <w:t xml:space="preserve">. </w:t>
      </w:r>
      <w:r w:rsidR="007177F8" w:rsidRPr="007E5268">
        <w:rPr>
          <w:rFonts w:ascii="Noto Sans" w:hAnsi="Noto Sans" w:cs="Noto Sans"/>
          <w:sz w:val="16"/>
          <w:szCs w:val="16"/>
        </w:rPr>
        <w:t>Si esta medida no afecta a los bienes que ingresan mediante el T-MEC,</w:t>
      </w:r>
      <w:r w:rsidRPr="007E5268">
        <w:rPr>
          <w:rFonts w:ascii="Noto Sans" w:hAnsi="Noto Sans" w:cs="Noto Sans"/>
          <w:sz w:val="16"/>
          <w:szCs w:val="16"/>
        </w:rPr>
        <w:t xml:space="preserve"> </w:t>
      </w:r>
      <w:r w:rsidR="00524B32" w:rsidRPr="007E5268">
        <w:rPr>
          <w:rFonts w:ascii="Noto Sans" w:hAnsi="Noto Sans" w:cs="Noto Sans"/>
          <w:sz w:val="16"/>
          <w:szCs w:val="16"/>
        </w:rPr>
        <w:t xml:space="preserve">esto aumentaría </w:t>
      </w:r>
      <w:r w:rsidR="00B4293E">
        <w:rPr>
          <w:rFonts w:ascii="Noto Sans" w:hAnsi="Noto Sans" w:cs="Noto Sans"/>
          <w:sz w:val="16"/>
          <w:szCs w:val="16"/>
        </w:rPr>
        <w:t xml:space="preserve">solo </w:t>
      </w:r>
      <w:r w:rsidR="00524B32" w:rsidRPr="007E5268">
        <w:rPr>
          <w:rFonts w:ascii="Noto Sans" w:hAnsi="Noto Sans" w:cs="Noto Sans"/>
          <w:sz w:val="16"/>
          <w:szCs w:val="16"/>
        </w:rPr>
        <w:t>los aranceles sectoriales que actualmente está pagando México. Si afecta a los bienes que ingresan mediante el tratado, podría implicar que México pierda parte de la ventaja relativa que tenía con respecto a otros países</w:t>
      </w:r>
      <w:r w:rsidR="00524B32">
        <w:rPr>
          <w:rFonts w:ascii="Noto Sans" w:hAnsi="Noto Sans" w:cs="Noto Sans"/>
          <w:sz w:val="18"/>
          <w:szCs w:val="18"/>
        </w:rPr>
        <w:t>.</w:t>
      </w:r>
    </w:p>
    <w:p w14:paraId="57DE14D8" w14:textId="6181A673" w:rsidR="00E4532D" w:rsidRPr="00E4532D" w:rsidRDefault="00E4532D" w:rsidP="00E4532D">
      <w:pPr>
        <w:spacing w:after="240"/>
        <w:jc w:val="both"/>
        <w:rPr>
          <w:rFonts w:ascii="Noto Sans" w:hAnsi="Noto Sans" w:cs="Noto Sans"/>
          <w:sz w:val="18"/>
          <w:szCs w:val="18"/>
        </w:rPr>
      </w:pPr>
      <w:r w:rsidRPr="00E4532D">
        <w:rPr>
          <w:rFonts w:ascii="Noto Sans" w:hAnsi="Noto Sans" w:cs="Noto Sans"/>
          <w:b/>
          <w:bCs/>
          <w:sz w:val="18"/>
          <w:szCs w:val="18"/>
        </w:rPr>
        <w:t>Aranceles de la Ley de Poderes Económicos de Emergencia Internacional (IEEPA)</w:t>
      </w:r>
    </w:p>
    <w:p w14:paraId="6E106C95" w14:textId="33DD9D08" w:rsidR="004C6EA5" w:rsidRPr="007F05E9" w:rsidRDefault="00E4532D" w:rsidP="004C6EA5">
      <w:pPr>
        <w:spacing w:after="240"/>
        <w:jc w:val="both"/>
        <w:rPr>
          <w:rFonts w:ascii="Noto Sans" w:hAnsi="Noto Sans" w:cs="Noto Sans"/>
          <w:sz w:val="18"/>
          <w:szCs w:val="18"/>
        </w:rPr>
      </w:pPr>
      <w:r>
        <w:rPr>
          <w:rFonts w:ascii="Noto Sans" w:hAnsi="Noto Sans" w:cs="Noto Sans"/>
          <w:sz w:val="18"/>
          <w:szCs w:val="18"/>
        </w:rPr>
        <w:t>Mediante la</w:t>
      </w:r>
      <w:r w:rsidR="004C6EA5" w:rsidRPr="007F05E9">
        <w:rPr>
          <w:rFonts w:ascii="Noto Sans" w:hAnsi="Noto Sans" w:cs="Noto Sans"/>
          <w:sz w:val="18"/>
          <w:szCs w:val="18"/>
        </w:rPr>
        <w:t xml:space="preserve"> </w:t>
      </w:r>
      <w:r w:rsidR="004C6EA5" w:rsidRPr="007F05E9">
        <w:rPr>
          <w:rFonts w:ascii="Noto Sans" w:hAnsi="Noto Sans" w:cs="Noto Sans"/>
          <w:b/>
          <w:bCs/>
          <w:sz w:val="18"/>
          <w:szCs w:val="18"/>
        </w:rPr>
        <w:t>Ley de Poderes Económicos de Emergencia Internacional (IEEPA)</w:t>
      </w:r>
      <w:r w:rsidR="004C6EA5" w:rsidRPr="007F05E9">
        <w:rPr>
          <w:rStyle w:val="Refdenotaalpie"/>
          <w:rFonts w:ascii="Noto Sans" w:hAnsi="Noto Sans" w:cs="Noto Sans"/>
          <w:b/>
          <w:bCs/>
          <w:sz w:val="18"/>
          <w:szCs w:val="18"/>
        </w:rPr>
        <w:footnoteReference w:id="1"/>
      </w:r>
      <w:r w:rsidR="004C6EA5" w:rsidRPr="007F05E9">
        <w:rPr>
          <w:rFonts w:ascii="Noto Sans" w:hAnsi="Noto Sans" w:cs="Noto Sans"/>
          <w:sz w:val="18"/>
          <w:szCs w:val="18"/>
        </w:rPr>
        <w:t xml:space="preserve"> </w:t>
      </w:r>
      <w:r>
        <w:rPr>
          <w:rFonts w:ascii="Noto Sans" w:hAnsi="Noto Sans" w:cs="Noto Sans"/>
          <w:sz w:val="18"/>
          <w:szCs w:val="18"/>
        </w:rPr>
        <w:t xml:space="preserve">durante 2025, el gobierno de Estados Unidos </w:t>
      </w:r>
      <w:r w:rsidR="004C6EA5" w:rsidRPr="007F05E9">
        <w:rPr>
          <w:rFonts w:ascii="Noto Sans" w:hAnsi="Noto Sans" w:cs="Noto Sans"/>
          <w:sz w:val="18"/>
          <w:szCs w:val="18"/>
        </w:rPr>
        <w:t>establec</w:t>
      </w:r>
      <w:r>
        <w:rPr>
          <w:rFonts w:ascii="Noto Sans" w:hAnsi="Noto Sans" w:cs="Noto Sans"/>
          <w:sz w:val="18"/>
          <w:szCs w:val="18"/>
        </w:rPr>
        <w:t>ió</w:t>
      </w:r>
      <w:r w:rsidR="004C6EA5" w:rsidRPr="007F05E9">
        <w:rPr>
          <w:rFonts w:ascii="Noto Sans" w:hAnsi="Noto Sans" w:cs="Noto Sans"/>
          <w:sz w:val="18"/>
          <w:szCs w:val="18"/>
        </w:rPr>
        <w:t xml:space="preserve"> </w:t>
      </w:r>
      <w:r>
        <w:rPr>
          <w:rFonts w:ascii="Noto Sans" w:hAnsi="Noto Sans" w:cs="Noto Sans"/>
          <w:sz w:val="18"/>
          <w:szCs w:val="18"/>
        </w:rPr>
        <w:t xml:space="preserve">los siguientes </w:t>
      </w:r>
      <w:r w:rsidR="004C6EA5" w:rsidRPr="007F05E9">
        <w:rPr>
          <w:rFonts w:ascii="Noto Sans" w:hAnsi="Noto Sans" w:cs="Noto Sans"/>
          <w:sz w:val="18"/>
          <w:szCs w:val="18"/>
        </w:rPr>
        <w:t>aranceles:</w:t>
      </w:r>
    </w:p>
    <w:p w14:paraId="4F7E92DF" w14:textId="6C8D5D2B" w:rsidR="004C6EA5" w:rsidRPr="00E4532D" w:rsidRDefault="004C6EA5" w:rsidP="004C6EA5">
      <w:pPr>
        <w:pStyle w:val="Prrafodelista"/>
        <w:numPr>
          <w:ilvl w:val="0"/>
          <w:numId w:val="7"/>
        </w:numPr>
        <w:spacing w:after="240"/>
        <w:jc w:val="both"/>
        <w:rPr>
          <w:rFonts w:ascii="Noto Sans" w:hAnsi="Noto Sans" w:cs="Noto Sans"/>
          <w:b/>
          <w:sz w:val="18"/>
          <w:szCs w:val="18"/>
          <w:lang w:val="es-ES"/>
        </w:rPr>
      </w:pPr>
      <w:r w:rsidRPr="007F05E9">
        <w:rPr>
          <w:rFonts w:ascii="Noto Sans" w:hAnsi="Noto Sans" w:cs="Noto Sans"/>
          <w:b/>
          <w:sz w:val="18"/>
          <w:szCs w:val="18"/>
          <w:lang w:val="es-ES"/>
        </w:rPr>
        <w:t>Aranceles Globales y por Seguridad Nacional</w:t>
      </w:r>
      <w:r w:rsidR="00E4532D">
        <w:rPr>
          <w:rFonts w:ascii="Noto Sans" w:hAnsi="Noto Sans" w:cs="Noto Sans"/>
          <w:b/>
          <w:sz w:val="18"/>
          <w:szCs w:val="18"/>
          <w:lang w:val="es-ES"/>
        </w:rPr>
        <w:t>:</w:t>
      </w:r>
      <w:r w:rsidRPr="007F05E9">
        <w:rPr>
          <w:rStyle w:val="Refdenotaalpie"/>
          <w:rFonts w:ascii="Noto Sans" w:hAnsi="Noto Sans" w:cs="Noto Sans"/>
          <w:sz w:val="18"/>
          <w:szCs w:val="18"/>
          <w:lang w:val="es-ES"/>
        </w:rPr>
        <w:footnoteReference w:id="2"/>
      </w:r>
      <w:r w:rsidR="00E4532D">
        <w:rPr>
          <w:rFonts w:ascii="Noto Sans" w:hAnsi="Noto Sans" w:cs="Noto Sans"/>
          <w:sz w:val="18"/>
          <w:szCs w:val="18"/>
          <w:lang w:val="es-ES"/>
        </w:rPr>
        <w:t xml:space="preserve"> Incluye las siguientes medidas:</w:t>
      </w:r>
    </w:p>
    <w:p w14:paraId="45D564A8" w14:textId="77777777" w:rsidR="004C6EA5" w:rsidRPr="007F05E9" w:rsidRDefault="004C6EA5" w:rsidP="004C6EA5">
      <w:pPr>
        <w:pStyle w:val="Prrafodelista"/>
        <w:numPr>
          <w:ilvl w:val="0"/>
          <w:numId w:val="8"/>
        </w:numPr>
        <w:jc w:val="both"/>
        <w:rPr>
          <w:rFonts w:ascii="Noto Sans" w:hAnsi="Noto Sans" w:cs="Noto Sans"/>
          <w:sz w:val="18"/>
          <w:szCs w:val="18"/>
          <w:lang w:val="es-ES"/>
        </w:rPr>
      </w:pPr>
      <w:r w:rsidRPr="00E4532D">
        <w:rPr>
          <w:rFonts w:ascii="Noto Sans" w:hAnsi="Noto Sans" w:cs="Noto Sans"/>
          <w:sz w:val="18"/>
          <w:szCs w:val="18"/>
          <w:u w:val="single"/>
          <w:lang w:val="es-ES"/>
        </w:rPr>
        <w:t>Arancel Universal de Importación</w:t>
      </w:r>
      <w:r w:rsidRPr="007F05E9">
        <w:rPr>
          <w:rFonts w:ascii="Noto Sans" w:hAnsi="Noto Sans" w:cs="Noto Sans"/>
          <w:sz w:val="18"/>
          <w:szCs w:val="18"/>
          <w:lang w:val="es-ES"/>
        </w:rPr>
        <w:t>: Un derecho de aduana general del 10% sobre casi todas las importaciones, aplicado con el fin de incentivar la producción nacional</w:t>
      </w:r>
      <w:r w:rsidRPr="007F05E9">
        <w:rPr>
          <w:rStyle w:val="Refdenotaalpie"/>
          <w:rFonts w:ascii="Noto Sans" w:hAnsi="Noto Sans" w:cs="Noto Sans"/>
          <w:sz w:val="18"/>
          <w:szCs w:val="18"/>
          <w:lang w:val="es-ES"/>
        </w:rPr>
        <w:footnoteReference w:id="3"/>
      </w:r>
      <w:r w:rsidRPr="007F05E9">
        <w:rPr>
          <w:rFonts w:ascii="Noto Sans" w:hAnsi="Noto Sans" w:cs="Noto Sans"/>
          <w:sz w:val="18"/>
          <w:szCs w:val="18"/>
          <w:lang w:val="es-ES"/>
        </w:rPr>
        <w:t>.</w:t>
      </w:r>
    </w:p>
    <w:p w14:paraId="26834D3C" w14:textId="3DE93172" w:rsidR="004C6EA5" w:rsidRPr="007F05E9" w:rsidRDefault="004C6EA5" w:rsidP="004C6EA5">
      <w:pPr>
        <w:pStyle w:val="Prrafodelista"/>
        <w:numPr>
          <w:ilvl w:val="0"/>
          <w:numId w:val="8"/>
        </w:numPr>
        <w:spacing w:after="240"/>
        <w:jc w:val="both"/>
        <w:rPr>
          <w:rFonts w:ascii="Noto Sans" w:hAnsi="Noto Sans" w:cs="Noto Sans"/>
          <w:sz w:val="18"/>
          <w:szCs w:val="18"/>
          <w:lang w:val="es-ES"/>
        </w:rPr>
      </w:pPr>
      <w:r w:rsidRPr="00E4532D">
        <w:rPr>
          <w:rFonts w:ascii="Noto Sans" w:hAnsi="Noto Sans" w:cs="Noto Sans"/>
          <w:sz w:val="18"/>
          <w:szCs w:val="18"/>
          <w:u w:val="single"/>
          <w:lang w:val="es-ES"/>
        </w:rPr>
        <w:t>Aranceles por Narcotráfico (</w:t>
      </w:r>
      <w:proofErr w:type="spellStart"/>
      <w:r w:rsidRPr="00524B32">
        <w:rPr>
          <w:rFonts w:ascii="Noto Sans" w:hAnsi="Noto Sans" w:cs="Noto Sans"/>
          <w:i/>
          <w:iCs/>
          <w:sz w:val="18"/>
          <w:szCs w:val="18"/>
          <w:u w:val="single"/>
          <w:lang w:val="es-ES"/>
        </w:rPr>
        <w:t>Fentanyl</w:t>
      </w:r>
      <w:proofErr w:type="spellEnd"/>
      <w:r w:rsidRPr="00524B32">
        <w:rPr>
          <w:rFonts w:ascii="Noto Sans" w:hAnsi="Noto Sans" w:cs="Noto Sans"/>
          <w:i/>
          <w:iCs/>
          <w:sz w:val="18"/>
          <w:szCs w:val="18"/>
          <w:u w:val="single"/>
          <w:lang w:val="es-ES"/>
        </w:rPr>
        <w:t xml:space="preserve"> </w:t>
      </w:r>
      <w:proofErr w:type="spellStart"/>
      <w:r w:rsidRPr="00524B32">
        <w:rPr>
          <w:rFonts w:ascii="Noto Sans" w:hAnsi="Noto Sans" w:cs="Noto Sans"/>
          <w:i/>
          <w:iCs/>
          <w:sz w:val="18"/>
          <w:szCs w:val="18"/>
          <w:u w:val="single"/>
          <w:lang w:val="es-ES"/>
        </w:rPr>
        <w:t>Tariffs</w:t>
      </w:r>
      <w:proofErr w:type="spellEnd"/>
      <w:r w:rsidRPr="00E4532D">
        <w:rPr>
          <w:rFonts w:ascii="Noto Sans" w:hAnsi="Noto Sans" w:cs="Noto Sans"/>
          <w:sz w:val="18"/>
          <w:szCs w:val="18"/>
          <w:u w:val="single"/>
          <w:lang w:val="es-ES"/>
        </w:rPr>
        <w:t>)</w:t>
      </w:r>
      <w:r w:rsidRPr="007F05E9">
        <w:rPr>
          <w:rFonts w:ascii="Noto Sans" w:hAnsi="Noto Sans" w:cs="Noto Sans"/>
          <w:sz w:val="18"/>
          <w:szCs w:val="18"/>
          <w:lang w:val="es-ES"/>
        </w:rPr>
        <w:t>: Se aplicaron gravámenes adicionales del 25% a países identificados como rutas de tránsito de precursores químicos (específicamente México y Canadá)</w:t>
      </w:r>
      <w:r w:rsidR="00E4532D">
        <w:rPr>
          <w:rFonts w:ascii="Noto Sans" w:hAnsi="Noto Sans" w:cs="Noto Sans"/>
          <w:sz w:val="18"/>
          <w:szCs w:val="18"/>
          <w:lang w:val="es-ES"/>
        </w:rPr>
        <w:t>.</w:t>
      </w:r>
      <w:r w:rsidRPr="007F05E9">
        <w:rPr>
          <w:rStyle w:val="Refdenotaalpie"/>
          <w:rFonts w:ascii="Noto Sans" w:hAnsi="Noto Sans" w:cs="Noto Sans"/>
          <w:sz w:val="18"/>
          <w:szCs w:val="18"/>
          <w:lang w:val="es-ES"/>
        </w:rPr>
        <w:footnoteReference w:id="4"/>
      </w:r>
    </w:p>
    <w:p w14:paraId="1636C639" w14:textId="77777777" w:rsidR="004C6EA5" w:rsidRPr="007F05E9" w:rsidRDefault="004C6EA5" w:rsidP="004C6EA5">
      <w:pPr>
        <w:pStyle w:val="Prrafodelista"/>
        <w:spacing w:after="240"/>
        <w:ind w:left="360"/>
        <w:jc w:val="both"/>
        <w:rPr>
          <w:rFonts w:ascii="Noto Sans" w:hAnsi="Noto Sans" w:cs="Noto Sans"/>
          <w:sz w:val="18"/>
          <w:szCs w:val="18"/>
          <w:lang w:val="es-ES"/>
        </w:rPr>
      </w:pPr>
    </w:p>
    <w:p w14:paraId="3748350E" w14:textId="0BCFCBCF" w:rsidR="004C6EA5" w:rsidRPr="00E4532D" w:rsidRDefault="00E4532D" w:rsidP="004C6EA5">
      <w:pPr>
        <w:pStyle w:val="Prrafodelista"/>
        <w:numPr>
          <w:ilvl w:val="0"/>
          <w:numId w:val="7"/>
        </w:numPr>
        <w:spacing w:after="240"/>
        <w:jc w:val="both"/>
        <w:rPr>
          <w:rFonts w:ascii="Noto Sans" w:hAnsi="Noto Sans" w:cs="Noto Sans"/>
          <w:b/>
          <w:sz w:val="18"/>
          <w:szCs w:val="18"/>
          <w:lang w:val="es-ES"/>
        </w:rPr>
      </w:pPr>
      <w:r>
        <w:rPr>
          <w:rFonts w:ascii="Noto Sans" w:hAnsi="Noto Sans" w:cs="Noto Sans"/>
          <w:b/>
          <w:sz w:val="18"/>
          <w:szCs w:val="18"/>
          <w:lang w:val="es-ES"/>
        </w:rPr>
        <w:t>A</w:t>
      </w:r>
      <w:r w:rsidR="004C6EA5" w:rsidRPr="007F05E9">
        <w:rPr>
          <w:rFonts w:ascii="Noto Sans" w:hAnsi="Noto Sans" w:cs="Noto Sans"/>
          <w:b/>
          <w:sz w:val="18"/>
          <w:szCs w:val="18"/>
          <w:lang w:val="es-ES"/>
        </w:rPr>
        <w:t>ranceles recíprocos</w:t>
      </w:r>
      <w:r>
        <w:rPr>
          <w:rFonts w:ascii="Noto Sans" w:hAnsi="Noto Sans" w:cs="Noto Sans"/>
          <w:b/>
          <w:sz w:val="18"/>
          <w:szCs w:val="18"/>
          <w:lang w:val="es-ES"/>
        </w:rPr>
        <w:t xml:space="preserve">: </w:t>
      </w:r>
      <w:r w:rsidR="004C6EA5" w:rsidRPr="00E4532D">
        <w:rPr>
          <w:rFonts w:ascii="Noto Sans" w:hAnsi="Noto Sans" w:cs="Noto Sans"/>
          <w:sz w:val="18"/>
          <w:szCs w:val="18"/>
          <w:lang w:val="es-ES"/>
        </w:rPr>
        <w:t xml:space="preserve">Bajo el concepto de reciprocidad comercial, se utilizó la ley para igualar las condiciones frente a socios internacionales cuyas tasas superaban las </w:t>
      </w:r>
      <w:r w:rsidR="004C6EA5" w:rsidRPr="00E4532D">
        <w:rPr>
          <w:rFonts w:ascii="Noto Sans" w:hAnsi="Noto Sans" w:cs="Noto Sans"/>
          <w:sz w:val="18"/>
          <w:lang w:val="es-ES"/>
        </w:rPr>
        <w:t>estadounidenses</w:t>
      </w:r>
      <w:r w:rsidR="004C6EA5" w:rsidRPr="00F914F2">
        <w:rPr>
          <w:rStyle w:val="Refdenotaalpie"/>
          <w:rFonts w:ascii="Noto Sans" w:hAnsi="Noto Sans" w:cs="Noto Sans"/>
          <w:sz w:val="18"/>
          <w:lang w:val="es-ES"/>
        </w:rPr>
        <w:footnoteReference w:id="5"/>
      </w:r>
      <w:r w:rsidR="004C6EA5" w:rsidRPr="00E4532D">
        <w:rPr>
          <w:rFonts w:ascii="Noto Sans" w:hAnsi="Noto Sans" w:cs="Noto Sans"/>
          <w:sz w:val="18"/>
          <w:lang w:val="es-ES"/>
        </w:rPr>
        <w:t>, bajo los parámetros detallados en el cuadro 1.</w:t>
      </w:r>
    </w:p>
    <w:p w14:paraId="6591487B" w14:textId="46259D7F" w:rsidR="004C6EA5" w:rsidRPr="00587105" w:rsidRDefault="004C6EA5" w:rsidP="00E4532D">
      <w:pPr>
        <w:keepNext/>
        <w:jc w:val="both"/>
        <w:rPr>
          <w:rFonts w:ascii="Noto Sans" w:hAnsi="Noto Sans" w:cs="Noto Sans"/>
          <w:b/>
          <w:sz w:val="16"/>
          <w:lang w:val="es-ES"/>
        </w:rPr>
      </w:pPr>
      <w:r w:rsidRPr="00587105">
        <w:rPr>
          <w:rFonts w:ascii="Noto Sans" w:hAnsi="Noto Sans" w:cs="Noto Sans"/>
          <w:b/>
          <w:sz w:val="16"/>
          <w:lang w:val="es-ES"/>
        </w:rPr>
        <w:lastRenderedPageBreak/>
        <w:t xml:space="preserve">Cuadro 1. Estructura de aranceles </w:t>
      </w:r>
      <w:r w:rsidR="00256E2B" w:rsidRPr="00587105">
        <w:rPr>
          <w:rFonts w:ascii="Noto Sans" w:hAnsi="Noto Sans" w:cs="Noto Sans"/>
          <w:b/>
          <w:sz w:val="16"/>
          <w:lang w:val="es-ES"/>
        </w:rPr>
        <w:t>recíprocos</w:t>
      </w:r>
      <w:r w:rsidRPr="00587105">
        <w:rPr>
          <w:rFonts w:ascii="Noto Sans" w:hAnsi="Noto Sans" w:cs="Noto Sans"/>
          <w:b/>
          <w:sz w:val="16"/>
          <w:lang w:val="es-ES"/>
        </w:rPr>
        <w:t xml:space="preserve"> y medidas de ajuste comercial</w:t>
      </w:r>
    </w:p>
    <w:tbl>
      <w:tblPr>
        <w:tblStyle w:val="Tablanormal2"/>
        <w:tblW w:w="0" w:type="auto"/>
        <w:tblLook w:val="04A0" w:firstRow="1" w:lastRow="0" w:firstColumn="1" w:lastColumn="0" w:noHBand="0" w:noVBand="1"/>
      </w:tblPr>
      <w:tblGrid>
        <w:gridCol w:w="1157"/>
        <w:gridCol w:w="963"/>
        <w:gridCol w:w="2625"/>
      </w:tblGrid>
      <w:tr w:rsidR="004C6EA5" w:rsidRPr="00587105" w14:paraId="31C7BD0A" w14:textId="77777777" w:rsidTr="000B76A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11967BEA" w14:textId="77777777" w:rsidR="004C6EA5" w:rsidRPr="00587105" w:rsidRDefault="004C6EA5" w:rsidP="00E4532D">
            <w:pPr>
              <w:keepNext/>
              <w:jc w:val="center"/>
              <w:rPr>
                <w:rFonts w:ascii="Noto Sans" w:eastAsia="Times New Roman" w:hAnsi="Noto Sans" w:cs="Noto Sans"/>
                <w:color w:val="1F1F1F"/>
                <w:kern w:val="0"/>
                <w:sz w:val="14"/>
                <w:lang w:eastAsia="es-MX"/>
                <w14:ligatures w14:val="none"/>
              </w:rPr>
            </w:pPr>
            <w:r w:rsidRPr="00587105">
              <w:rPr>
                <w:rFonts w:ascii="Noto Sans" w:eastAsia="Times New Roman" w:hAnsi="Noto Sans" w:cs="Noto Sans"/>
                <w:color w:val="1F1F1F"/>
                <w:kern w:val="0"/>
                <w:sz w:val="14"/>
                <w:bdr w:val="none" w:sz="0" w:space="0" w:color="auto" w:frame="1"/>
                <w:lang w:eastAsia="es-MX"/>
                <w14:ligatures w14:val="none"/>
              </w:rPr>
              <w:t>Tipo de Arancel</w:t>
            </w:r>
          </w:p>
        </w:tc>
        <w:tc>
          <w:tcPr>
            <w:tcW w:w="0" w:type="auto"/>
            <w:vAlign w:val="center"/>
            <w:hideMark/>
          </w:tcPr>
          <w:p w14:paraId="551C82B1" w14:textId="77777777" w:rsidR="004C6EA5" w:rsidRPr="00587105" w:rsidRDefault="004C6EA5" w:rsidP="00E4532D">
            <w:pPr>
              <w:keepNext/>
              <w:jc w:val="center"/>
              <w:cnfStyle w:val="100000000000" w:firstRow="1" w:lastRow="0" w:firstColumn="0" w:lastColumn="0" w:oddVBand="0" w:evenVBand="0" w:oddHBand="0" w:evenHBand="0" w:firstRowFirstColumn="0" w:firstRowLastColumn="0" w:lastRowFirstColumn="0" w:lastRowLastColumn="0"/>
              <w:rPr>
                <w:rFonts w:ascii="Noto Sans" w:eastAsia="Times New Roman" w:hAnsi="Noto Sans" w:cs="Noto Sans"/>
                <w:color w:val="1F1F1F"/>
                <w:kern w:val="0"/>
                <w:sz w:val="14"/>
                <w:lang w:eastAsia="es-MX"/>
                <w14:ligatures w14:val="none"/>
              </w:rPr>
            </w:pPr>
            <w:r w:rsidRPr="00587105">
              <w:rPr>
                <w:rFonts w:ascii="Noto Sans" w:eastAsia="Times New Roman" w:hAnsi="Noto Sans" w:cs="Noto Sans"/>
                <w:color w:val="1F1F1F"/>
                <w:kern w:val="0"/>
                <w:sz w:val="14"/>
                <w:bdr w:val="none" w:sz="0" w:space="0" w:color="auto" w:frame="1"/>
                <w:lang w:eastAsia="es-MX"/>
                <w14:ligatures w14:val="none"/>
              </w:rPr>
              <w:t>Tasa Aplicada</w:t>
            </w:r>
          </w:p>
        </w:tc>
        <w:tc>
          <w:tcPr>
            <w:tcW w:w="0" w:type="auto"/>
            <w:vAlign w:val="center"/>
            <w:hideMark/>
          </w:tcPr>
          <w:p w14:paraId="41CEB377" w14:textId="77777777" w:rsidR="004C6EA5" w:rsidRPr="00587105" w:rsidRDefault="004C6EA5" w:rsidP="00E4532D">
            <w:pPr>
              <w:keepNext/>
              <w:jc w:val="center"/>
              <w:cnfStyle w:val="100000000000" w:firstRow="1" w:lastRow="0" w:firstColumn="0" w:lastColumn="0" w:oddVBand="0" w:evenVBand="0" w:oddHBand="0" w:evenHBand="0" w:firstRowFirstColumn="0" w:firstRowLastColumn="0" w:lastRowFirstColumn="0" w:lastRowLastColumn="0"/>
              <w:rPr>
                <w:rFonts w:ascii="Noto Sans" w:eastAsia="Times New Roman" w:hAnsi="Noto Sans" w:cs="Noto Sans"/>
                <w:color w:val="1F1F1F"/>
                <w:kern w:val="0"/>
                <w:sz w:val="14"/>
                <w:lang w:eastAsia="es-MX"/>
                <w14:ligatures w14:val="none"/>
              </w:rPr>
            </w:pPr>
            <w:r w:rsidRPr="00587105">
              <w:rPr>
                <w:rFonts w:ascii="Noto Sans" w:eastAsia="Times New Roman" w:hAnsi="Noto Sans" w:cs="Noto Sans"/>
                <w:color w:val="1F1F1F"/>
                <w:kern w:val="0"/>
                <w:sz w:val="14"/>
                <w:bdr w:val="none" w:sz="0" w:space="0" w:color="auto" w:frame="1"/>
                <w:lang w:eastAsia="es-MX"/>
                <w14:ligatures w14:val="none"/>
              </w:rPr>
              <w:t>Objetivo Técnico</w:t>
            </w:r>
          </w:p>
        </w:tc>
      </w:tr>
      <w:tr w:rsidR="004C6EA5" w:rsidRPr="00587105" w14:paraId="024F6EB7" w14:textId="77777777" w:rsidTr="000B76A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56ABF62F" w14:textId="77777777" w:rsidR="004C6EA5" w:rsidRPr="00587105" w:rsidRDefault="004C6EA5" w:rsidP="00E4532D">
            <w:pPr>
              <w:keepNext/>
              <w:jc w:val="center"/>
              <w:rPr>
                <w:rFonts w:ascii="Noto Sans" w:eastAsia="Times New Roman" w:hAnsi="Noto Sans" w:cs="Noto Sans"/>
                <w:color w:val="1F1F1F"/>
                <w:kern w:val="0"/>
                <w:sz w:val="14"/>
                <w:lang w:eastAsia="es-MX"/>
                <w14:ligatures w14:val="none"/>
              </w:rPr>
            </w:pPr>
            <w:r w:rsidRPr="00587105">
              <w:rPr>
                <w:rFonts w:ascii="Noto Sans" w:eastAsia="Times New Roman" w:hAnsi="Noto Sans" w:cs="Noto Sans"/>
                <w:color w:val="1F1F1F"/>
                <w:kern w:val="0"/>
                <w:sz w:val="14"/>
                <w:bdr w:val="none" w:sz="0" w:space="0" w:color="auto" w:frame="1"/>
                <w:lang w:eastAsia="es-MX"/>
                <w14:ligatures w14:val="none"/>
              </w:rPr>
              <w:t>Recíproco Variable</w:t>
            </w:r>
          </w:p>
        </w:tc>
        <w:tc>
          <w:tcPr>
            <w:tcW w:w="0" w:type="auto"/>
            <w:vAlign w:val="center"/>
            <w:hideMark/>
          </w:tcPr>
          <w:p w14:paraId="1E1042D7" w14:textId="77777777" w:rsidR="004C6EA5" w:rsidRPr="00587105" w:rsidRDefault="004C6EA5" w:rsidP="00E4532D">
            <w:pPr>
              <w:keepNext/>
              <w:jc w:val="center"/>
              <w:cnfStyle w:val="000000100000" w:firstRow="0" w:lastRow="0" w:firstColumn="0" w:lastColumn="0" w:oddVBand="0" w:evenVBand="0" w:oddHBand="1" w:evenHBand="0" w:firstRowFirstColumn="0" w:firstRowLastColumn="0" w:lastRowFirstColumn="0" w:lastRowLastColumn="0"/>
              <w:rPr>
                <w:rFonts w:ascii="Noto Sans" w:eastAsia="Times New Roman" w:hAnsi="Noto Sans" w:cs="Noto Sans"/>
                <w:color w:val="1F1F1F"/>
                <w:kern w:val="0"/>
                <w:sz w:val="14"/>
                <w:lang w:eastAsia="es-MX"/>
                <w14:ligatures w14:val="none"/>
              </w:rPr>
            </w:pPr>
            <w:r w:rsidRPr="00587105">
              <w:rPr>
                <w:rFonts w:ascii="Noto Sans" w:eastAsia="Times New Roman" w:hAnsi="Noto Sans" w:cs="Noto Sans"/>
                <w:color w:val="1F1F1F"/>
                <w:kern w:val="0"/>
                <w:sz w:val="14"/>
                <w:bdr w:val="none" w:sz="0" w:space="0" w:color="auto" w:frame="1"/>
                <w:lang w:eastAsia="es-MX"/>
                <w14:ligatures w14:val="none"/>
              </w:rPr>
              <w:t>11% a 50%</w:t>
            </w:r>
          </w:p>
        </w:tc>
        <w:tc>
          <w:tcPr>
            <w:tcW w:w="0" w:type="auto"/>
            <w:vAlign w:val="center"/>
            <w:hideMark/>
          </w:tcPr>
          <w:p w14:paraId="70E0FCCE" w14:textId="77777777" w:rsidR="004C6EA5" w:rsidRPr="00587105" w:rsidRDefault="004C6EA5" w:rsidP="00E4532D">
            <w:pPr>
              <w:keepNext/>
              <w:jc w:val="center"/>
              <w:cnfStyle w:val="000000100000" w:firstRow="0" w:lastRow="0" w:firstColumn="0" w:lastColumn="0" w:oddVBand="0" w:evenVBand="0" w:oddHBand="1" w:evenHBand="0" w:firstRowFirstColumn="0" w:firstRowLastColumn="0" w:lastRowFirstColumn="0" w:lastRowLastColumn="0"/>
              <w:rPr>
                <w:rFonts w:ascii="Noto Sans" w:eastAsia="Times New Roman" w:hAnsi="Noto Sans" w:cs="Noto Sans"/>
                <w:color w:val="1F1F1F"/>
                <w:kern w:val="0"/>
                <w:sz w:val="14"/>
                <w:lang w:eastAsia="es-MX"/>
                <w14:ligatures w14:val="none"/>
              </w:rPr>
            </w:pPr>
            <w:r w:rsidRPr="00587105">
              <w:rPr>
                <w:rFonts w:ascii="Noto Sans" w:eastAsia="Times New Roman" w:hAnsi="Noto Sans" w:cs="Noto Sans"/>
                <w:color w:val="1F1F1F"/>
                <w:kern w:val="0"/>
                <w:sz w:val="14"/>
                <w:bdr w:val="none" w:sz="0" w:space="0" w:color="auto" w:frame="1"/>
                <w:lang w:eastAsia="es-MX"/>
                <w14:ligatures w14:val="none"/>
              </w:rPr>
              <w:t>Nivelar el campo de juego frente a socios con aranceles superiores.</w:t>
            </w:r>
          </w:p>
        </w:tc>
      </w:tr>
      <w:tr w:rsidR="004C6EA5" w:rsidRPr="00587105" w14:paraId="15B7693E" w14:textId="77777777" w:rsidTr="000B76AB">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3C5709F8" w14:textId="77777777" w:rsidR="004C6EA5" w:rsidRPr="00587105" w:rsidRDefault="004C6EA5" w:rsidP="00E4532D">
            <w:pPr>
              <w:keepNext/>
              <w:jc w:val="center"/>
              <w:rPr>
                <w:rFonts w:ascii="Noto Sans" w:eastAsia="Times New Roman" w:hAnsi="Noto Sans" w:cs="Noto Sans"/>
                <w:color w:val="1F1F1F"/>
                <w:kern w:val="0"/>
                <w:sz w:val="14"/>
                <w:lang w:eastAsia="es-MX"/>
                <w14:ligatures w14:val="none"/>
              </w:rPr>
            </w:pPr>
            <w:r w:rsidRPr="00587105">
              <w:rPr>
                <w:rFonts w:ascii="Noto Sans" w:eastAsia="Times New Roman" w:hAnsi="Noto Sans" w:cs="Noto Sans"/>
                <w:color w:val="1F1F1F"/>
                <w:kern w:val="0"/>
                <w:sz w:val="14"/>
                <w:bdr w:val="none" w:sz="0" w:space="0" w:color="auto" w:frame="1"/>
                <w:lang w:eastAsia="es-MX"/>
                <w14:ligatures w14:val="none"/>
              </w:rPr>
              <w:t>Arancel a China</w:t>
            </w:r>
          </w:p>
        </w:tc>
        <w:tc>
          <w:tcPr>
            <w:tcW w:w="0" w:type="auto"/>
            <w:vAlign w:val="center"/>
            <w:hideMark/>
          </w:tcPr>
          <w:p w14:paraId="72263E5E" w14:textId="77777777" w:rsidR="004C6EA5" w:rsidRPr="00587105" w:rsidRDefault="004C6EA5" w:rsidP="00E4532D">
            <w:pPr>
              <w:keepNext/>
              <w:jc w:val="center"/>
              <w:cnfStyle w:val="000000000000" w:firstRow="0" w:lastRow="0" w:firstColumn="0" w:lastColumn="0" w:oddVBand="0" w:evenVBand="0" w:oddHBand="0" w:evenHBand="0" w:firstRowFirstColumn="0" w:firstRowLastColumn="0" w:lastRowFirstColumn="0" w:lastRowLastColumn="0"/>
              <w:rPr>
                <w:rFonts w:ascii="Noto Sans" w:eastAsia="Times New Roman" w:hAnsi="Noto Sans" w:cs="Noto Sans"/>
                <w:color w:val="1F1F1F"/>
                <w:kern w:val="0"/>
                <w:sz w:val="14"/>
                <w:lang w:eastAsia="es-MX"/>
                <w14:ligatures w14:val="none"/>
              </w:rPr>
            </w:pPr>
            <w:r w:rsidRPr="00587105">
              <w:rPr>
                <w:rFonts w:ascii="Noto Sans" w:eastAsia="Times New Roman" w:hAnsi="Noto Sans" w:cs="Noto Sans"/>
                <w:color w:val="1F1F1F"/>
                <w:kern w:val="0"/>
                <w:sz w:val="14"/>
                <w:bdr w:val="none" w:sz="0" w:space="0" w:color="auto" w:frame="1"/>
                <w:lang w:eastAsia="es-MX"/>
                <w14:ligatures w14:val="none"/>
              </w:rPr>
              <w:t>60% (Base)</w:t>
            </w:r>
          </w:p>
        </w:tc>
        <w:tc>
          <w:tcPr>
            <w:tcW w:w="0" w:type="auto"/>
            <w:vAlign w:val="center"/>
            <w:hideMark/>
          </w:tcPr>
          <w:p w14:paraId="403393BC" w14:textId="77777777" w:rsidR="004C6EA5" w:rsidRPr="00587105" w:rsidRDefault="004C6EA5" w:rsidP="00E4532D">
            <w:pPr>
              <w:keepNext/>
              <w:jc w:val="center"/>
              <w:cnfStyle w:val="000000000000" w:firstRow="0" w:lastRow="0" w:firstColumn="0" w:lastColumn="0" w:oddVBand="0" w:evenVBand="0" w:oddHBand="0" w:evenHBand="0" w:firstRowFirstColumn="0" w:firstRowLastColumn="0" w:lastRowFirstColumn="0" w:lastRowLastColumn="0"/>
              <w:rPr>
                <w:rFonts w:ascii="Noto Sans" w:eastAsia="Times New Roman" w:hAnsi="Noto Sans" w:cs="Noto Sans"/>
                <w:color w:val="1F1F1F"/>
                <w:kern w:val="0"/>
                <w:sz w:val="14"/>
                <w:lang w:eastAsia="es-MX"/>
                <w14:ligatures w14:val="none"/>
              </w:rPr>
            </w:pPr>
            <w:r w:rsidRPr="00587105">
              <w:rPr>
                <w:rFonts w:ascii="Noto Sans" w:eastAsia="Times New Roman" w:hAnsi="Noto Sans" w:cs="Noto Sans"/>
                <w:color w:val="1F1F1F"/>
                <w:kern w:val="0"/>
                <w:sz w:val="14"/>
                <w:bdr w:val="none" w:sz="0" w:space="0" w:color="auto" w:frame="1"/>
                <w:lang w:eastAsia="es-MX"/>
                <w14:ligatures w14:val="none"/>
              </w:rPr>
              <w:t>Reducción de la dependencia estratégica y corrección del déficit.</w:t>
            </w:r>
          </w:p>
        </w:tc>
      </w:tr>
      <w:tr w:rsidR="004C6EA5" w:rsidRPr="00587105" w14:paraId="4D31BE15" w14:textId="77777777" w:rsidTr="000B76A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384D301D" w14:textId="77777777" w:rsidR="004C6EA5" w:rsidRPr="00587105" w:rsidRDefault="004C6EA5" w:rsidP="00E4532D">
            <w:pPr>
              <w:keepNext/>
              <w:jc w:val="center"/>
              <w:rPr>
                <w:rFonts w:ascii="Noto Sans" w:eastAsia="Times New Roman" w:hAnsi="Noto Sans" w:cs="Noto Sans"/>
                <w:color w:val="1F1F1F"/>
                <w:kern w:val="0"/>
                <w:sz w:val="14"/>
                <w:lang w:eastAsia="es-MX"/>
                <w14:ligatures w14:val="none"/>
              </w:rPr>
            </w:pPr>
            <w:r w:rsidRPr="00587105">
              <w:rPr>
                <w:rFonts w:ascii="Noto Sans" w:eastAsia="Times New Roman" w:hAnsi="Noto Sans" w:cs="Noto Sans"/>
                <w:color w:val="1F1F1F"/>
                <w:kern w:val="0"/>
                <w:sz w:val="14"/>
                <w:bdr w:val="none" w:sz="0" w:space="0" w:color="auto" w:frame="1"/>
                <w:lang w:eastAsia="es-MX"/>
                <w14:ligatures w14:val="none"/>
              </w:rPr>
              <w:t>De Minimis</w:t>
            </w:r>
          </w:p>
        </w:tc>
        <w:tc>
          <w:tcPr>
            <w:tcW w:w="0" w:type="auto"/>
            <w:vAlign w:val="center"/>
            <w:hideMark/>
          </w:tcPr>
          <w:p w14:paraId="043B920B" w14:textId="77777777" w:rsidR="004C6EA5" w:rsidRPr="00587105" w:rsidRDefault="004C6EA5" w:rsidP="00E4532D">
            <w:pPr>
              <w:keepNext/>
              <w:jc w:val="center"/>
              <w:cnfStyle w:val="000000100000" w:firstRow="0" w:lastRow="0" w:firstColumn="0" w:lastColumn="0" w:oddVBand="0" w:evenVBand="0" w:oddHBand="1" w:evenHBand="0" w:firstRowFirstColumn="0" w:firstRowLastColumn="0" w:lastRowFirstColumn="0" w:lastRowLastColumn="0"/>
              <w:rPr>
                <w:rFonts w:ascii="Noto Sans" w:eastAsia="Times New Roman" w:hAnsi="Noto Sans" w:cs="Noto Sans"/>
                <w:color w:val="1F1F1F"/>
                <w:kern w:val="0"/>
                <w:sz w:val="14"/>
                <w:lang w:eastAsia="es-MX"/>
                <w14:ligatures w14:val="none"/>
              </w:rPr>
            </w:pPr>
            <w:r w:rsidRPr="00587105">
              <w:rPr>
                <w:rFonts w:ascii="Noto Sans" w:eastAsia="Times New Roman" w:hAnsi="Noto Sans" w:cs="Noto Sans"/>
                <w:color w:val="1F1F1F"/>
                <w:kern w:val="0"/>
                <w:sz w:val="14"/>
                <w:bdr w:val="none" w:sz="0" w:space="0" w:color="auto" w:frame="1"/>
                <w:lang w:eastAsia="es-MX"/>
                <w14:ligatures w14:val="none"/>
              </w:rPr>
              <w:t>15% a 20%</w:t>
            </w:r>
          </w:p>
        </w:tc>
        <w:tc>
          <w:tcPr>
            <w:tcW w:w="0" w:type="auto"/>
            <w:vAlign w:val="center"/>
            <w:hideMark/>
          </w:tcPr>
          <w:p w14:paraId="7C5E6ABD" w14:textId="77777777" w:rsidR="004C6EA5" w:rsidRPr="00587105" w:rsidRDefault="004C6EA5" w:rsidP="00E4532D">
            <w:pPr>
              <w:keepNext/>
              <w:jc w:val="center"/>
              <w:cnfStyle w:val="000000100000" w:firstRow="0" w:lastRow="0" w:firstColumn="0" w:lastColumn="0" w:oddVBand="0" w:evenVBand="0" w:oddHBand="1" w:evenHBand="0" w:firstRowFirstColumn="0" w:firstRowLastColumn="0" w:lastRowFirstColumn="0" w:lastRowLastColumn="0"/>
              <w:rPr>
                <w:rFonts w:ascii="Noto Sans" w:eastAsia="Times New Roman" w:hAnsi="Noto Sans" w:cs="Noto Sans"/>
                <w:color w:val="1F1F1F"/>
                <w:kern w:val="0"/>
                <w:sz w:val="14"/>
                <w:lang w:eastAsia="es-MX"/>
                <w14:ligatures w14:val="none"/>
              </w:rPr>
            </w:pPr>
            <w:r w:rsidRPr="00587105">
              <w:rPr>
                <w:rFonts w:ascii="Noto Sans" w:eastAsia="Times New Roman" w:hAnsi="Noto Sans" w:cs="Noto Sans"/>
                <w:color w:val="1F1F1F"/>
                <w:kern w:val="0"/>
                <w:sz w:val="14"/>
                <w:bdr w:val="none" w:sz="0" w:space="0" w:color="auto" w:frame="1"/>
                <w:lang w:eastAsia="es-MX"/>
                <w14:ligatures w14:val="none"/>
              </w:rPr>
              <w:t>Eliminación de la exención para envíos de bajo valor (menores a $800).</w:t>
            </w:r>
          </w:p>
        </w:tc>
      </w:tr>
    </w:tbl>
    <w:p w14:paraId="08561B5A" w14:textId="77777777" w:rsidR="004C6EA5" w:rsidRDefault="004C6EA5" w:rsidP="00E4532D">
      <w:pPr>
        <w:keepNext/>
        <w:jc w:val="both"/>
        <w:rPr>
          <w:rFonts w:ascii="Noto Sans" w:hAnsi="Noto Sans" w:cs="Noto Sans"/>
          <w:sz w:val="14"/>
          <w:lang w:val="es-ES"/>
        </w:rPr>
      </w:pPr>
      <w:r w:rsidRPr="007F05E9">
        <w:rPr>
          <w:rFonts w:ascii="Noto Sans" w:hAnsi="Noto Sans" w:cs="Noto Sans"/>
          <w:sz w:val="14"/>
          <w:lang w:val="es-ES"/>
        </w:rPr>
        <w:t>Fuente: Elaborado con información de la Orden Ejecutiva 14257, "</w:t>
      </w:r>
      <w:proofErr w:type="spellStart"/>
      <w:r w:rsidRPr="007F05E9">
        <w:rPr>
          <w:rFonts w:ascii="Noto Sans" w:hAnsi="Noto Sans" w:cs="Noto Sans"/>
          <w:sz w:val="14"/>
          <w:lang w:val="es-ES"/>
        </w:rPr>
        <w:t>Regulating</w:t>
      </w:r>
      <w:proofErr w:type="spellEnd"/>
      <w:r w:rsidRPr="007F05E9">
        <w:rPr>
          <w:rFonts w:ascii="Noto Sans" w:hAnsi="Noto Sans" w:cs="Noto Sans"/>
          <w:sz w:val="14"/>
          <w:lang w:val="es-ES"/>
        </w:rPr>
        <w:t xml:space="preserve"> </w:t>
      </w:r>
      <w:proofErr w:type="spellStart"/>
      <w:r w:rsidRPr="007F05E9">
        <w:rPr>
          <w:rFonts w:ascii="Noto Sans" w:hAnsi="Noto Sans" w:cs="Noto Sans"/>
          <w:sz w:val="14"/>
          <w:lang w:val="es-ES"/>
        </w:rPr>
        <w:t>Imports</w:t>
      </w:r>
      <w:proofErr w:type="spellEnd"/>
      <w:r w:rsidRPr="007F05E9">
        <w:rPr>
          <w:rFonts w:ascii="Noto Sans" w:hAnsi="Noto Sans" w:cs="Noto Sans"/>
          <w:sz w:val="14"/>
          <w:lang w:val="es-ES"/>
        </w:rPr>
        <w:t xml:space="preserve"> </w:t>
      </w:r>
      <w:proofErr w:type="spellStart"/>
      <w:r w:rsidRPr="007F05E9">
        <w:rPr>
          <w:rFonts w:ascii="Noto Sans" w:hAnsi="Noto Sans" w:cs="Noto Sans"/>
          <w:sz w:val="14"/>
          <w:lang w:val="es-ES"/>
        </w:rPr>
        <w:t>with</w:t>
      </w:r>
      <w:proofErr w:type="spellEnd"/>
      <w:r w:rsidRPr="007F05E9">
        <w:rPr>
          <w:rFonts w:ascii="Noto Sans" w:hAnsi="Noto Sans" w:cs="Noto Sans"/>
          <w:sz w:val="14"/>
          <w:lang w:val="es-ES"/>
        </w:rPr>
        <w:t xml:space="preserve"> a </w:t>
      </w:r>
      <w:proofErr w:type="spellStart"/>
      <w:r w:rsidRPr="007F05E9">
        <w:rPr>
          <w:rFonts w:ascii="Noto Sans" w:hAnsi="Noto Sans" w:cs="Noto Sans"/>
          <w:sz w:val="14"/>
          <w:lang w:val="es-ES"/>
        </w:rPr>
        <w:t>Reciprocal</w:t>
      </w:r>
      <w:proofErr w:type="spellEnd"/>
      <w:r w:rsidRPr="007F05E9">
        <w:rPr>
          <w:rFonts w:ascii="Noto Sans" w:hAnsi="Noto Sans" w:cs="Noto Sans"/>
          <w:sz w:val="14"/>
          <w:lang w:val="es-ES"/>
        </w:rPr>
        <w:t xml:space="preserve"> </w:t>
      </w:r>
      <w:proofErr w:type="spellStart"/>
      <w:r w:rsidRPr="007F05E9">
        <w:rPr>
          <w:rFonts w:ascii="Noto Sans" w:hAnsi="Noto Sans" w:cs="Noto Sans"/>
          <w:sz w:val="14"/>
          <w:lang w:val="es-ES"/>
        </w:rPr>
        <w:t>Tariff</w:t>
      </w:r>
      <w:proofErr w:type="spellEnd"/>
      <w:r w:rsidRPr="007F05E9">
        <w:rPr>
          <w:rFonts w:ascii="Noto Sans" w:hAnsi="Noto Sans" w:cs="Noto Sans"/>
          <w:sz w:val="14"/>
          <w:lang w:val="es-ES"/>
        </w:rPr>
        <w:t xml:space="preserve"> </w:t>
      </w:r>
      <w:proofErr w:type="spellStart"/>
      <w:r w:rsidRPr="007F05E9">
        <w:rPr>
          <w:rFonts w:ascii="Noto Sans" w:hAnsi="Noto Sans" w:cs="Noto Sans"/>
          <w:sz w:val="14"/>
          <w:lang w:val="es-ES"/>
        </w:rPr>
        <w:t>to</w:t>
      </w:r>
      <w:proofErr w:type="spellEnd"/>
      <w:r w:rsidRPr="007F05E9">
        <w:rPr>
          <w:rFonts w:ascii="Noto Sans" w:hAnsi="Noto Sans" w:cs="Noto Sans"/>
          <w:sz w:val="14"/>
          <w:lang w:val="es-ES"/>
        </w:rPr>
        <w:t xml:space="preserve"> </w:t>
      </w:r>
      <w:proofErr w:type="spellStart"/>
      <w:r w:rsidRPr="007F05E9">
        <w:rPr>
          <w:rFonts w:ascii="Noto Sans" w:hAnsi="Noto Sans" w:cs="Noto Sans"/>
          <w:sz w:val="14"/>
          <w:lang w:val="es-ES"/>
        </w:rPr>
        <w:t>Rectify</w:t>
      </w:r>
      <w:proofErr w:type="spellEnd"/>
      <w:r w:rsidRPr="007F05E9">
        <w:rPr>
          <w:rFonts w:ascii="Noto Sans" w:hAnsi="Noto Sans" w:cs="Noto Sans"/>
          <w:sz w:val="14"/>
          <w:lang w:val="es-ES"/>
        </w:rPr>
        <w:t xml:space="preserve"> </w:t>
      </w:r>
      <w:proofErr w:type="spellStart"/>
      <w:r w:rsidRPr="007F05E9">
        <w:rPr>
          <w:rFonts w:ascii="Noto Sans" w:hAnsi="Noto Sans" w:cs="Noto Sans"/>
          <w:sz w:val="14"/>
          <w:lang w:val="es-ES"/>
        </w:rPr>
        <w:t>Trade</w:t>
      </w:r>
      <w:proofErr w:type="spellEnd"/>
      <w:r w:rsidRPr="007F05E9">
        <w:rPr>
          <w:rFonts w:ascii="Noto Sans" w:hAnsi="Noto Sans" w:cs="Noto Sans"/>
          <w:sz w:val="14"/>
          <w:lang w:val="es-ES"/>
        </w:rPr>
        <w:t xml:space="preserve"> </w:t>
      </w:r>
      <w:proofErr w:type="spellStart"/>
      <w:r w:rsidRPr="007F05E9">
        <w:rPr>
          <w:rFonts w:ascii="Noto Sans" w:hAnsi="Noto Sans" w:cs="Noto Sans"/>
          <w:sz w:val="14"/>
          <w:lang w:val="es-ES"/>
        </w:rPr>
        <w:t>Practices</w:t>
      </w:r>
      <w:proofErr w:type="spellEnd"/>
      <w:r w:rsidRPr="007F05E9">
        <w:rPr>
          <w:rFonts w:ascii="Noto Sans" w:hAnsi="Noto Sans" w:cs="Noto Sans"/>
          <w:sz w:val="14"/>
          <w:lang w:val="es-ES"/>
        </w:rPr>
        <w:t>", publicada en el Federal Register (2025).</w:t>
      </w:r>
    </w:p>
    <w:p w14:paraId="6A63F880" w14:textId="77777777" w:rsidR="004C6EA5" w:rsidRDefault="004C6EA5" w:rsidP="004C6EA5">
      <w:pPr>
        <w:jc w:val="both"/>
        <w:rPr>
          <w:rFonts w:ascii="Noto Sans" w:hAnsi="Noto Sans" w:cs="Noto Sans"/>
          <w:sz w:val="14"/>
          <w:lang w:val="es-ES"/>
        </w:rPr>
      </w:pPr>
    </w:p>
    <w:p w14:paraId="19149228" w14:textId="74480194" w:rsidR="004C6EA5" w:rsidRPr="00E4532D" w:rsidRDefault="004C6EA5" w:rsidP="004C6EA5">
      <w:pPr>
        <w:pStyle w:val="Prrafodelista"/>
        <w:numPr>
          <w:ilvl w:val="0"/>
          <w:numId w:val="7"/>
        </w:numPr>
        <w:jc w:val="both"/>
        <w:rPr>
          <w:rFonts w:ascii="Noto Sans" w:hAnsi="Noto Sans" w:cs="Noto Sans"/>
          <w:b/>
          <w:sz w:val="18"/>
          <w:szCs w:val="18"/>
          <w:lang w:val="es-ES"/>
        </w:rPr>
      </w:pPr>
      <w:r w:rsidRPr="007F05E9">
        <w:rPr>
          <w:rFonts w:ascii="Noto Sans" w:hAnsi="Noto Sans" w:cs="Noto Sans"/>
          <w:b/>
          <w:sz w:val="18"/>
          <w:szCs w:val="18"/>
        </w:rPr>
        <w:t>Aranceles Específicos a China y Medidas Adicionales</w:t>
      </w:r>
      <w:r w:rsidR="00E4532D">
        <w:rPr>
          <w:rFonts w:ascii="Noto Sans" w:hAnsi="Noto Sans" w:cs="Noto Sans"/>
          <w:b/>
          <w:sz w:val="18"/>
          <w:szCs w:val="18"/>
        </w:rPr>
        <w:t xml:space="preserve">: </w:t>
      </w:r>
      <w:r w:rsidR="00256E2B">
        <w:rPr>
          <w:rFonts w:ascii="Noto Sans" w:hAnsi="Noto Sans" w:cs="Noto Sans"/>
          <w:sz w:val="18"/>
          <w:szCs w:val="18"/>
          <w:lang w:val="es-ES"/>
        </w:rPr>
        <w:t>U</w:t>
      </w:r>
      <w:r w:rsidR="00256E2B" w:rsidRPr="00E4532D">
        <w:rPr>
          <w:rFonts w:ascii="Noto Sans" w:hAnsi="Noto Sans" w:cs="Noto Sans"/>
          <w:sz w:val="18"/>
          <w:szCs w:val="18"/>
          <w:lang w:val="es-ES"/>
        </w:rPr>
        <w:t>tilizando</w:t>
      </w:r>
      <w:r w:rsidRPr="00E4532D">
        <w:rPr>
          <w:rFonts w:ascii="Noto Sans" w:hAnsi="Noto Sans" w:cs="Noto Sans"/>
          <w:sz w:val="18"/>
          <w:szCs w:val="18"/>
          <w:lang w:val="es-ES"/>
        </w:rPr>
        <w:t xml:space="preserve"> una combinación de la Sección 301 y la IEEPA</w:t>
      </w:r>
      <w:r w:rsidR="00E4532D">
        <w:rPr>
          <w:rFonts w:ascii="Noto Sans" w:hAnsi="Noto Sans" w:cs="Noto Sans"/>
          <w:sz w:val="18"/>
          <w:szCs w:val="18"/>
          <w:lang w:val="es-ES"/>
        </w:rPr>
        <w:t>, s</w:t>
      </w:r>
      <w:r w:rsidRPr="00E4532D">
        <w:rPr>
          <w:rFonts w:ascii="Noto Sans" w:hAnsi="Noto Sans" w:cs="Noto Sans"/>
          <w:sz w:val="18"/>
          <w:szCs w:val="18"/>
          <w:lang w:val="es-ES"/>
        </w:rPr>
        <w:t>e establecieron aranceles que superaron el 100% en sectores críticos para la seguridad nacional</w:t>
      </w:r>
      <w:r>
        <w:rPr>
          <w:rStyle w:val="Refdenotaalpie"/>
          <w:rFonts w:ascii="Noto Sans" w:hAnsi="Noto Sans" w:cs="Noto Sans"/>
          <w:sz w:val="18"/>
          <w:szCs w:val="18"/>
          <w:lang w:val="es-ES"/>
        </w:rPr>
        <w:footnoteReference w:id="6"/>
      </w:r>
      <w:r w:rsidRPr="00E4532D">
        <w:rPr>
          <w:rFonts w:ascii="Noto Sans" w:hAnsi="Noto Sans" w:cs="Noto Sans"/>
          <w:sz w:val="18"/>
          <w:szCs w:val="18"/>
          <w:lang w:val="es-ES"/>
        </w:rPr>
        <w:t>:</w:t>
      </w:r>
    </w:p>
    <w:p w14:paraId="4537B56A" w14:textId="77777777" w:rsidR="004C6EA5" w:rsidRPr="007F05E9" w:rsidRDefault="004C6EA5" w:rsidP="004C6EA5">
      <w:pPr>
        <w:pStyle w:val="Prrafodelista"/>
        <w:numPr>
          <w:ilvl w:val="0"/>
          <w:numId w:val="9"/>
        </w:numPr>
        <w:jc w:val="both"/>
        <w:rPr>
          <w:rFonts w:ascii="Noto Sans" w:hAnsi="Noto Sans" w:cs="Noto Sans"/>
          <w:sz w:val="18"/>
          <w:szCs w:val="18"/>
          <w:lang w:val="es-ES"/>
        </w:rPr>
      </w:pPr>
      <w:r w:rsidRPr="007F05E9">
        <w:rPr>
          <w:rFonts w:ascii="Noto Sans" w:hAnsi="Noto Sans" w:cs="Noto Sans"/>
          <w:sz w:val="18"/>
          <w:szCs w:val="18"/>
          <w:lang w:val="es-ES"/>
        </w:rPr>
        <w:t>Vehículos Eléctricos y Baterías: Implementación de un arancel consolidado del 100% para proteger la transición energética local.</w:t>
      </w:r>
    </w:p>
    <w:p w14:paraId="053775C8" w14:textId="4B6698AA" w:rsidR="00E4532D" w:rsidRDefault="004C6EA5" w:rsidP="004C6EA5">
      <w:pPr>
        <w:pStyle w:val="Prrafodelista"/>
        <w:numPr>
          <w:ilvl w:val="0"/>
          <w:numId w:val="9"/>
        </w:numPr>
        <w:jc w:val="both"/>
        <w:rPr>
          <w:rFonts w:ascii="Noto Sans" w:hAnsi="Noto Sans" w:cs="Noto Sans"/>
          <w:sz w:val="18"/>
          <w:szCs w:val="18"/>
          <w:lang w:val="es-ES"/>
        </w:rPr>
      </w:pPr>
      <w:r w:rsidRPr="007F05E9">
        <w:rPr>
          <w:rFonts w:ascii="Noto Sans" w:hAnsi="Noto Sans" w:cs="Noto Sans"/>
          <w:sz w:val="18"/>
          <w:szCs w:val="18"/>
          <w:lang w:val="es-ES"/>
        </w:rPr>
        <w:t>Minerales Críticos: Gravámenes del 25% al 50% para incentivar la extracción y procesamiento fuera de la esfera de influencia china.</w:t>
      </w:r>
    </w:p>
    <w:p w14:paraId="39FB8035" w14:textId="0C8DF191" w:rsidR="00E4532D" w:rsidRDefault="00E4532D">
      <w:pPr>
        <w:rPr>
          <w:rFonts w:ascii="Noto Sans" w:hAnsi="Noto Sans" w:cs="Noto Sans"/>
          <w:sz w:val="18"/>
          <w:szCs w:val="18"/>
          <w:lang w:val="es-ES"/>
        </w:rPr>
      </w:pPr>
    </w:p>
    <w:p w14:paraId="268FE5CC" w14:textId="60BC65A6" w:rsidR="004C6EA5" w:rsidRPr="00E4532D" w:rsidRDefault="00E4532D" w:rsidP="004C6EA5">
      <w:pPr>
        <w:jc w:val="both"/>
        <w:rPr>
          <w:rFonts w:ascii="Noto Sans" w:hAnsi="Noto Sans" w:cs="Noto Sans"/>
          <w:b/>
          <w:bCs/>
          <w:sz w:val="18"/>
          <w:szCs w:val="18"/>
        </w:rPr>
      </w:pPr>
      <w:r w:rsidRPr="00E4532D">
        <w:rPr>
          <w:rFonts w:ascii="Noto Sans" w:hAnsi="Noto Sans" w:cs="Noto Sans"/>
          <w:b/>
          <w:bCs/>
          <w:sz w:val="18"/>
          <w:szCs w:val="18"/>
        </w:rPr>
        <w:t>Decisión de la Suprema Corte de Justicia de Estados Unidos</w:t>
      </w:r>
    </w:p>
    <w:p w14:paraId="796F91DB" w14:textId="77777777" w:rsidR="004C6EA5" w:rsidRDefault="004C6EA5" w:rsidP="004C6EA5">
      <w:pPr>
        <w:jc w:val="both"/>
        <w:rPr>
          <w:rFonts w:ascii="Noto Sans" w:hAnsi="Noto Sans" w:cs="Noto Sans"/>
          <w:sz w:val="18"/>
          <w:lang w:val="es-ES"/>
        </w:rPr>
      </w:pPr>
    </w:p>
    <w:p w14:paraId="483B7B17" w14:textId="3AF6A651" w:rsidR="004C6EA5" w:rsidRDefault="004C6EA5" w:rsidP="004C6EA5">
      <w:pPr>
        <w:jc w:val="both"/>
        <w:rPr>
          <w:rFonts w:ascii="Noto Sans" w:hAnsi="Noto Sans" w:cs="Noto Sans"/>
          <w:sz w:val="18"/>
        </w:rPr>
      </w:pPr>
      <w:r w:rsidRPr="007F05E9">
        <w:rPr>
          <w:rFonts w:ascii="Noto Sans" w:hAnsi="Noto Sans" w:cs="Noto Sans"/>
          <w:sz w:val="18"/>
        </w:rPr>
        <w:t xml:space="preserve">El </w:t>
      </w:r>
      <w:r w:rsidRPr="007F05E9">
        <w:rPr>
          <w:rFonts w:ascii="Noto Sans" w:hAnsi="Noto Sans" w:cs="Noto Sans"/>
          <w:b/>
          <w:bCs/>
          <w:sz w:val="18"/>
        </w:rPr>
        <w:t>20 de febrero de 2026</w:t>
      </w:r>
      <w:r w:rsidRPr="007F05E9">
        <w:rPr>
          <w:rFonts w:ascii="Noto Sans" w:hAnsi="Noto Sans" w:cs="Noto Sans"/>
          <w:sz w:val="18"/>
        </w:rPr>
        <w:t>, la Corte Suprema de los Estados U</w:t>
      </w:r>
      <w:r>
        <w:rPr>
          <w:rFonts w:ascii="Noto Sans" w:hAnsi="Noto Sans" w:cs="Noto Sans"/>
          <w:sz w:val="18"/>
        </w:rPr>
        <w:t xml:space="preserve">nidos </w:t>
      </w:r>
      <w:r w:rsidRPr="007F05E9">
        <w:rPr>
          <w:rFonts w:ascii="Noto Sans" w:hAnsi="Noto Sans" w:cs="Noto Sans"/>
          <w:sz w:val="18"/>
        </w:rPr>
        <w:t xml:space="preserve">determinó que la </w:t>
      </w:r>
      <w:r w:rsidRPr="007F05E9">
        <w:rPr>
          <w:rFonts w:ascii="Noto Sans" w:hAnsi="Noto Sans" w:cs="Noto Sans"/>
          <w:b/>
          <w:bCs/>
          <w:sz w:val="18"/>
        </w:rPr>
        <w:t>IEEPA</w:t>
      </w:r>
      <w:r w:rsidRPr="007F05E9">
        <w:rPr>
          <w:rFonts w:ascii="Noto Sans" w:hAnsi="Noto Sans" w:cs="Noto Sans"/>
          <w:sz w:val="18"/>
        </w:rPr>
        <w:t xml:space="preserve"> no otorga al Ejecutivo una autoridad ilimitada para imponer aranceles de carácter general por motivos de política económica o seguridad nacional sin una conexión directa y específ</w:t>
      </w:r>
      <w:r>
        <w:rPr>
          <w:rFonts w:ascii="Noto Sans" w:hAnsi="Noto Sans" w:cs="Noto Sans"/>
          <w:sz w:val="18"/>
        </w:rPr>
        <w:t>ica con la emergencia declarada</w:t>
      </w:r>
      <w:r w:rsidRPr="007F05E9">
        <w:rPr>
          <w:rFonts w:ascii="Noto Sans" w:hAnsi="Noto Sans" w:cs="Noto Sans"/>
          <w:sz w:val="18"/>
        </w:rPr>
        <w:t xml:space="preserve">. La sentencia establece que el uso de esta ley para implementar gravámenes universales constituye una extralimitación de las facultades delegadas por el Legislativo, </w:t>
      </w:r>
      <w:r w:rsidRPr="00D145AD">
        <w:rPr>
          <w:rFonts w:ascii="Noto Sans" w:hAnsi="Noto Sans" w:cs="Noto Sans"/>
          <w:b/>
          <w:bCs/>
          <w:sz w:val="18"/>
        </w:rPr>
        <w:t xml:space="preserve">invalidando así los aranceles globales del </w:t>
      </w:r>
      <w:r w:rsidRPr="00D145AD">
        <w:rPr>
          <w:rFonts w:ascii="Noto Sans" w:hAnsi="Noto Sans" w:cs="Noto Sans"/>
          <w:b/>
          <w:bCs/>
          <w:sz w:val="18"/>
        </w:rPr>
        <w:t>10% y las tasas recíprocas por violar la cláusula constitucional que reserva</w:t>
      </w:r>
      <w:r w:rsidRPr="007F05E9">
        <w:rPr>
          <w:rFonts w:ascii="Noto Sans" w:hAnsi="Noto Sans" w:cs="Noto Sans"/>
          <w:sz w:val="18"/>
        </w:rPr>
        <w:t xml:space="preserve"> al </w:t>
      </w:r>
      <w:r w:rsidRPr="007F05E9">
        <w:rPr>
          <w:rFonts w:ascii="Noto Sans" w:hAnsi="Noto Sans" w:cs="Noto Sans"/>
          <w:b/>
          <w:bCs/>
          <w:sz w:val="18"/>
        </w:rPr>
        <w:t>Congreso</w:t>
      </w:r>
      <w:r w:rsidRPr="007F05E9">
        <w:rPr>
          <w:rFonts w:ascii="Noto Sans" w:hAnsi="Noto Sans" w:cs="Noto Sans"/>
          <w:sz w:val="18"/>
        </w:rPr>
        <w:t xml:space="preserve"> la potestad exclusiva de regular el comercio </w:t>
      </w:r>
      <w:r>
        <w:rPr>
          <w:rFonts w:ascii="Noto Sans" w:hAnsi="Noto Sans" w:cs="Noto Sans"/>
          <w:sz w:val="18"/>
        </w:rPr>
        <w:t>exterior y establecer impuestos</w:t>
      </w:r>
      <w:r w:rsidRPr="007F05E9">
        <w:rPr>
          <w:rFonts w:ascii="Noto Sans" w:hAnsi="Noto Sans" w:cs="Noto Sans"/>
          <w:sz w:val="18"/>
        </w:rPr>
        <w:t>. En consecuencia, la Corte ordenó el cese inmediato de estas medidas, permitiendo únicamente aquellas sanciones dirigidas a entidades o individuos específicos que representen una ame</w:t>
      </w:r>
      <w:r>
        <w:rPr>
          <w:rFonts w:ascii="Noto Sans" w:hAnsi="Noto Sans" w:cs="Noto Sans"/>
          <w:sz w:val="18"/>
        </w:rPr>
        <w:t>naza concreta e individualizada.</w:t>
      </w:r>
    </w:p>
    <w:p w14:paraId="2CEDF700" w14:textId="77777777" w:rsidR="004C6EA5" w:rsidRDefault="004C6EA5" w:rsidP="004C6EA5">
      <w:pPr>
        <w:jc w:val="both"/>
        <w:rPr>
          <w:rFonts w:ascii="Noto Sans" w:hAnsi="Noto Sans" w:cs="Noto Sans"/>
          <w:sz w:val="18"/>
        </w:rPr>
      </w:pPr>
    </w:p>
    <w:p w14:paraId="25F61D76" w14:textId="794624D2" w:rsidR="00D145AD" w:rsidRPr="00E4532D" w:rsidRDefault="00D145AD" w:rsidP="00D145AD">
      <w:pPr>
        <w:jc w:val="both"/>
        <w:rPr>
          <w:rFonts w:ascii="Noto Sans" w:hAnsi="Noto Sans" w:cs="Noto Sans"/>
          <w:b/>
          <w:bCs/>
          <w:sz w:val="18"/>
          <w:szCs w:val="18"/>
        </w:rPr>
      </w:pPr>
      <w:r>
        <w:rPr>
          <w:rFonts w:ascii="Noto Sans" w:hAnsi="Noto Sans" w:cs="Noto Sans"/>
          <w:b/>
          <w:bCs/>
          <w:sz w:val="18"/>
          <w:szCs w:val="18"/>
        </w:rPr>
        <w:t xml:space="preserve">Medidas </w:t>
      </w:r>
      <w:r w:rsidR="00681A79">
        <w:rPr>
          <w:rFonts w:ascii="Noto Sans" w:hAnsi="Noto Sans" w:cs="Noto Sans"/>
          <w:b/>
          <w:bCs/>
          <w:sz w:val="18"/>
          <w:szCs w:val="18"/>
        </w:rPr>
        <w:t>que podría adoptar el gobierno de Estados Unidos ante la decisión de la Suprema Corte de Estados Unidos</w:t>
      </w:r>
    </w:p>
    <w:p w14:paraId="428290B4" w14:textId="77777777" w:rsidR="00D145AD" w:rsidRDefault="00D145AD" w:rsidP="004C6EA5">
      <w:pPr>
        <w:jc w:val="both"/>
        <w:rPr>
          <w:rFonts w:ascii="Noto Sans" w:hAnsi="Noto Sans" w:cs="Noto Sans"/>
          <w:sz w:val="18"/>
        </w:rPr>
      </w:pPr>
    </w:p>
    <w:p w14:paraId="5CBBF70A" w14:textId="77777777" w:rsidR="00681A79" w:rsidRDefault="004C6EA5" w:rsidP="004C6EA5">
      <w:pPr>
        <w:jc w:val="both"/>
        <w:rPr>
          <w:rFonts w:ascii="Noto Sans" w:hAnsi="Noto Sans" w:cs="Noto Sans"/>
          <w:sz w:val="18"/>
        </w:rPr>
      </w:pPr>
      <w:r w:rsidRPr="00B04590">
        <w:rPr>
          <w:rFonts w:ascii="Noto Sans" w:hAnsi="Noto Sans" w:cs="Noto Sans"/>
          <w:sz w:val="18"/>
        </w:rPr>
        <w:t xml:space="preserve">Ante la invalidación de la IEEPA, la administración podría </w:t>
      </w:r>
      <w:r w:rsidR="00681A79">
        <w:rPr>
          <w:rFonts w:ascii="Noto Sans" w:hAnsi="Noto Sans" w:cs="Noto Sans"/>
          <w:sz w:val="18"/>
        </w:rPr>
        <w:t>utilizar lo siguiente:</w:t>
      </w:r>
    </w:p>
    <w:p w14:paraId="6E671888" w14:textId="77777777" w:rsidR="00681A79" w:rsidRDefault="00681A79" w:rsidP="004C6EA5">
      <w:pPr>
        <w:jc w:val="both"/>
        <w:rPr>
          <w:rFonts w:ascii="Noto Sans" w:hAnsi="Noto Sans" w:cs="Noto Sans"/>
          <w:sz w:val="18"/>
        </w:rPr>
      </w:pPr>
    </w:p>
    <w:p w14:paraId="76D034DB" w14:textId="1286D90A" w:rsidR="00681A79" w:rsidRDefault="004C6EA5" w:rsidP="00681A79">
      <w:pPr>
        <w:pStyle w:val="Prrafodelista"/>
        <w:numPr>
          <w:ilvl w:val="0"/>
          <w:numId w:val="9"/>
        </w:numPr>
        <w:jc w:val="both"/>
        <w:rPr>
          <w:rFonts w:ascii="Noto Sans" w:hAnsi="Noto Sans" w:cs="Noto Sans"/>
          <w:sz w:val="18"/>
        </w:rPr>
      </w:pPr>
      <w:r w:rsidRPr="00681A79">
        <w:rPr>
          <w:rFonts w:ascii="Noto Sans" w:hAnsi="Noto Sans" w:cs="Noto Sans"/>
          <w:b/>
          <w:bCs/>
          <w:sz w:val="18"/>
        </w:rPr>
        <w:t>Sección 232</w:t>
      </w:r>
      <w:r w:rsidRPr="00681A79">
        <w:rPr>
          <w:rFonts w:ascii="Noto Sans" w:hAnsi="Noto Sans" w:cs="Noto Sans"/>
          <w:sz w:val="18"/>
        </w:rPr>
        <w:t xml:space="preserve"> de la Ley de Expansión Comercial, enfocada en amenazas a la seguridad nacional</w:t>
      </w:r>
      <w:r w:rsidR="00681A79">
        <w:rPr>
          <w:rFonts w:ascii="Noto Sans" w:hAnsi="Noto Sans" w:cs="Noto Sans"/>
          <w:sz w:val="18"/>
        </w:rPr>
        <w:t>.</w:t>
      </w:r>
    </w:p>
    <w:p w14:paraId="40298614" w14:textId="621AA04A" w:rsidR="004C6EA5" w:rsidRDefault="004C6EA5" w:rsidP="00681A79">
      <w:pPr>
        <w:pStyle w:val="Prrafodelista"/>
        <w:numPr>
          <w:ilvl w:val="0"/>
          <w:numId w:val="9"/>
        </w:numPr>
        <w:jc w:val="both"/>
        <w:rPr>
          <w:rFonts w:ascii="Noto Sans" w:hAnsi="Noto Sans" w:cs="Noto Sans"/>
          <w:sz w:val="18"/>
        </w:rPr>
      </w:pPr>
      <w:r w:rsidRPr="00681A79">
        <w:rPr>
          <w:rFonts w:ascii="Noto Sans" w:hAnsi="Noto Sans" w:cs="Noto Sans"/>
          <w:b/>
          <w:bCs/>
          <w:sz w:val="18"/>
        </w:rPr>
        <w:t>Sección 301</w:t>
      </w:r>
      <w:r w:rsidRPr="00681A79">
        <w:rPr>
          <w:rFonts w:ascii="Noto Sans" w:hAnsi="Noto Sans" w:cs="Noto Sans"/>
          <w:sz w:val="18"/>
        </w:rPr>
        <w:t xml:space="preserve"> de la Ley de Comercio de 1974, la cual permite imponer gravámenes como respuesta a prácticas extranjeras desleales. Estas vías requieren investigaciones técnicas previas y hallazgos específicos del Departamento de Comercio o la USTR, lo que impediría la imposición de aranceles universales de forma inmediata, pero permitiría mantener la presión sobre sectores estratégicos</w:t>
      </w:r>
      <w:r>
        <w:rPr>
          <w:rStyle w:val="Refdenotaalpie"/>
          <w:rFonts w:ascii="Noto Sans" w:hAnsi="Noto Sans" w:cs="Noto Sans"/>
          <w:sz w:val="18"/>
        </w:rPr>
        <w:footnoteReference w:id="7"/>
      </w:r>
      <w:r w:rsidRPr="00681A79">
        <w:rPr>
          <w:rFonts w:ascii="Noto Sans" w:hAnsi="Noto Sans" w:cs="Noto Sans"/>
          <w:sz w:val="18"/>
        </w:rPr>
        <w:t>.</w:t>
      </w:r>
      <w:r w:rsidR="000F7287">
        <w:rPr>
          <w:rFonts w:ascii="Noto Sans" w:hAnsi="Noto Sans" w:cs="Noto Sans"/>
          <w:sz w:val="18"/>
        </w:rPr>
        <w:t xml:space="preserve"> Esta Sección ya ha sido utilizada para establecer </w:t>
      </w:r>
      <w:r w:rsidR="000F7287" w:rsidRPr="000F7287">
        <w:rPr>
          <w:rFonts w:ascii="Noto Sans" w:hAnsi="Noto Sans" w:cs="Noto Sans"/>
          <w:sz w:val="18"/>
        </w:rPr>
        <w:t>gravámenes a industrias como la automotriz, acerera, del aluminio y del cobre</w:t>
      </w:r>
      <w:r w:rsidR="000F7287">
        <w:rPr>
          <w:rFonts w:ascii="Noto Sans" w:hAnsi="Noto Sans" w:cs="Noto Sans"/>
          <w:sz w:val="18"/>
        </w:rPr>
        <w:t>.</w:t>
      </w:r>
    </w:p>
    <w:p w14:paraId="19B50BCE" w14:textId="77777777" w:rsidR="00681A79" w:rsidRDefault="004C6EA5" w:rsidP="004C6EA5">
      <w:pPr>
        <w:pStyle w:val="Prrafodelista"/>
        <w:numPr>
          <w:ilvl w:val="0"/>
          <w:numId w:val="9"/>
        </w:numPr>
        <w:jc w:val="both"/>
        <w:rPr>
          <w:rFonts w:ascii="Noto Sans" w:hAnsi="Noto Sans" w:cs="Noto Sans"/>
          <w:sz w:val="18"/>
        </w:rPr>
      </w:pPr>
      <w:r w:rsidRPr="00681A79">
        <w:rPr>
          <w:rFonts w:ascii="Noto Sans" w:hAnsi="Noto Sans" w:cs="Noto Sans"/>
          <w:b/>
          <w:bCs/>
          <w:sz w:val="18"/>
        </w:rPr>
        <w:t>Sección 122 de la Ley de Comercio de 1974</w:t>
      </w:r>
      <w:r w:rsidRPr="00681A79">
        <w:rPr>
          <w:rFonts w:ascii="Noto Sans" w:hAnsi="Noto Sans" w:cs="Noto Sans"/>
          <w:sz w:val="18"/>
        </w:rPr>
        <w:t xml:space="preserve">. Esta disposición otorga al Presidente la facultad de establecer aranceles de hasta el </w:t>
      </w:r>
      <w:r w:rsidRPr="00681A79">
        <w:rPr>
          <w:rFonts w:ascii="Noto Sans" w:hAnsi="Noto Sans" w:cs="Noto Sans"/>
          <w:b/>
          <w:bCs/>
          <w:sz w:val="18"/>
        </w:rPr>
        <w:t>15% por un periodo de 150 días</w:t>
      </w:r>
      <w:r w:rsidRPr="00681A79">
        <w:rPr>
          <w:rFonts w:ascii="Noto Sans" w:hAnsi="Noto Sans" w:cs="Noto Sans"/>
          <w:sz w:val="18"/>
        </w:rPr>
        <w:t xml:space="preserve"> para corregir desequilibrios graves en la balanza de pagos, proporcionando una cobertura legal de corto plazo mientras se concluyen los procesos administrativos de otras leyes</w:t>
      </w:r>
      <w:r>
        <w:rPr>
          <w:rStyle w:val="Refdenotaalpie"/>
          <w:rFonts w:ascii="Noto Sans" w:hAnsi="Noto Sans" w:cs="Noto Sans"/>
          <w:sz w:val="18"/>
        </w:rPr>
        <w:footnoteReference w:id="8"/>
      </w:r>
      <w:r w:rsidRPr="00681A79">
        <w:rPr>
          <w:rFonts w:ascii="Noto Sans" w:hAnsi="Noto Sans" w:cs="Noto Sans"/>
          <w:sz w:val="18"/>
        </w:rPr>
        <w:t xml:space="preserve">. </w:t>
      </w:r>
    </w:p>
    <w:p w14:paraId="7ABFCA70" w14:textId="77777777" w:rsidR="00681A79" w:rsidRDefault="004C6EA5" w:rsidP="004C6EA5">
      <w:pPr>
        <w:pStyle w:val="Prrafodelista"/>
        <w:numPr>
          <w:ilvl w:val="0"/>
          <w:numId w:val="9"/>
        </w:numPr>
        <w:jc w:val="both"/>
        <w:rPr>
          <w:rFonts w:ascii="Noto Sans" w:hAnsi="Noto Sans" w:cs="Noto Sans"/>
          <w:sz w:val="18"/>
        </w:rPr>
      </w:pPr>
      <w:r w:rsidRPr="00681A79">
        <w:rPr>
          <w:rFonts w:ascii="Noto Sans" w:hAnsi="Noto Sans" w:cs="Noto Sans"/>
          <w:sz w:val="18"/>
        </w:rPr>
        <w:lastRenderedPageBreak/>
        <w:t xml:space="preserve">Asimismo, según análisis del </w:t>
      </w:r>
      <w:r w:rsidRPr="00681A79">
        <w:rPr>
          <w:rFonts w:ascii="Noto Sans" w:hAnsi="Noto Sans" w:cs="Noto Sans"/>
          <w:b/>
          <w:bCs/>
          <w:sz w:val="18"/>
        </w:rPr>
        <w:t>Peterson Institute for International Economics (PIIE)</w:t>
      </w:r>
      <w:r w:rsidRPr="00681A79">
        <w:rPr>
          <w:rFonts w:ascii="Noto Sans" w:hAnsi="Noto Sans" w:cs="Noto Sans"/>
          <w:sz w:val="18"/>
        </w:rPr>
        <w:t xml:space="preserve">, la administración podría reactivar la </w:t>
      </w:r>
      <w:r w:rsidRPr="00681A79">
        <w:rPr>
          <w:rFonts w:ascii="Noto Sans" w:hAnsi="Noto Sans" w:cs="Noto Sans"/>
          <w:b/>
          <w:bCs/>
          <w:sz w:val="18"/>
        </w:rPr>
        <w:t>Sección 338</w:t>
      </w:r>
      <w:r w:rsidRPr="00681A79">
        <w:rPr>
          <w:rFonts w:ascii="Noto Sans" w:hAnsi="Noto Sans" w:cs="Noto Sans"/>
          <w:sz w:val="18"/>
        </w:rPr>
        <w:t xml:space="preserve"> de la Ley Arancelaria de 1930 para gravar a países que discriminan contra productos estadounidenses, aunque esta no ha sido utilizada en un siglo y requiere pruebas estrictas de discriminación</w:t>
      </w:r>
      <w:r>
        <w:rPr>
          <w:rStyle w:val="Refdenotaalpie"/>
          <w:rFonts w:ascii="Noto Sans" w:hAnsi="Noto Sans" w:cs="Noto Sans"/>
          <w:sz w:val="18"/>
        </w:rPr>
        <w:footnoteReference w:id="9"/>
      </w:r>
      <w:r w:rsidRPr="00681A79">
        <w:rPr>
          <w:rFonts w:ascii="Noto Sans" w:hAnsi="Noto Sans" w:cs="Noto Sans"/>
          <w:sz w:val="18"/>
        </w:rPr>
        <w:t>.</w:t>
      </w:r>
    </w:p>
    <w:p w14:paraId="4C96A839" w14:textId="7A0D026F" w:rsidR="00681A79" w:rsidRDefault="004C6EA5" w:rsidP="004C6EA5">
      <w:pPr>
        <w:pStyle w:val="Prrafodelista"/>
        <w:numPr>
          <w:ilvl w:val="0"/>
          <w:numId w:val="9"/>
        </w:numPr>
        <w:jc w:val="both"/>
        <w:rPr>
          <w:rFonts w:ascii="Noto Sans" w:hAnsi="Noto Sans" w:cs="Noto Sans"/>
          <w:sz w:val="18"/>
        </w:rPr>
      </w:pPr>
      <w:r w:rsidRPr="00681A79">
        <w:rPr>
          <w:rFonts w:ascii="Noto Sans" w:hAnsi="Noto Sans" w:cs="Noto Sans"/>
          <w:sz w:val="18"/>
        </w:rPr>
        <w:t>Finalmente, el equipo comercial de la Casa Blanca ha sugerido que buscaría que el Congreso codifique estas facultades mediante nueva legislación para transformar los aranceles de emergencia en una estructura permanente. Al obtener una delegación de poder explícita, el Ejecutivo sortearía las restricciones de la Corte sobre la IEEPA, intentando restaurar los niveles arancelarios previos mediante una "Ley de Reciprocidad" que otorgue al Presidente facultades de ajuste automático de tasas</w:t>
      </w:r>
      <w:r w:rsidR="00681A79">
        <w:rPr>
          <w:rFonts w:ascii="Noto Sans" w:hAnsi="Noto Sans" w:cs="Noto Sans"/>
          <w:sz w:val="18"/>
        </w:rPr>
        <w:t>.</w:t>
      </w:r>
      <w:r>
        <w:rPr>
          <w:rStyle w:val="Refdenotaalpie"/>
          <w:rFonts w:ascii="Noto Sans" w:hAnsi="Noto Sans" w:cs="Noto Sans"/>
          <w:sz w:val="18"/>
        </w:rPr>
        <w:footnoteReference w:id="10"/>
      </w:r>
    </w:p>
    <w:p w14:paraId="56FDD53E" w14:textId="77777777" w:rsidR="00DF34A5" w:rsidRDefault="00DF34A5" w:rsidP="00DF34A5">
      <w:pPr>
        <w:jc w:val="both"/>
        <w:rPr>
          <w:rFonts w:ascii="Noto Sans" w:hAnsi="Noto Sans" w:cs="Noto Sans"/>
          <w:sz w:val="18"/>
        </w:rPr>
      </w:pPr>
    </w:p>
    <w:p w14:paraId="60234A78" w14:textId="51E2F4E7" w:rsidR="00277606" w:rsidRDefault="00DF34A5" w:rsidP="00277606">
      <w:pPr>
        <w:jc w:val="both"/>
        <w:rPr>
          <w:rFonts w:ascii="Noto Sans" w:hAnsi="Noto Sans" w:cs="Noto Sans"/>
          <w:sz w:val="18"/>
        </w:rPr>
      </w:pPr>
      <w:r>
        <w:rPr>
          <w:rFonts w:ascii="Noto Sans" w:hAnsi="Noto Sans" w:cs="Noto Sans"/>
          <w:sz w:val="18"/>
        </w:rPr>
        <w:t>De acuerdo con lo señalado en la Conferencia de Prensa del presidente de los Estados Unidos el 20 de febrero de 2026, establecerá una tarifa adicional del 10% a los aranceles vigentes bajo el amparo de la Sección 122.</w:t>
      </w:r>
      <w:r w:rsidR="00277606">
        <w:rPr>
          <w:rFonts w:ascii="Noto Sans" w:hAnsi="Noto Sans" w:cs="Noto Sans"/>
          <w:sz w:val="18"/>
        </w:rPr>
        <w:br/>
      </w:r>
    </w:p>
    <w:p w14:paraId="485CEDF6" w14:textId="6E30BE95" w:rsidR="00681A79" w:rsidRPr="00277606" w:rsidRDefault="00277606" w:rsidP="004C6EA5">
      <w:pPr>
        <w:jc w:val="both"/>
        <w:rPr>
          <w:rFonts w:ascii="Noto Sans" w:hAnsi="Noto Sans" w:cs="Noto Sans"/>
          <w:sz w:val="18"/>
        </w:rPr>
      </w:pPr>
      <w:r>
        <w:rPr>
          <w:rFonts w:ascii="Noto Sans" w:hAnsi="Noto Sans" w:cs="Noto Sans"/>
          <w:sz w:val="18"/>
        </w:rPr>
        <w:br w:type="column"/>
      </w:r>
      <w:r w:rsidR="00681A79" w:rsidRPr="00681A79">
        <w:rPr>
          <w:rFonts w:ascii="Noto Sans" w:hAnsi="Noto Sans" w:cs="Noto Sans"/>
          <w:b/>
          <w:bCs/>
          <w:sz w:val="18"/>
        </w:rPr>
        <w:t>Consideraciones finales</w:t>
      </w:r>
    </w:p>
    <w:p w14:paraId="47D91545" w14:textId="77777777" w:rsidR="00681A79" w:rsidRPr="00681A79" w:rsidRDefault="00681A79" w:rsidP="004C6EA5">
      <w:pPr>
        <w:jc w:val="both"/>
        <w:rPr>
          <w:rFonts w:ascii="Noto Sans" w:hAnsi="Noto Sans" w:cs="Noto Sans"/>
          <w:b/>
          <w:bCs/>
          <w:sz w:val="18"/>
        </w:rPr>
      </w:pPr>
    </w:p>
    <w:p w14:paraId="4AC063DB" w14:textId="2D09ADE2" w:rsidR="004C6EA5" w:rsidRPr="000412CB" w:rsidRDefault="000C59CC" w:rsidP="004C6EA5">
      <w:pPr>
        <w:jc w:val="both"/>
        <w:rPr>
          <w:rFonts w:ascii="Noto Sans" w:hAnsi="Noto Sans" w:cs="Noto Sans"/>
          <w:sz w:val="18"/>
        </w:rPr>
      </w:pPr>
      <w:r>
        <w:rPr>
          <w:rFonts w:ascii="Noto Sans" w:hAnsi="Noto Sans" w:cs="Noto Sans"/>
          <w:sz w:val="18"/>
        </w:rPr>
        <w:t>Las</w:t>
      </w:r>
      <w:r w:rsidR="004C6EA5" w:rsidRPr="000412CB">
        <w:rPr>
          <w:rFonts w:ascii="Noto Sans" w:hAnsi="Noto Sans" w:cs="Noto Sans"/>
          <w:sz w:val="18"/>
        </w:rPr>
        <w:t xml:space="preserve"> aduanas de EE. UU. </w:t>
      </w:r>
      <w:r w:rsidR="00277606">
        <w:rPr>
          <w:rFonts w:ascii="Noto Sans" w:hAnsi="Noto Sans" w:cs="Noto Sans"/>
          <w:sz w:val="18"/>
        </w:rPr>
        <w:t>d</w:t>
      </w:r>
      <w:r>
        <w:rPr>
          <w:rFonts w:ascii="Noto Sans" w:hAnsi="Noto Sans" w:cs="Noto Sans"/>
          <w:sz w:val="18"/>
        </w:rPr>
        <w:t>eberán suspender de inmediato</w:t>
      </w:r>
      <w:r w:rsidR="004C6EA5" w:rsidRPr="000412CB">
        <w:rPr>
          <w:rFonts w:ascii="Noto Sans" w:hAnsi="Noto Sans" w:cs="Noto Sans"/>
          <w:sz w:val="18"/>
        </w:rPr>
        <w:t xml:space="preserve"> el </w:t>
      </w:r>
      <w:r w:rsidR="004C6EA5" w:rsidRPr="000412CB">
        <w:rPr>
          <w:rFonts w:ascii="Noto Sans" w:hAnsi="Noto Sans" w:cs="Noto Sans"/>
          <w:b/>
          <w:bCs/>
          <w:sz w:val="18"/>
        </w:rPr>
        <w:t>arancel universal del 10%</w:t>
      </w:r>
      <w:r w:rsidR="004C6EA5" w:rsidRPr="000412CB">
        <w:rPr>
          <w:rFonts w:ascii="Noto Sans" w:hAnsi="Noto Sans" w:cs="Noto Sans"/>
          <w:sz w:val="18"/>
        </w:rPr>
        <w:t xml:space="preserve">, los impuestos de reciprocidad contra la Unión Europea y Brasil, y </w:t>
      </w:r>
      <w:r>
        <w:rPr>
          <w:rFonts w:ascii="Noto Sans" w:hAnsi="Noto Sans" w:cs="Noto Sans"/>
          <w:sz w:val="18"/>
        </w:rPr>
        <w:t>los aranceles relacionados con</w:t>
      </w:r>
      <w:r w:rsidR="004C6EA5" w:rsidRPr="000412CB">
        <w:rPr>
          <w:rFonts w:ascii="Noto Sans" w:hAnsi="Noto Sans" w:cs="Noto Sans"/>
          <w:sz w:val="18"/>
        </w:rPr>
        <w:t xml:space="preserve"> </w:t>
      </w:r>
      <w:r w:rsidR="004C6EA5" w:rsidRPr="000412CB">
        <w:rPr>
          <w:rFonts w:ascii="Noto Sans" w:hAnsi="Noto Sans" w:cs="Noto Sans"/>
          <w:b/>
          <w:bCs/>
          <w:sz w:val="18"/>
        </w:rPr>
        <w:t>25% aplicado a México y Canadá</w:t>
      </w:r>
      <w:r w:rsidR="004C6EA5" w:rsidRPr="000412CB">
        <w:rPr>
          <w:rFonts w:ascii="Noto Sans" w:hAnsi="Noto Sans" w:cs="Noto Sans"/>
          <w:sz w:val="18"/>
        </w:rPr>
        <w:t xml:space="preserve"> vinculado al control del fentanilo y la migración. Esta decisión en el caso </w:t>
      </w:r>
      <w:r w:rsidR="004C6EA5" w:rsidRPr="000412CB">
        <w:rPr>
          <w:rFonts w:ascii="Noto Sans" w:hAnsi="Noto Sans" w:cs="Noto Sans"/>
          <w:i/>
          <w:iCs/>
          <w:sz w:val="18"/>
        </w:rPr>
        <w:t>Learning Resources v. Trump</w:t>
      </w:r>
      <w:r w:rsidR="004C6EA5" w:rsidRPr="000412CB">
        <w:rPr>
          <w:rFonts w:ascii="Noto Sans" w:hAnsi="Noto Sans" w:cs="Noto Sans"/>
          <w:sz w:val="18"/>
        </w:rPr>
        <w:t xml:space="preserve"> deja sin efecto legal las medidas que el Ejecutivo justificaba como emergencias nacionales, eliminando los "castigos" comerciales de carácter político.</w:t>
      </w:r>
    </w:p>
    <w:p w14:paraId="5799277A" w14:textId="6881DC17" w:rsidR="004C6EA5" w:rsidRPr="000160C6" w:rsidRDefault="004C6EA5" w:rsidP="004C6EA5">
      <w:pPr>
        <w:jc w:val="both"/>
        <w:rPr>
          <w:rFonts w:ascii="Noto Sans" w:hAnsi="Noto Sans" w:cs="Noto Sans"/>
          <w:sz w:val="18"/>
        </w:rPr>
      </w:pPr>
      <w:r w:rsidRPr="000412CB">
        <w:rPr>
          <w:rFonts w:ascii="Noto Sans" w:hAnsi="Noto Sans" w:cs="Noto Sans"/>
          <w:sz w:val="18"/>
        </w:rPr>
        <w:t>No obstante, el andamiaje arancelario estructural de Estados Unidos permanece intacto para sectores estratégicos, ya que el fallo no afecta a las leyes de seguridad nacional (</w:t>
      </w:r>
      <w:r w:rsidRPr="000412CB">
        <w:rPr>
          <w:rFonts w:ascii="Noto Sans" w:hAnsi="Noto Sans" w:cs="Noto Sans"/>
          <w:b/>
          <w:bCs/>
          <w:sz w:val="18"/>
        </w:rPr>
        <w:t>Sección 232</w:t>
      </w:r>
      <w:r w:rsidRPr="000412CB">
        <w:rPr>
          <w:rFonts w:ascii="Noto Sans" w:hAnsi="Noto Sans" w:cs="Noto Sans"/>
          <w:sz w:val="18"/>
        </w:rPr>
        <w:t>) ni de prácticas desleales (</w:t>
      </w:r>
      <w:r w:rsidRPr="000412CB">
        <w:rPr>
          <w:rFonts w:ascii="Noto Sans" w:hAnsi="Noto Sans" w:cs="Noto Sans"/>
          <w:b/>
          <w:bCs/>
          <w:sz w:val="18"/>
        </w:rPr>
        <w:t>Sección 301</w:t>
      </w:r>
      <w:r w:rsidRPr="000412CB">
        <w:rPr>
          <w:rFonts w:ascii="Noto Sans" w:hAnsi="Noto Sans" w:cs="Noto Sans"/>
          <w:sz w:val="18"/>
        </w:rPr>
        <w:t xml:space="preserve">). De este modo, se mantienen vigentes los gravámenes del </w:t>
      </w:r>
      <w:r w:rsidRPr="000412CB">
        <w:rPr>
          <w:rFonts w:ascii="Noto Sans" w:hAnsi="Noto Sans" w:cs="Noto Sans"/>
          <w:b/>
          <w:bCs/>
          <w:sz w:val="18"/>
        </w:rPr>
        <w:t>50% al acero y aluminio</w:t>
      </w:r>
      <w:r w:rsidRPr="000412CB">
        <w:rPr>
          <w:rFonts w:ascii="Noto Sans" w:hAnsi="Noto Sans" w:cs="Noto Sans"/>
          <w:sz w:val="18"/>
        </w:rPr>
        <w:t xml:space="preserve">, el </w:t>
      </w:r>
      <w:r w:rsidRPr="000412CB">
        <w:rPr>
          <w:rFonts w:ascii="Noto Sans" w:hAnsi="Noto Sans" w:cs="Noto Sans"/>
          <w:b/>
          <w:bCs/>
          <w:sz w:val="18"/>
        </w:rPr>
        <w:t>25% al sector automotriz</w:t>
      </w:r>
      <w:r w:rsidRPr="000412CB">
        <w:rPr>
          <w:rFonts w:ascii="Noto Sans" w:hAnsi="Noto Sans" w:cs="Noto Sans"/>
          <w:sz w:val="18"/>
        </w:rPr>
        <w:t xml:space="preserve"> y las tasas superiores al </w:t>
      </w:r>
      <w:r w:rsidRPr="000412CB">
        <w:rPr>
          <w:rFonts w:ascii="Noto Sans" w:hAnsi="Noto Sans" w:cs="Noto Sans"/>
          <w:b/>
          <w:bCs/>
          <w:sz w:val="18"/>
        </w:rPr>
        <w:t>100% para vehículos eléctricos y semiconductores chinos</w:t>
      </w:r>
      <w:r w:rsidRPr="000412CB">
        <w:rPr>
          <w:rFonts w:ascii="Noto Sans" w:hAnsi="Noto Sans" w:cs="Noto Sans"/>
          <w:sz w:val="18"/>
        </w:rPr>
        <w:t xml:space="preserve">. Para México, la estabilidad del </w:t>
      </w:r>
      <w:r w:rsidRPr="000412CB">
        <w:rPr>
          <w:rFonts w:ascii="Noto Sans" w:hAnsi="Noto Sans" w:cs="Noto Sans"/>
          <w:b/>
          <w:bCs/>
          <w:sz w:val="18"/>
        </w:rPr>
        <w:t>T-MEC</w:t>
      </w:r>
      <w:r w:rsidRPr="000412CB">
        <w:rPr>
          <w:rFonts w:ascii="Noto Sans" w:hAnsi="Noto Sans" w:cs="Noto Sans"/>
          <w:sz w:val="18"/>
        </w:rPr>
        <w:t xml:space="preserve"> cobra una relevancia renovada, pues los productos que cumplen estrictamente con las reglas de origen conservan</w:t>
      </w:r>
      <w:r w:rsidR="000160C6">
        <w:rPr>
          <w:rFonts w:ascii="Noto Sans" w:hAnsi="Noto Sans" w:cs="Noto Sans"/>
          <w:sz w:val="18"/>
        </w:rPr>
        <w:t xml:space="preserve"> (hasta el momento)</w:t>
      </w:r>
      <w:r w:rsidRPr="000412CB">
        <w:rPr>
          <w:rFonts w:ascii="Noto Sans" w:hAnsi="Noto Sans" w:cs="Noto Sans"/>
          <w:sz w:val="18"/>
        </w:rPr>
        <w:t xml:space="preserve"> su tasa preferencial del </w:t>
      </w:r>
      <w:r w:rsidRPr="000412CB">
        <w:rPr>
          <w:rFonts w:ascii="Noto Sans" w:hAnsi="Noto Sans" w:cs="Noto Sans"/>
          <w:b/>
          <w:bCs/>
          <w:sz w:val="18"/>
        </w:rPr>
        <w:t>0%</w:t>
      </w:r>
      <w:r w:rsidR="000160C6">
        <w:rPr>
          <w:rFonts w:ascii="Noto Sans" w:hAnsi="Noto Sans" w:cs="Noto Sans"/>
          <w:sz w:val="18"/>
        </w:rPr>
        <w:t>. Sin embargo, habría que esperar la publicación del marco legal de la aplicación de la tarifa del 10% global anunciada en la Conferencia de Prensa.</w:t>
      </w:r>
    </w:p>
    <w:p w14:paraId="61C58360" w14:textId="3BD8D98A" w:rsidR="00D1189B" w:rsidRPr="004C6EA5" w:rsidRDefault="00D1189B" w:rsidP="004C6EA5"/>
    <w:sectPr w:rsidR="00D1189B" w:rsidRPr="004C6EA5" w:rsidSect="005B457C">
      <w:headerReference w:type="default" r:id="rId13"/>
      <w:footerReference w:type="default" r:id="rId14"/>
      <w:type w:val="continuous"/>
      <w:pgSz w:w="12240" w:h="15840"/>
      <w:pgMar w:top="2835" w:right="1021" w:bottom="2257" w:left="1021" w:header="709" w:footer="709" w:gutter="0"/>
      <w:cols w:num="2"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BA74116" w14:textId="77777777" w:rsidR="008C1187" w:rsidRDefault="008C1187" w:rsidP="00025DA4">
      <w:r>
        <w:separator/>
      </w:r>
    </w:p>
  </w:endnote>
  <w:endnote w:type="continuationSeparator" w:id="0">
    <w:p w14:paraId="3541BDC7" w14:textId="77777777" w:rsidR="008C1187" w:rsidRDefault="008C1187" w:rsidP="00025DA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3" w:usb1="1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Noto Sans">
    <w:panose1 w:val="020B0502040504020204"/>
    <w:charset w:val="00"/>
    <w:family w:val="swiss"/>
    <w:pitch w:val="variable"/>
    <w:sig w:usb0="E00082FF" w:usb1="400078FF" w:usb2="00000021" w:usb3="00000000" w:csb0="0000019F" w:csb1="00000000"/>
  </w:font>
  <w:font w:name="Aptos Display">
    <w:panose1 w:val="020B0004020202020204"/>
    <w:charset w:val="00"/>
    <w:family w:val="swiss"/>
    <w:pitch w:val="variable"/>
    <w:sig w:usb0="20000287" w:usb1="00000003" w:usb2="00000000" w:usb3="00000000" w:csb0="0000019F" w:csb1="00000000"/>
  </w:font>
  <w:font w:name="Segoe UI">
    <w:panose1 w:val="020B0502040204020203"/>
    <w:charset w:val="00"/>
    <w:family w:val="swiss"/>
    <w:pitch w:val="variable"/>
    <w:sig w:usb0="E4002EFF" w:usb1="C000E47F" w:usb2="00000009" w:usb3="00000000" w:csb0="000001FF" w:csb1="00000000"/>
  </w:font>
  <w:font w:name="Yu Gothic Light">
    <w:panose1 w:val="020B0300000000000000"/>
    <w:charset w:val="80"/>
    <w:family w:val="swiss"/>
    <w:pitch w:val="variable"/>
    <w:sig w:usb0="E00002FF" w:usb1="2AC7FDFF" w:usb2="00000016"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4B8F09" w14:textId="59F82E35" w:rsidR="004C6EA5" w:rsidRDefault="004C6EA5">
    <w:pPr>
      <w:pStyle w:val="Piedepgina"/>
    </w:pPr>
    <w:r>
      <w:rPr>
        <w:noProof/>
        <w:lang w:eastAsia="es-MX"/>
      </w:rPr>
      <w:drawing>
        <wp:anchor distT="0" distB="0" distL="114300" distR="114300" simplePos="0" relativeHeight="251665408" behindDoc="1" locked="0" layoutInCell="1" allowOverlap="1" wp14:anchorId="21119986" wp14:editId="22FE2534">
          <wp:simplePos x="0" y="0"/>
          <wp:positionH relativeFrom="page">
            <wp:align>left</wp:align>
          </wp:positionH>
          <wp:positionV relativeFrom="page">
            <wp:align>bottom</wp:align>
          </wp:positionV>
          <wp:extent cx="7765876" cy="907473"/>
          <wp:effectExtent l="0" t="0" r="6985" b="6985"/>
          <wp:wrapNone/>
          <wp:docPr id="2" name="Imagen 2" descr="Interfaz de usuario gráfica, Texto, Aplicación&#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3435053" name="Imagen 2" descr="Interfaz de usuario gráfica, Texto, Aplicación&#10;&#10;El contenido generado por IA puede ser incorrecto."/>
                  <pic:cNvPicPr/>
                </pic:nvPicPr>
                <pic:blipFill rotWithShape="1">
                  <a:blip r:embed="rId1">
                    <a:extLst>
                      <a:ext uri="{28A0092B-C50C-407E-A947-70E740481C1C}">
                        <a14:useLocalDpi xmlns:a14="http://schemas.microsoft.com/office/drawing/2010/main" val="0"/>
                      </a:ext>
                    </a:extLst>
                  </a:blip>
                  <a:srcRect t="87482" b="3488"/>
                  <a:stretch>
                    <a:fillRect/>
                  </a:stretch>
                </pic:blipFill>
                <pic:spPr bwMode="auto">
                  <a:xfrm>
                    <a:off x="0" y="0"/>
                    <a:ext cx="7765876" cy="907473"/>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07C982" w14:textId="77777777" w:rsidR="0028024F" w:rsidRDefault="0028024F">
    <w:pPr>
      <w:pStyle w:val="Piedepgina"/>
    </w:pPr>
    <w:r>
      <w:rPr>
        <w:noProof/>
        <w:lang w:eastAsia="es-MX"/>
      </w:rPr>
      <w:drawing>
        <wp:anchor distT="0" distB="0" distL="114300" distR="114300" simplePos="0" relativeHeight="251661312" behindDoc="1" locked="0" layoutInCell="1" allowOverlap="1" wp14:anchorId="36555F03" wp14:editId="2E0CA211">
          <wp:simplePos x="0" y="0"/>
          <wp:positionH relativeFrom="page">
            <wp:align>right</wp:align>
          </wp:positionH>
          <wp:positionV relativeFrom="page">
            <wp:align>bottom</wp:align>
          </wp:positionV>
          <wp:extent cx="7765876" cy="907473"/>
          <wp:effectExtent l="0" t="0" r="6985" b="6985"/>
          <wp:wrapNone/>
          <wp:docPr id="833897767" name="Imagen 2" descr="Interfaz de usuario gráfica, Texto, Aplicación&#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3435053" name="Imagen 2" descr="Interfaz de usuario gráfica, Texto, Aplicación&#10;&#10;El contenido generado por IA puede ser incorrecto."/>
                  <pic:cNvPicPr/>
                </pic:nvPicPr>
                <pic:blipFill rotWithShape="1">
                  <a:blip r:embed="rId1">
                    <a:extLst>
                      <a:ext uri="{28A0092B-C50C-407E-A947-70E740481C1C}">
                        <a14:useLocalDpi xmlns:a14="http://schemas.microsoft.com/office/drawing/2010/main" val="0"/>
                      </a:ext>
                    </a:extLst>
                  </a:blip>
                  <a:srcRect t="87482" b="3488"/>
                  <a:stretch>
                    <a:fillRect/>
                  </a:stretch>
                </pic:blipFill>
                <pic:spPr bwMode="auto">
                  <a:xfrm>
                    <a:off x="0" y="0"/>
                    <a:ext cx="7765876" cy="907473"/>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27E148B" w14:textId="77777777" w:rsidR="008C1187" w:rsidRDefault="008C1187" w:rsidP="00025DA4">
      <w:r>
        <w:separator/>
      </w:r>
    </w:p>
  </w:footnote>
  <w:footnote w:type="continuationSeparator" w:id="0">
    <w:p w14:paraId="0642E019" w14:textId="77777777" w:rsidR="008C1187" w:rsidRDefault="008C1187" w:rsidP="00025DA4">
      <w:r>
        <w:continuationSeparator/>
      </w:r>
    </w:p>
  </w:footnote>
  <w:footnote w:id="1">
    <w:p w14:paraId="298C62D1" w14:textId="77777777" w:rsidR="004C6EA5" w:rsidRPr="000412CB" w:rsidRDefault="004C6EA5" w:rsidP="004C6EA5">
      <w:pPr>
        <w:pStyle w:val="Textonotapie"/>
        <w:jc w:val="both"/>
        <w:rPr>
          <w:rFonts w:ascii="Noto Sans" w:hAnsi="Noto Sans" w:cs="Noto Sans"/>
          <w:sz w:val="16"/>
          <w:szCs w:val="16"/>
        </w:rPr>
      </w:pPr>
      <w:r w:rsidRPr="000412CB">
        <w:rPr>
          <w:rStyle w:val="Refdenotaalpie"/>
          <w:rFonts w:ascii="Noto Sans" w:hAnsi="Noto Sans" w:cs="Noto Sans"/>
          <w:sz w:val="16"/>
          <w:szCs w:val="16"/>
        </w:rPr>
        <w:footnoteRef/>
      </w:r>
      <w:r w:rsidRPr="000412CB">
        <w:rPr>
          <w:rFonts w:ascii="Noto Sans" w:hAnsi="Noto Sans" w:cs="Noto Sans"/>
          <w:sz w:val="16"/>
          <w:szCs w:val="16"/>
        </w:rPr>
        <w:t xml:space="preserve"> The International Emergency Economic Powers Act: Origins, Evolution, and Use: https://www.govinfo.gov/app/details/USCODE-2023-title50/USCODE-2023-title50-chap35-sec1701</w:t>
      </w:r>
    </w:p>
  </w:footnote>
  <w:footnote w:id="2">
    <w:p w14:paraId="09B7AA32" w14:textId="77777777" w:rsidR="004C6EA5" w:rsidRPr="000412CB" w:rsidRDefault="004C6EA5" w:rsidP="004C6EA5">
      <w:pPr>
        <w:pStyle w:val="Textonotapie"/>
        <w:jc w:val="both"/>
        <w:rPr>
          <w:rFonts w:ascii="Noto Sans" w:hAnsi="Noto Sans" w:cs="Noto Sans"/>
          <w:sz w:val="16"/>
          <w:szCs w:val="16"/>
        </w:rPr>
      </w:pPr>
      <w:r w:rsidRPr="000412CB">
        <w:rPr>
          <w:rStyle w:val="Refdenotaalpie"/>
          <w:rFonts w:ascii="Noto Sans" w:hAnsi="Noto Sans" w:cs="Noto Sans"/>
          <w:sz w:val="16"/>
          <w:szCs w:val="16"/>
        </w:rPr>
        <w:footnoteRef/>
      </w:r>
      <w:r w:rsidRPr="000412CB">
        <w:rPr>
          <w:rFonts w:ascii="Noto Sans" w:hAnsi="Noto Sans" w:cs="Noto Sans"/>
          <w:sz w:val="16"/>
          <w:szCs w:val="16"/>
        </w:rPr>
        <w:t xml:space="preserve"> </w:t>
      </w:r>
      <w:r w:rsidRPr="000412CB">
        <w:rPr>
          <w:rFonts w:ascii="Noto Sans" w:hAnsi="Noto Sans" w:cs="Noto Sans"/>
          <w:sz w:val="16"/>
          <w:szCs w:val="16"/>
        </w:rPr>
        <w:t>Unusual and extraordinary threat: https://www.govinfo.gov/app/details/USCODE-2023-title50/USCODE-2023-title50-chap35-sec1701</w:t>
      </w:r>
    </w:p>
  </w:footnote>
  <w:footnote w:id="3">
    <w:p w14:paraId="6608F177" w14:textId="77777777" w:rsidR="004C6EA5" w:rsidRPr="000412CB" w:rsidRDefault="004C6EA5" w:rsidP="004C6EA5">
      <w:pPr>
        <w:pStyle w:val="Textonotapie"/>
        <w:jc w:val="both"/>
        <w:rPr>
          <w:rFonts w:ascii="Noto Sans" w:hAnsi="Noto Sans" w:cs="Noto Sans"/>
          <w:sz w:val="16"/>
          <w:szCs w:val="16"/>
        </w:rPr>
      </w:pPr>
      <w:r w:rsidRPr="000412CB">
        <w:rPr>
          <w:rStyle w:val="Refdenotaalpie"/>
          <w:rFonts w:ascii="Noto Sans" w:hAnsi="Noto Sans" w:cs="Noto Sans"/>
          <w:sz w:val="16"/>
          <w:szCs w:val="16"/>
        </w:rPr>
        <w:footnoteRef/>
      </w:r>
      <w:r w:rsidRPr="000412CB">
        <w:rPr>
          <w:rFonts w:ascii="Noto Sans" w:hAnsi="Noto Sans" w:cs="Noto Sans"/>
          <w:sz w:val="16"/>
          <w:szCs w:val="16"/>
        </w:rPr>
        <w:t xml:space="preserve"> </w:t>
      </w:r>
      <w:r w:rsidRPr="000412CB">
        <w:rPr>
          <w:rFonts w:ascii="Noto Sans" w:hAnsi="Noto Sans" w:cs="Noto Sans"/>
          <w:sz w:val="16"/>
          <w:szCs w:val="16"/>
        </w:rPr>
        <w:t>Regulating Imports with a Reciprocal Tariff to Rectify Trade Practices.</w:t>
      </w:r>
    </w:p>
    <w:p w14:paraId="00245001" w14:textId="77777777" w:rsidR="004C6EA5" w:rsidRPr="000412CB" w:rsidRDefault="004C6EA5" w:rsidP="004C6EA5">
      <w:pPr>
        <w:pStyle w:val="Textonotapie"/>
        <w:jc w:val="both"/>
        <w:rPr>
          <w:rFonts w:ascii="Noto Sans" w:hAnsi="Noto Sans" w:cs="Noto Sans"/>
          <w:sz w:val="16"/>
          <w:szCs w:val="16"/>
        </w:rPr>
      </w:pPr>
      <w:r w:rsidRPr="000412CB">
        <w:rPr>
          <w:rFonts w:ascii="Noto Sans" w:hAnsi="Noto Sans" w:cs="Noto Sans"/>
          <w:sz w:val="16"/>
          <w:szCs w:val="16"/>
        </w:rPr>
        <w:t>federalregister.gov/executive-order/14257</w:t>
      </w:r>
    </w:p>
  </w:footnote>
  <w:footnote w:id="4">
    <w:p w14:paraId="0C1DEDD0" w14:textId="77777777" w:rsidR="004C6EA5" w:rsidRPr="000412CB" w:rsidRDefault="004C6EA5" w:rsidP="004C6EA5">
      <w:pPr>
        <w:pStyle w:val="Textonotapie"/>
        <w:jc w:val="both"/>
        <w:rPr>
          <w:rFonts w:ascii="Noto Sans" w:hAnsi="Noto Sans" w:cs="Noto Sans"/>
          <w:sz w:val="16"/>
          <w:szCs w:val="16"/>
        </w:rPr>
      </w:pPr>
      <w:r w:rsidRPr="000412CB">
        <w:rPr>
          <w:rStyle w:val="Refdenotaalpie"/>
          <w:rFonts w:ascii="Noto Sans" w:hAnsi="Noto Sans" w:cs="Noto Sans"/>
          <w:sz w:val="16"/>
          <w:szCs w:val="16"/>
        </w:rPr>
        <w:footnoteRef/>
      </w:r>
      <w:r w:rsidRPr="000412CB">
        <w:rPr>
          <w:rFonts w:ascii="Noto Sans" w:hAnsi="Noto Sans" w:cs="Noto Sans"/>
          <w:sz w:val="16"/>
          <w:szCs w:val="16"/>
        </w:rPr>
        <w:t xml:space="preserve"> </w:t>
      </w:r>
      <w:r w:rsidRPr="000412CB">
        <w:rPr>
          <w:rFonts w:ascii="Noto Sans" w:hAnsi="Noto Sans" w:cs="Noto Sans"/>
          <w:sz w:val="16"/>
          <w:szCs w:val="16"/>
        </w:rPr>
        <w:t>Imposing Duties to Address the Influx of Illicit Drugs and Illegal Migration.</w:t>
      </w:r>
    </w:p>
    <w:p w14:paraId="733907EC" w14:textId="77777777" w:rsidR="004C6EA5" w:rsidRPr="000412CB" w:rsidRDefault="004C6EA5" w:rsidP="004C6EA5">
      <w:pPr>
        <w:pStyle w:val="Textonotapie"/>
        <w:jc w:val="both"/>
        <w:rPr>
          <w:rFonts w:ascii="Noto Sans" w:hAnsi="Noto Sans" w:cs="Noto Sans"/>
          <w:sz w:val="16"/>
          <w:szCs w:val="16"/>
        </w:rPr>
      </w:pPr>
      <w:r w:rsidRPr="000412CB">
        <w:rPr>
          <w:rFonts w:ascii="Noto Sans" w:hAnsi="Noto Sans" w:cs="Noto Sans"/>
          <w:sz w:val="16"/>
          <w:szCs w:val="16"/>
        </w:rPr>
        <w:t>whitehouse.gov/presidential-actions/2025/02/executive-order-addressing-fentanyl-and-migration/</w:t>
      </w:r>
    </w:p>
  </w:footnote>
  <w:footnote w:id="5">
    <w:p w14:paraId="6DF1DC43" w14:textId="77777777" w:rsidR="004C6EA5" w:rsidRPr="000412CB" w:rsidRDefault="004C6EA5" w:rsidP="004C6EA5">
      <w:pPr>
        <w:pStyle w:val="Textonotapie"/>
        <w:jc w:val="both"/>
        <w:rPr>
          <w:rFonts w:ascii="Noto Sans" w:hAnsi="Noto Sans" w:cs="Noto Sans"/>
          <w:sz w:val="16"/>
          <w:szCs w:val="16"/>
        </w:rPr>
      </w:pPr>
      <w:r w:rsidRPr="000412CB">
        <w:rPr>
          <w:rStyle w:val="Refdenotaalpie"/>
          <w:rFonts w:ascii="Noto Sans" w:hAnsi="Noto Sans" w:cs="Noto Sans"/>
          <w:sz w:val="16"/>
          <w:szCs w:val="16"/>
        </w:rPr>
        <w:footnoteRef/>
      </w:r>
      <w:r w:rsidRPr="000412CB">
        <w:rPr>
          <w:rFonts w:ascii="Noto Sans" w:hAnsi="Noto Sans" w:cs="Noto Sans"/>
          <w:sz w:val="16"/>
          <w:szCs w:val="16"/>
        </w:rPr>
        <w:t xml:space="preserve"> </w:t>
      </w:r>
      <w:r w:rsidRPr="000412CB">
        <w:rPr>
          <w:rFonts w:ascii="Noto Sans" w:hAnsi="Noto Sans" w:cs="Noto Sans"/>
          <w:sz w:val="16"/>
          <w:szCs w:val="16"/>
        </w:rPr>
        <w:t>Regulating Imports with a Reciprocal Tariff to Rectify Trade Practices.</w:t>
      </w:r>
    </w:p>
    <w:p w14:paraId="729BEADA" w14:textId="77777777" w:rsidR="004C6EA5" w:rsidRPr="000412CB" w:rsidRDefault="004C6EA5" w:rsidP="004C6EA5">
      <w:pPr>
        <w:pStyle w:val="Textonotapie"/>
        <w:jc w:val="both"/>
        <w:rPr>
          <w:rFonts w:ascii="Noto Sans" w:hAnsi="Noto Sans" w:cs="Noto Sans"/>
          <w:sz w:val="16"/>
          <w:szCs w:val="16"/>
        </w:rPr>
      </w:pPr>
      <w:r w:rsidRPr="000412CB">
        <w:rPr>
          <w:rFonts w:ascii="Noto Sans" w:hAnsi="Noto Sans" w:cs="Noto Sans"/>
          <w:sz w:val="16"/>
          <w:szCs w:val="16"/>
        </w:rPr>
        <w:t>federalregister.gov/executive-order/14257</w:t>
      </w:r>
    </w:p>
  </w:footnote>
  <w:footnote w:id="6">
    <w:p w14:paraId="628D986A" w14:textId="77777777" w:rsidR="004C6EA5" w:rsidRPr="00256E2B" w:rsidRDefault="004C6EA5" w:rsidP="004C6EA5">
      <w:pPr>
        <w:pStyle w:val="Textonotapie"/>
        <w:jc w:val="both"/>
        <w:rPr>
          <w:rFonts w:ascii="Noto Sans" w:hAnsi="Noto Sans" w:cs="Noto Sans"/>
          <w:sz w:val="14"/>
          <w:szCs w:val="14"/>
        </w:rPr>
      </w:pPr>
      <w:r w:rsidRPr="00256E2B">
        <w:rPr>
          <w:rStyle w:val="Refdenotaalpie"/>
          <w:rFonts w:ascii="Noto Sans" w:hAnsi="Noto Sans" w:cs="Noto Sans"/>
          <w:sz w:val="14"/>
          <w:szCs w:val="14"/>
        </w:rPr>
        <w:footnoteRef/>
      </w:r>
      <w:r w:rsidRPr="00256E2B">
        <w:rPr>
          <w:rFonts w:ascii="Noto Sans" w:hAnsi="Noto Sans" w:cs="Noto Sans"/>
          <w:sz w:val="14"/>
          <w:szCs w:val="14"/>
        </w:rPr>
        <w:t xml:space="preserve"> </w:t>
      </w:r>
      <w:r w:rsidRPr="00256E2B">
        <w:rPr>
          <w:rFonts w:ascii="Noto Sans" w:hAnsi="Noto Sans" w:cs="Noto Sans"/>
          <w:sz w:val="14"/>
          <w:szCs w:val="14"/>
        </w:rPr>
        <w:t>Modifying Reciprocal Tariff Rates to Reflect Discussions with the People’s Republic of China.</w:t>
      </w:r>
    </w:p>
    <w:p w14:paraId="6D1D1803" w14:textId="77777777" w:rsidR="004C6EA5" w:rsidRPr="00256E2B" w:rsidRDefault="004C6EA5" w:rsidP="004C6EA5">
      <w:pPr>
        <w:pStyle w:val="Textonotapie"/>
        <w:jc w:val="both"/>
        <w:rPr>
          <w:rFonts w:ascii="Noto Sans" w:hAnsi="Noto Sans" w:cs="Noto Sans"/>
          <w:sz w:val="14"/>
          <w:szCs w:val="14"/>
        </w:rPr>
      </w:pPr>
      <w:r w:rsidRPr="00256E2B">
        <w:rPr>
          <w:rFonts w:ascii="Noto Sans" w:hAnsi="Noto Sans" w:cs="Noto Sans"/>
          <w:sz w:val="14"/>
          <w:szCs w:val="14"/>
        </w:rPr>
        <w:t>whitehouse.gov/presidential-actions/2025/04/amendment-to-reciprocal-tariffs-china/</w:t>
      </w:r>
    </w:p>
  </w:footnote>
  <w:footnote w:id="7">
    <w:p w14:paraId="102F0E73" w14:textId="77777777" w:rsidR="004C6EA5" w:rsidRPr="00256E2B" w:rsidRDefault="004C6EA5" w:rsidP="004C6EA5">
      <w:pPr>
        <w:pStyle w:val="Textonotapie"/>
        <w:jc w:val="both"/>
        <w:rPr>
          <w:rFonts w:ascii="Noto Sans" w:hAnsi="Noto Sans" w:cs="Noto Sans"/>
          <w:sz w:val="14"/>
          <w:szCs w:val="14"/>
        </w:rPr>
      </w:pPr>
      <w:r w:rsidRPr="00256E2B">
        <w:rPr>
          <w:rStyle w:val="Refdenotaalpie"/>
          <w:rFonts w:ascii="Noto Sans" w:hAnsi="Noto Sans" w:cs="Noto Sans"/>
          <w:sz w:val="14"/>
          <w:szCs w:val="14"/>
        </w:rPr>
        <w:footnoteRef/>
      </w:r>
      <w:r w:rsidRPr="00256E2B">
        <w:rPr>
          <w:rFonts w:ascii="Noto Sans" w:hAnsi="Noto Sans" w:cs="Noto Sans"/>
          <w:sz w:val="14"/>
          <w:szCs w:val="14"/>
        </w:rPr>
        <w:t xml:space="preserve"> </w:t>
      </w:r>
      <w:r w:rsidRPr="00256E2B">
        <w:rPr>
          <w:rFonts w:ascii="Noto Sans" w:hAnsi="Noto Sans" w:cs="Noto Sans"/>
          <w:sz w:val="14"/>
          <w:szCs w:val="14"/>
        </w:rPr>
        <w:t>Trump Has Many Options if the Supreme Court Strikes Down: Tariffshttps://www.cato.org/commentary/trump-has-many-options-supreme-court-strikes-down-tariffs</w:t>
      </w:r>
    </w:p>
  </w:footnote>
  <w:footnote w:id="8">
    <w:p w14:paraId="7849FFDB" w14:textId="77777777" w:rsidR="004C6EA5" w:rsidRPr="00256E2B" w:rsidRDefault="004C6EA5" w:rsidP="004C6EA5">
      <w:pPr>
        <w:pStyle w:val="Textonotapie"/>
        <w:jc w:val="both"/>
        <w:rPr>
          <w:rFonts w:ascii="Noto Sans" w:hAnsi="Noto Sans" w:cs="Noto Sans"/>
          <w:sz w:val="14"/>
          <w:szCs w:val="14"/>
        </w:rPr>
      </w:pPr>
      <w:r w:rsidRPr="00256E2B">
        <w:rPr>
          <w:rStyle w:val="Refdenotaalpie"/>
          <w:rFonts w:ascii="Noto Sans" w:hAnsi="Noto Sans" w:cs="Noto Sans"/>
          <w:sz w:val="14"/>
          <w:szCs w:val="14"/>
        </w:rPr>
        <w:footnoteRef/>
      </w:r>
      <w:r w:rsidRPr="00256E2B">
        <w:rPr>
          <w:rFonts w:ascii="Noto Sans" w:hAnsi="Noto Sans" w:cs="Noto Sans"/>
          <w:sz w:val="14"/>
          <w:szCs w:val="14"/>
        </w:rPr>
        <w:t xml:space="preserve"> </w:t>
      </w:r>
      <w:r w:rsidRPr="00256E2B">
        <w:rPr>
          <w:rFonts w:ascii="Noto Sans" w:hAnsi="Noto Sans" w:cs="Noto Sans"/>
          <w:sz w:val="14"/>
          <w:szCs w:val="14"/>
        </w:rPr>
        <w:t>Supreme Court Pulls the Plug on Trump’s IEEPA Tariffs.</w:t>
      </w:r>
    </w:p>
    <w:p w14:paraId="49E96999" w14:textId="77777777" w:rsidR="004C6EA5" w:rsidRPr="00256E2B" w:rsidRDefault="004C6EA5" w:rsidP="004C6EA5">
      <w:pPr>
        <w:pStyle w:val="Textonotapie"/>
        <w:jc w:val="both"/>
        <w:rPr>
          <w:rFonts w:ascii="Noto Sans" w:hAnsi="Noto Sans" w:cs="Noto Sans"/>
          <w:sz w:val="14"/>
          <w:szCs w:val="14"/>
        </w:rPr>
      </w:pPr>
      <w:r w:rsidRPr="00256E2B">
        <w:rPr>
          <w:rFonts w:ascii="Noto Sans" w:hAnsi="Noto Sans" w:cs="Noto Sans"/>
          <w:sz w:val="14"/>
          <w:szCs w:val="14"/>
        </w:rPr>
        <w:t>think.ing.com/articles/supreme-court-pulls-plug-on-trumps-ieepa-tariff/</w:t>
      </w:r>
    </w:p>
  </w:footnote>
  <w:footnote w:id="9">
    <w:p w14:paraId="1A84E1EF" w14:textId="77777777" w:rsidR="004C6EA5" w:rsidRPr="00256E2B" w:rsidRDefault="004C6EA5" w:rsidP="004C6EA5">
      <w:pPr>
        <w:pStyle w:val="Textonotapie"/>
        <w:jc w:val="both"/>
        <w:rPr>
          <w:rFonts w:ascii="Noto Sans" w:hAnsi="Noto Sans" w:cs="Noto Sans"/>
          <w:sz w:val="14"/>
          <w:szCs w:val="14"/>
        </w:rPr>
      </w:pPr>
      <w:r w:rsidRPr="00256E2B">
        <w:rPr>
          <w:rStyle w:val="Refdenotaalpie"/>
          <w:rFonts w:ascii="Noto Sans" w:hAnsi="Noto Sans" w:cs="Noto Sans"/>
          <w:sz w:val="14"/>
          <w:szCs w:val="14"/>
        </w:rPr>
        <w:footnoteRef/>
      </w:r>
      <w:r w:rsidRPr="00256E2B">
        <w:rPr>
          <w:rFonts w:ascii="Noto Sans" w:hAnsi="Noto Sans" w:cs="Noto Sans"/>
          <w:sz w:val="14"/>
          <w:szCs w:val="14"/>
        </w:rPr>
        <w:t xml:space="preserve"> </w:t>
      </w:r>
      <w:r w:rsidRPr="00256E2B">
        <w:rPr>
          <w:rFonts w:ascii="Noto Sans" w:hAnsi="Noto Sans" w:cs="Noto Sans"/>
          <w:sz w:val="14"/>
          <w:szCs w:val="14"/>
        </w:rPr>
        <w:t>Can Trump Keep His Tariffs if Supreme Court Invalidates Them?</w:t>
      </w:r>
    </w:p>
    <w:p w14:paraId="76DC4F02" w14:textId="77777777" w:rsidR="004C6EA5" w:rsidRPr="00256E2B" w:rsidRDefault="004C6EA5" w:rsidP="004C6EA5">
      <w:pPr>
        <w:pStyle w:val="Textonotapie"/>
        <w:jc w:val="both"/>
        <w:rPr>
          <w:rFonts w:ascii="Noto Sans" w:hAnsi="Noto Sans" w:cs="Noto Sans"/>
          <w:sz w:val="14"/>
          <w:szCs w:val="14"/>
        </w:rPr>
      </w:pPr>
      <w:r w:rsidRPr="00256E2B">
        <w:rPr>
          <w:rFonts w:ascii="Noto Sans" w:hAnsi="Noto Sans" w:cs="Noto Sans"/>
          <w:sz w:val="14"/>
          <w:szCs w:val="14"/>
        </w:rPr>
        <w:t>piie.com/publications/policy-briefs/2026/can-trump-keep-his-tariffs-if-supreme-court-invalidates-them</w:t>
      </w:r>
    </w:p>
  </w:footnote>
  <w:footnote w:id="10">
    <w:p w14:paraId="7CD000F9" w14:textId="77777777" w:rsidR="004C6EA5" w:rsidRPr="00256E2B" w:rsidRDefault="004C6EA5" w:rsidP="004C6EA5">
      <w:pPr>
        <w:pStyle w:val="Textonotapie"/>
        <w:jc w:val="both"/>
        <w:rPr>
          <w:rFonts w:ascii="Noto Sans" w:hAnsi="Noto Sans" w:cs="Noto Sans"/>
          <w:sz w:val="14"/>
          <w:szCs w:val="14"/>
        </w:rPr>
      </w:pPr>
      <w:r w:rsidRPr="00256E2B">
        <w:rPr>
          <w:rStyle w:val="Refdenotaalpie"/>
          <w:rFonts w:ascii="Noto Sans" w:hAnsi="Noto Sans" w:cs="Noto Sans"/>
          <w:sz w:val="14"/>
          <w:szCs w:val="14"/>
        </w:rPr>
        <w:footnoteRef/>
      </w:r>
      <w:r w:rsidRPr="00256E2B">
        <w:rPr>
          <w:rFonts w:ascii="Noto Sans" w:hAnsi="Noto Sans" w:cs="Noto Sans"/>
          <w:sz w:val="14"/>
          <w:szCs w:val="14"/>
        </w:rPr>
        <w:t xml:space="preserve"> </w:t>
      </w:r>
      <w:r w:rsidRPr="00256E2B">
        <w:rPr>
          <w:rFonts w:ascii="Noto Sans" w:hAnsi="Noto Sans" w:cs="Noto Sans"/>
          <w:sz w:val="14"/>
          <w:szCs w:val="14"/>
        </w:rPr>
        <w:t>Presidential Authority and Congress on Tariffs.</w:t>
      </w:r>
    </w:p>
    <w:p w14:paraId="52C25D65" w14:textId="77777777" w:rsidR="004C6EA5" w:rsidRPr="00256E2B" w:rsidRDefault="004C6EA5" w:rsidP="004C6EA5">
      <w:pPr>
        <w:pStyle w:val="Textonotapie"/>
        <w:jc w:val="both"/>
        <w:rPr>
          <w:rFonts w:ascii="Noto Sans" w:hAnsi="Noto Sans" w:cs="Noto Sans"/>
          <w:sz w:val="14"/>
          <w:szCs w:val="14"/>
        </w:rPr>
      </w:pPr>
      <w:r w:rsidRPr="00256E2B">
        <w:rPr>
          <w:rFonts w:ascii="Noto Sans" w:hAnsi="Noto Sans" w:cs="Noto Sans"/>
          <w:sz w:val="14"/>
          <w:szCs w:val="14"/>
        </w:rPr>
        <w:t>taxfoundation.org/presidential-authority-congress-tariffs</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6CF00B" w14:textId="729158FC" w:rsidR="004C6EA5" w:rsidRDefault="004C6EA5">
    <w:pPr>
      <w:pStyle w:val="Encabezado"/>
    </w:pPr>
    <w:r>
      <w:rPr>
        <w:noProof/>
        <w:lang w:eastAsia="es-MX"/>
      </w:rPr>
      <w:drawing>
        <wp:anchor distT="0" distB="0" distL="114300" distR="114300" simplePos="0" relativeHeight="251663360" behindDoc="1" locked="0" layoutInCell="1" allowOverlap="1" wp14:anchorId="4D0FA5B8" wp14:editId="1ED7E893">
          <wp:simplePos x="0" y="0"/>
          <wp:positionH relativeFrom="page">
            <wp:align>right</wp:align>
          </wp:positionH>
          <wp:positionV relativeFrom="page">
            <wp:posOffset>25298</wp:posOffset>
          </wp:positionV>
          <wp:extent cx="7767867" cy="1038571"/>
          <wp:effectExtent l="0" t="0" r="5080" b="9525"/>
          <wp:wrapNone/>
          <wp:docPr id="1"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7499149" name="Imagen 2"/>
                  <pic:cNvPicPr/>
                </pic:nvPicPr>
                <pic:blipFill rotWithShape="1">
                  <a:blip r:embed="rId1">
                    <a:extLst>
                      <a:ext uri="{28A0092B-C50C-407E-A947-70E740481C1C}">
                        <a14:useLocalDpi xmlns:a14="http://schemas.microsoft.com/office/drawing/2010/main" val="0"/>
                      </a:ext>
                    </a:extLst>
                  </a:blip>
                  <a:srcRect t="3444" b="86224"/>
                  <a:stretch>
                    <a:fillRect/>
                  </a:stretch>
                </pic:blipFill>
                <pic:spPr bwMode="auto">
                  <a:xfrm>
                    <a:off x="0" y="0"/>
                    <a:ext cx="7767867" cy="1038571"/>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64BD96" w14:textId="77777777" w:rsidR="00025DA4" w:rsidRDefault="00025DA4">
    <w:pPr>
      <w:pStyle w:val="Encabezado"/>
    </w:pPr>
    <w:r>
      <w:rPr>
        <w:noProof/>
        <w:lang w:eastAsia="es-MX"/>
      </w:rPr>
      <w:drawing>
        <wp:anchor distT="0" distB="0" distL="114300" distR="114300" simplePos="0" relativeHeight="251659264" behindDoc="1" locked="0" layoutInCell="1" allowOverlap="1" wp14:anchorId="054B2A7B" wp14:editId="625E373B">
          <wp:simplePos x="0" y="0"/>
          <wp:positionH relativeFrom="page">
            <wp:align>right</wp:align>
          </wp:positionH>
          <wp:positionV relativeFrom="page">
            <wp:align>top</wp:align>
          </wp:positionV>
          <wp:extent cx="7767867" cy="1038571"/>
          <wp:effectExtent l="0" t="0" r="5080" b="9525"/>
          <wp:wrapNone/>
          <wp:docPr id="1904976405"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7499149" name="Imagen 2"/>
                  <pic:cNvPicPr/>
                </pic:nvPicPr>
                <pic:blipFill rotWithShape="1">
                  <a:blip r:embed="rId1">
                    <a:extLst>
                      <a:ext uri="{28A0092B-C50C-407E-A947-70E740481C1C}">
                        <a14:useLocalDpi xmlns:a14="http://schemas.microsoft.com/office/drawing/2010/main" val="0"/>
                      </a:ext>
                    </a:extLst>
                  </a:blip>
                  <a:srcRect t="3444" b="86224"/>
                  <a:stretch>
                    <a:fillRect/>
                  </a:stretch>
                </pic:blipFill>
                <pic:spPr bwMode="auto">
                  <a:xfrm>
                    <a:off x="0" y="0"/>
                    <a:ext cx="7767867" cy="1038571"/>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1A41A7"/>
    <w:multiLevelType w:val="hybridMultilevel"/>
    <w:tmpl w:val="4034767E"/>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 w15:restartNumberingAfterBreak="0">
    <w:nsid w:val="0D577501"/>
    <w:multiLevelType w:val="hybridMultilevel"/>
    <w:tmpl w:val="DAC0735A"/>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 w15:restartNumberingAfterBreak="0">
    <w:nsid w:val="12FF0001"/>
    <w:multiLevelType w:val="hybridMultilevel"/>
    <w:tmpl w:val="DBA295F0"/>
    <w:lvl w:ilvl="0" w:tplc="080A000F">
      <w:start w:val="1"/>
      <w:numFmt w:val="decimal"/>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3" w15:restartNumberingAfterBreak="0">
    <w:nsid w:val="1CBB56E3"/>
    <w:multiLevelType w:val="hybridMultilevel"/>
    <w:tmpl w:val="075808E4"/>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4" w15:restartNumberingAfterBreak="0">
    <w:nsid w:val="27257F28"/>
    <w:multiLevelType w:val="hybridMultilevel"/>
    <w:tmpl w:val="77D81678"/>
    <w:lvl w:ilvl="0" w:tplc="C2A0266C">
      <w:start w:val="1"/>
      <w:numFmt w:val="bullet"/>
      <w:lvlText w:val=""/>
      <w:lvlJc w:val="left"/>
      <w:pPr>
        <w:ind w:left="720" w:hanging="360"/>
      </w:pPr>
      <w:rPr>
        <w:rFonts w:ascii="Symbol" w:eastAsiaTheme="minorHAnsi" w:hAnsi="Symbol" w:cs="Noto Sans"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5" w15:restartNumberingAfterBreak="0">
    <w:nsid w:val="2C6011D1"/>
    <w:multiLevelType w:val="hybridMultilevel"/>
    <w:tmpl w:val="5050601C"/>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6" w15:restartNumberingAfterBreak="0">
    <w:nsid w:val="2F3C4EA3"/>
    <w:multiLevelType w:val="hybridMultilevel"/>
    <w:tmpl w:val="1200D16C"/>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7" w15:restartNumberingAfterBreak="0">
    <w:nsid w:val="31430EAC"/>
    <w:multiLevelType w:val="hybridMultilevel"/>
    <w:tmpl w:val="3B5A738E"/>
    <w:lvl w:ilvl="0" w:tplc="080A0001">
      <w:start w:val="1"/>
      <w:numFmt w:val="bullet"/>
      <w:lvlText w:val=""/>
      <w:lvlJc w:val="left"/>
      <w:pPr>
        <w:ind w:left="720" w:hanging="360"/>
      </w:pPr>
      <w:rPr>
        <w:rFonts w:ascii="Symbol" w:hAnsi="Symbol" w:hint="default"/>
      </w:rPr>
    </w:lvl>
    <w:lvl w:ilvl="1" w:tplc="080A0003">
      <w:start w:val="1"/>
      <w:numFmt w:val="bullet"/>
      <w:lvlText w:val="o"/>
      <w:lvlJc w:val="left"/>
      <w:pPr>
        <w:ind w:left="1440" w:hanging="360"/>
      </w:pPr>
      <w:rPr>
        <w:rFonts w:ascii="Courier New" w:hAnsi="Courier New" w:cs="Courier New" w:hint="default"/>
      </w:rPr>
    </w:lvl>
    <w:lvl w:ilvl="2" w:tplc="080A0005">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8" w15:restartNumberingAfterBreak="0">
    <w:nsid w:val="41620444"/>
    <w:multiLevelType w:val="hybridMultilevel"/>
    <w:tmpl w:val="C2443C82"/>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9" w15:restartNumberingAfterBreak="0">
    <w:nsid w:val="44AC3A49"/>
    <w:multiLevelType w:val="hybridMultilevel"/>
    <w:tmpl w:val="A768AD56"/>
    <w:lvl w:ilvl="0" w:tplc="080A0001">
      <w:start w:val="1"/>
      <w:numFmt w:val="bullet"/>
      <w:lvlText w:val=""/>
      <w:lvlJc w:val="left"/>
      <w:pPr>
        <w:ind w:left="360" w:hanging="360"/>
      </w:pPr>
      <w:rPr>
        <w:rFonts w:ascii="Symbol" w:hAnsi="Symbol" w:hint="default"/>
      </w:rPr>
    </w:lvl>
    <w:lvl w:ilvl="1" w:tplc="080A0003" w:tentative="1">
      <w:start w:val="1"/>
      <w:numFmt w:val="bullet"/>
      <w:lvlText w:val="o"/>
      <w:lvlJc w:val="left"/>
      <w:pPr>
        <w:ind w:left="1080" w:hanging="360"/>
      </w:pPr>
      <w:rPr>
        <w:rFonts w:ascii="Courier New" w:hAnsi="Courier New" w:cs="Courier New" w:hint="default"/>
      </w:rPr>
    </w:lvl>
    <w:lvl w:ilvl="2" w:tplc="080A0005" w:tentative="1">
      <w:start w:val="1"/>
      <w:numFmt w:val="bullet"/>
      <w:lvlText w:val=""/>
      <w:lvlJc w:val="left"/>
      <w:pPr>
        <w:ind w:left="1800" w:hanging="360"/>
      </w:pPr>
      <w:rPr>
        <w:rFonts w:ascii="Wingdings" w:hAnsi="Wingdings" w:hint="default"/>
      </w:rPr>
    </w:lvl>
    <w:lvl w:ilvl="3" w:tplc="080A0001" w:tentative="1">
      <w:start w:val="1"/>
      <w:numFmt w:val="bullet"/>
      <w:lvlText w:val=""/>
      <w:lvlJc w:val="left"/>
      <w:pPr>
        <w:ind w:left="2520" w:hanging="360"/>
      </w:pPr>
      <w:rPr>
        <w:rFonts w:ascii="Symbol" w:hAnsi="Symbol" w:hint="default"/>
      </w:rPr>
    </w:lvl>
    <w:lvl w:ilvl="4" w:tplc="080A0003" w:tentative="1">
      <w:start w:val="1"/>
      <w:numFmt w:val="bullet"/>
      <w:lvlText w:val="o"/>
      <w:lvlJc w:val="left"/>
      <w:pPr>
        <w:ind w:left="3240" w:hanging="360"/>
      </w:pPr>
      <w:rPr>
        <w:rFonts w:ascii="Courier New" w:hAnsi="Courier New" w:cs="Courier New" w:hint="default"/>
      </w:rPr>
    </w:lvl>
    <w:lvl w:ilvl="5" w:tplc="080A0005" w:tentative="1">
      <w:start w:val="1"/>
      <w:numFmt w:val="bullet"/>
      <w:lvlText w:val=""/>
      <w:lvlJc w:val="left"/>
      <w:pPr>
        <w:ind w:left="3960" w:hanging="360"/>
      </w:pPr>
      <w:rPr>
        <w:rFonts w:ascii="Wingdings" w:hAnsi="Wingdings" w:hint="default"/>
      </w:rPr>
    </w:lvl>
    <w:lvl w:ilvl="6" w:tplc="080A0001" w:tentative="1">
      <w:start w:val="1"/>
      <w:numFmt w:val="bullet"/>
      <w:lvlText w:val=""/>
      <w:lvlJc w:val="left"/>
      <w:pPr>
        <w:ind w:left="4680" w:hanging="360"/>
      </w:pPr>
      <w:rPr>
        <w:rFonts w:ascii="Symbol" w:hAnsi="Symbol" w:hint="default"/>
      </w:rPr>
    </w:lvl>
    <w:lvl w:ilvl="7" w:tplc="080A0003" w:tentative="1">
      <w:start w:val="1"/>
      <w:numFmt w:val="bullet"/>
      <w:lvlText w:val="o"/>
      <w:lvlJc w:val="left"/>
      <w:pPr>
        <w:ind w:left="5400" w:hanging="360"/>
      </w:pPr>
      <w:rPr>
        <w:rFonts w:ascii="Courier New" w:hAnsi="Courier New" w:cs="Courier New" w:hint="default"/>
      </w:rPr>
    </w:lvl>
    <w:lvl w:ilvl="8" w:tplc="080A0005" w:tentative="1">
      <w:start w:val="1"/>
      <w:numFmt w:val="bullet"/>
      <w:lvlText w:val=""/>
      <w:lvlJc w:val="left"/>
      <w:pPr>
        <w:ind w:left="6120" w:hanging="360"/>
      </w:pPr>
      <w:rPr>
        <w:rFonts w:ascii="Wingdings" w:hAnsi="Wingdings" w:hint="default"/>
      </w:rPr>
    </w:lvl>
  </w:abstractNum>
  <w:abstractNum w:abstractNumId="10" w15:restartNumberingAfterBreak="0">
    <w:nsid w:val="4B221D7A"/>
    <w:multiLevelType w:val="hybridMultilevel"/>
    <w:tmpl w:val="ACEEDCF8"/>
    <w:lvl w:ilvl="0" w:tplc="080A000F">
      <w:start w:val="1"/>
      <w:numFmt w:val="decimal"/>
      <w:lvlText w:val="%1."/>
      <w:lvlJc w:val="left"/>
      <w:pPr>
        <w:ind w:left="360" w:hanging="360"/>
      </w:pPr>
      <w:rPr>
        <w:rFonts w:hint="default"/>
      </w:rPr>
    </w:lvl>
    <w:lvl w:ilvl="1" w:tplc="080A0019" w:tentative="1">
      <w:start w:val="1"/>
      <w:numFmt w:val="lowerLetter"/>
      <w:lvlText w:val="%2."/>
      <w:lvlJc w:val="left"/>
      <w:pPr>
        <w:ind w:left="1080" w:hanging="360"/>
      </w:pPr>
    </w:lvl>
    <w:lvl w:ilvl="2" w:tplc="080A001B" w:tentative="1">
      <w:start w:val="1"/>
      <w:numFmt w:val="lowerRoman"/>
      <w:lvlText w:val="%3."/>
      <w:lvlJc w:val="right"/>
      <w:pPr>
        <w:ind w:left="1800" w:hanging="180"/>
      </w:pPr>
    </w:lvl>
    <w:lvl w:ilvl="3" w:tplc="080A000F" w:tentative="1">
      <w:start w:val="1"/>
      <w:numFmt w:val="decimal"/>
      <w:lvlText w:val="%4."/>
      <w:lvlJc w:val="left"/>
      <w:pPr>
        <w:ind w:left="2520" w:hanging="360"/>
      </w:pPr>
    </w:lvl>
    <w:lvl w:ilvl="4" w:tplc="080A0019" w:tentative="1">
      <w:start w:val="1"/>
      <w:numFmt w:val="lowerLetter"/>
      <w:lvlText w:val="%5."/>
      <w:lvlJc w:val="left"/>
      <w:pPr>
        <w:ind w:left="3240" w:hanging="360"/>
      </w:pPr>
    </w:lvl>
    <w:lvl w:ilvl="5" w:tplc="080A001B" w:tentative="1">
      <w:start w:val="1"/>
      <w:numFmt w:val="lowerRoman"/>
      <w:lvlText w:val="%6."/>
      <w:lvlJc w:val="right"/>
      <w:pPr>
        <w:ind w:left="3960" w:hanging="180"/>
      </w:pPr>
    </w:lvl>
    <w:lvl w:ilvl="6" w:tplc="080A000F" w:tentative="1">
      <w:start w:val="1"/>
      <w:numFmt w:val="decimal"/>
      <w:lvlText w:val="%7."/>
      <w:lvlJc w:val="left"/>
      <w:pPr>
        <w:ind w:left="4680" w:hanging="360"/>
      </w:pPr>
    </w:lvl>
    <w:lvl w:ilvl="7" w:tplc="080A0019" w:tentative="1">
      <w:start w:val="1"/>
      <w:numFmt w:val="lowerLetter"/>
      <w:lvlText w:val="%8."/>
      <w:lvlJc w:val="left"/>
      <w:pPr>
        <w:ind w:left="5400" w:hanging="360"/>
      </w:pPr>
    </w:lvl>
    <w:lvl w:ilvl="8" w:tplc="080A001B" w:tentative="1">
      <w:start w:val="1"/>
      <w:numFmt w:val="lowerRoman"/>
      <w:lvlText w:val="%9."/>
      <w:lvlJc w:val="right"/>
      <w:pPr>
        <w:ind w:left="6120" w:hanging="180"/>
      </w:pPr>
    </w:lvl>
  </w:abstractNum>
  <w:num w:numId="1" w16cid:durableId="1862744000">
    <w:abstractNumId w:val="7"/>
  </w:num>
  <w:num w:numId="2" w16cid:durableId="1309432886">
    <w:abstractNumId w:val="3"/>
  </w:num>
  <w:num w:numId="3" w16cid:durableId="189538921">
    <w:abstractNumId w:val="5"/>
  </w:num>
  <w:num w:numId="4" w16cid:durableId="446432467">
    <w:abstractNumId w:val="1"/>
  </w:num>
  <w:num w:numId="5" w16cid:durableId="932667395">
    <w:abstractNumId w:val="9"/>
  </w:num>
  <w:num w:numId="6" w16cid:durableId="1689987644">
    <w:abstractNumId w:val="8"/>
  </w:num>
  <w:num w:numId="7" w16cid:durableId="748582779">
    <w:abstractNumId w:val="10"/>
  </w:num>
  <w:num w:numId="8" w16cid:durableId="915896898">
    <w:abstractNumId w:val="6"/>
  </w:num>
  <w:num w:numId="9" w16cid:durableId="466048728">
    <w:abstractNumId w:val="0"/>
  </w:num>
  <w:num w:numId="10" w16cid:durableId="1464880756">
    <w:abstractNumId w:val="2"/>
  </w:num>
  <w:num w:numId="11" w16cid:durableId="203642257">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6"/>
  <w:mirrorMargins/>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25DA4"/>
    <w:rsid w:val="000160C6"/>
    <w:rsid w:val="00025DA4"/>
    <w:rsid w:val="0006187F"/>
    <w:rsid w:val="00077B66"/>
    <w:rsid w:val="0008082F"/>
    <w:rsid w:val="000947C8"/>
    <w:rsid w:val="000978F6"/>
    <w:rsid w:val="000C0906"/>
    <w:rsid w:val="000C59CC"/>
    <w:rsid w:val="000F0892"/>
    <w:rsid w:val="000F5C72"/>
    <w:rsid w:val="000F7287"/>
    <w:rsid w:val="000F7801"/>
    <w:rsid w:val="0013380E"/>
    <w:rsid w:val="001654A1"/>
    <w:rsid w:val="00180653"/>
    <w:rsid w:val="00183C5F"/>
    <w:rsid w:val="00195A92"/>
    <w:rsid w:val="001D040C"/>
    <w:rsid w:val="001E3B05"/>
    <w:rsid w:val="001F5D5F"/>
    <w:rsid w:val="0021640D"/>
    <w:rsid w:val="00221470"/>
    <w:rsid w:val="002273D6"/>
    <w:rsid w:val="00236859"/>
    <w:rsid w:val="00241288"/>
    <w:rsid w:val="002520A4"/>
    <w:rsid w:val="00254077"/>
    <w:rsid w:val="00256E2B"/>
    <w:rsid w:val="00261BE2"/>
    <w:rsid w:val="00277606"/>
    <w:rsid w:val="0028024F"/>
    <w:rsid w:val="00291739"/>
    <w:rsid w:val="002A50E4"/>
    <w:rsid w:val="002B291F"/>
    <w:rsid w:val="002B7189"/>
    <w:rsid w:val="002B73A7"/>
    <w:rsid w:val="002D6FCB"/>
    <w:rsid w:val="002E260E"/>
    <w:rsid w:val="003210C0"/>
    <w:rsid w:val="00324D77"/>
    <w:rsid w:val="00351146"/>
    <w:rsid w:val="0035523C"/>
    <w:rsid w:val="00355D5C"/>
    <w:rsid w:val="0036180E"/>
    <w:rsid w:val="00365B50"/>
    <w:rsid w:val="003D501D"/>
    <w:rsid w:val="003D72D3"/>
    <w:rsid w:val="004018EA"/>
    <w:rsid w:val="00402ABC"/>
    <w:rsid w:val="00406802"/>
    <w:rsid w:val="00432DA1"/>
    <w:rsid w:val="00436A6C"/>
    <w:rsid w:val="00447275"/>
    <w:rsid w:val="00467D71"/>
    <w:rsid w:val="0047303E"/>
    <w:rsid w:val="00480265"/>
    <w:rsid w:val="00484A9E"/>
    <w:rsid w:val="004A6BDD"/>
    <w:rsid w:val="004B0359"/>
    <w:rsid w:val="004C6EA5"/>
    <w:rsid w:val="004E0FC4"/>
    <w:rsid w:val="004E31D8"/>
    <w:rsid w:val="004F2678"/>
    <w:rsid w:val="004F4F43"/>
    <w:rsid w:val="0051015E"/>
    <w:rsid w:val="0052141A"/>
    <w:rsid w:val="00524B32"/>
    <w:rsid w:val="00547633"/>
    <w:rsid w:val="005863AE"/>
    <w:rsid w:val="00587444"/>
    <w:rsid w:val="005A4207"/>
    <w:rsid w:val="005B4426"/>
    <w:rsid w:val="005B457C"/>
    <w:rsid w:val="005C184D"/>
    <w:rsid w:val="005D17B0"/>
    <w:rsid w:val="00603808"/>
    <w:rsid w:val="0061787A"/>
    <w:rsid w:val="0062255E"/>
    <w:rsid w:val="00623A1A"/>
    <w:rsid w:val="00662BFA"/>
    <w:rsid w:val="00677D2D"/>
    <w:rsid w:val="00681A79"/>
    <w:rsid w:val="00682999"/>
    <w:rsid w:val="00682C45"/>
    <w:rsid w:val="00694521"/>
    <w:rsid w:val="006C645C"/>
    <w:rsid w:val="006F2569"/>
    <w:rsid w:val="006F5888"/>
    <w:rsid w:val="00703F0B"/>
    <w:rsid w:val="00703F86"/>
    <w:rsid w:val="007069DE"/>
    <w:rsid w:val="007177F8"/>
    <w:rsid w:val="00730EC3"/>
    <w:rsid w:val="00744E06"/>
    <w:rsid w:val="00746D66"/>
    <w:rsid w:val="0074767F"/>
    <w:rsid w:val="00786F4B"/>
    <w:rsid w:val="0079716C"/>
    <w:rsid w:val="007A7054"/>
    <w:rsid w:val="007B598A"/>
    <w:rsid w:val="007E5268"/>
    <w:rsid w:val="00805248"/>
    <w:rsid w:val="00810875"/>
    <w:rsid w:val="00813427"/>
    <w:rsid w:val="00837608"/>
    <w:rsid w:val="008562D7"/>
    <w:rsid w:val="00862702"/>
    <w:rsid w:val="00867162"/>
    <w:rsid w:val="008A551A"/>
    <w:rsid w:val="008B5DA3"/>
    <w:rsid w:val="008C1187"/>
    <w:rsid w:val="008C23DA"/>
    <w:rsid w:val="008F632A"/>
    <w:rsid w:val="00900042"/>
    <w:rsid w:val="00900E0B"/>
    <w:rsid w:val="009549F1"/>
    <w:rsid w:val="009601B8"/>
    <w:rsid w:val="00967697"/>
    <w:rsid w:val="00970DAB"/>
    <w:rsid w:val="00994188"/>
    <w:rsid w:val="009C6230"/>
    <w:rsid w:val="009D0B34"/>
    <w:rsid w:val="00A04E8F"/>
    <w:rsid w:val="00A07806"/>
    <w:rsid w:val="00A16075"/>
    <w:rsid w:val="00A30441"/>
    <w:rsid w:val="00A35FF8"/>
    <w:rsid w:val="00A4508A"/>
    <w:rsid w:val="00A61579"/>
    <w:rsid w:val="00A95335"/>
    <w:rsid w:val="00AC309A"/>
    <w:rsid w:val="00AD0D8D"/>
    <w:rsid w:val="00B149EA"/>
    <w:rsid w:val="00B14E79"/>
    <w:rsid w:val="00B4174A"/>
    <w:rsid w:val="00B4293E"/>
    <w:rsid w:val="00B52045"/>
    <w:rsid w:val="00B63ACA"/>
    <w:rsid w:val="00B7757D"/>
    <w:rsid w:val="00BA0606"/>
    <w:rsid w:val="00BB47CC"/>
    <w:rsid w:val="00BD7E96"/>
    <w:rsid w:val="00BE52EC"/>
    <w:rsid w:val="00C12434"/>
    <w:rsid w:val="00C613BC"/>
    <w:rsid w:val="00C6505C"/>
    <w:rsid w:val="00C746A2"/>
    <w:rsid w:val="00C86551"/>
    <w:rsid w:val="00C904B6"/>
    <w:rsid w:val="00CB7B35"/>
    <w:rsid w:val="00CC1272"/>
    <w:rsid w:val="00CE72DB"/>
    <w:rsid w:val="00D037AB"/>
    <w:rsid w:val="00D04FCA"/>
    <w:rsid w:val="00D05976"/>
    <w:rsid w:val="00D1189B"/>
    <w:rsid w:val="00D145AD"/>
    <w:rsid w:val="00D63731"/>
    <w:rsid w:val="00D76BE2"/>
    <w:rsid w:val="00D874FF"/>
    <w:rsid w:val="00DC2C70"/>
    <w:rsid w:val="00DC4030"/>
    <w:rsid w:val="00DD3178"/>
    <w:rsid w:val="00DE735E"/>
    <w:rsid w:val="00DF34A5"/>
    <w:rsid w:val="00E16979"/>
    <w:rsid w:val="00E42A8A"/>
    <w:rsid w:val="00E4532D"/>
    <w:rsid w:val="00E47E9E"/>
    <w:rsid w:val="00E6608A"/>
    <w:rsid w:val="00E9025C"/>
    <w:rsid w:val="00E93078"/>
    <w:rsid w:val="00E936E2"/>
    <w:rsid w:val="00F15E57"/>
    <w:rsid w:val="00F33F1E"/>
    <w:rsid w:val="00F35BDB"/>
    <w:rsid w:val="00F4185A"/>
    <w:rsid w:val="00F85B5C"/>
    <w:rsid w:val="00F914B0"/>
    <w:rsid w:val="00F95A4C"/>
    <w:rsid w:val="00F96A29"/>
    <w:rsid w:val="00FA31C4"/>
    <w:rsid w:val="00FC7615"/>
    <w:rsid w:val="00FD73A5"/>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25792BB"/>
  <w15:chartTrackingRefBased/>
  <w15:docId w15:val="{767889B3-EEB5-3042-8086-20392CDB283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MX"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025DA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025DA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025DA4"/>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025DA4"/>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025DA4"/>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025DA4"/>
    <w:pPr>
      <w:keepNext/>
      <w:keepLines/>
      <w:spacing w:before="4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025DA4"/>
    <w:pPr>
      <w:keepNext/>
      <w:keepLines/>
      <w:spacing w:before="4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025DA4"/>
    <w:pPr>
      <w:keepNext/>
      <w:keepLines/>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025DA4"/>
    <w:pPr>
      <w:keepNext/>
      <w:keepLines/>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025DA4"/>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025DA4"/>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025DA4"/>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025DA4"/>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025DA4"/>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025DA4"/>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025DA4"/>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025DA4"/>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025DA4"/>
    <w:rPr>
      <w:rFonts w:eastAsiaTheme="majorEastAsia" w:cstheme="majorBidi"/>
      <w:color w:val="272727" w:themeColor="text1" w:themeTint="D8"/>
    </w:rPr>
  </w:style>
  <w:style w:type="paragraph" w:styleId="Ttulo">
    <w:name w:val="Title"/>
    <w:basedOn w:val="Normal"/>
    <w:next w:val="Normal"/>
    <w:link w:val="TtuloCar"/>
    <w:uiPriority w:val="10"/>
    <w:qFormat/>
    <w:rsid w:val="00025DA4"/>
    <w:pPr>
      <w:spacing w:after="80"/>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025DA4"/>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025DA4"/>
    <w:pPr>
      <w:numPr>
        <w:ilvl w:val="1"/>
      </w:numPr>
      <w:spacing w:after="160"/>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025DA4"/>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025DA4"/>
    <w:pPr>
      <w:spacing w:before="160" w:after="160"/>
      <w:jc w:val="center"/>
    </w:pPr>
    <w:rPr>
      <w:i/>
      <w:iCs/>
      <w:color w:val="404040" w:themeColor="text1" w:themeTint="BF"/>
    </w:rPr>
  </w:style>
  <w:style w:type="character" w:customStyle="1" w:styleId="CitaCar">
    <w:name w:val="Cita Car"/>
    <w:basedOn w:val="Fuentedeprrafopredeter"/>
    <w:link w:val="Cita"/>
    <w:uiPriority w:val="29"/>
    <w:rsid w:val="00025DA4"/>
    <w:rPr>
      <w:i/>
      <w:iCs/>
      <w:color w:val="404040" w:themeColor="text1" w:themeTint="BF"/>
    </w:rPr>
  </w:style>
  <w:style w:type="paragraph" w:styleId="Prrafodelista">
    <w:name w:val="List Paragraph"/>
    <w:basedOn w:val="Normal"/>
    <w:uiPriority w:val="34"/>
    <w:qFormat/>
    <w:rsid w:val="00025DA4"/>
    <w:pPr>
      <w:ind w:left="720"/>
      <w:contextualSpacing/>
    </w:pPr>
  </w:style>
  <w:style w:type="character" w:styleId="nfasisintenso">
    <w:name w:val="Intense Emphasis"/>
    <w:basedOn w:val="Fuentedeprrafopredeter"/>
    <w:uiPriority w:val="21"/>
    <w:qFormat/>
    <w:rsid w:val="00025DA4"/>
    <w:rPr>
      <w:i/>
      <w:iCs/>
      <w:color w:val="0F4761" w:themeColor="accent1" w:themeShade="BF"/>
    </w:rPr>
  </w:style>
  <w:style w:type="paragraph" w:styleId="Citadestacada">
    <w:name w:val="Intense Quote"/>
    <w:basedOn w:val="Normal"/>
    <w:next w:val="Normal"/>
    <w:link w:val="CitadestacadaCar"/>
    <w:uiPriority w:val="30"/>
    <w:qFormat/>
    <w:rsid w:val="00025DA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025DA4"/>
    <w:rPr>
      <w:i/>
      <w:iCs/>
      <w:color w:val="0F4761" w:themeColor="accent1" w:themeShade="BF"/>
    </w:rPr>
  </w:style>
  <w:style w:type="character" w:styleId="Referenciaintensa">
    <w:name w:val="Intense Reference"/>
    <w:basedOn w:val="Fuentedeprrafopredeter"/>
    <w:uiPriority w:val="32"/>
    <w:qFormat/>
    <w:rsid w:val="00025DA4"/>
    <w:rPr>
      <w:b/>
      <w:bCs/>
      <w:smallCaps/>
      <w:color w:val="0F4761" w:themeColor="accent1" w:themeShade="BF"/>
      <w:spacing w:val="5"/>
    </w:rPr>
  </w:style>
  <w:style w:type="paragraph" w:styleId="Encabezado">
    <w:name w:val="header"/>
    <w:basedOn w:val="Normal"/>
    <w:link w:val="EncabezadoCar"/>
    <w:uiPriority w:val="99"/>
    <w:unhideWhenUsed/>
    <w:rsid w:val="00025DA4"/>
    <w:pPr>
      <w:tabs>
        <w:tab w:val="center" w:pos="4419"/>
        <w:tab w:val="right" w:pos="8838"/>
      </w:tabs>
    </w:pPr>
  </w:style>
  <w:style w:type="character" w:customStyle="1" w:styleId="EncabezadoCar">
    <w:name w:val="Encabezado Car"/>
    <w:basedOn w:val="Fuentedeprrafopredeter"/>
    <w:link w:val="Encabezado"/>
    <w:uiPriority w:val="99"/>
    <w:rsid w:val="00025DA4"/>
  </w:style>
  <w:style w:type="paragraph" w:styleId="Piedepgina">
    <w:name w:val="footer"/>
    <w:basedOn w:val="Normal"/>
    <w:link w:val="PiedepginaCar"/>
    <w:uiPriority w:val="99"/>
    <w:unhideWhenUsed/>
    <w:rsid w:val="00025DA4"/>
    <w:pPr>
      <w:tabs>
        <w:tab w:val="center" w:pos="4419"/>
        <w:tab w:val="right" w:pos="8838"/>
      </w:tabs>
    </w:pPr>
  </w:style>
  <w:style w:type="character" w:customStyle="1" w:styleId="PiedepginaCar">
    <w:name w:val="Pie de página Car"/>
    <w:basedOn w:val="Fuentedeprrafopredeter"/>
    <w:link w:val="Piedepgina"/>
    <w:uiPriority w:val="99"/>
    <w:rsid w:val="00025DA4"/>
  </w:style>
  <w:style w:type="paragraph" w:styleId="Descripcin">
    <w:name w:val="caption"/>
    <w:basedOn w:val="Normal"/>
    <w:next w:val="Normal"/>
    <w:uiPriority w:val="35"/>
    <w:unhideWhenUsed/>
    <w:qFormat/>
    <w:rsid w:val="001654A1"/>
    <w:pPr>
      <w:spacing w:after="200"/>
      <w:jc w:val="both"/>
    </w:pPr>
    <w:rPr>
      <w:rFonts w:ascii="Noto Sans" w:eastAsia="Times New Roman" w:hAnsi="Noto Sans" w:cs="Times New Roman"/>
      <w:i/>
      <w:iCs/>
      <w:color w:val="0E2841" w:themeColor="text2"/>
      <w:kern w:val="0"/>
      <w:sz w:val="18"/>
      <w:szCs w:val="18"/>
      <w:lang w:eastAsia="es-MX"/>
      <w14:ligatures w14:val="none"/>
    </w:rPr>
  </w:style>
  <w:style w:type="table" w:styleId="Tablaconcuadrcula">
    <w:name w:val="Table Grid"/>
    <w:basedOn w:val="Tablanormal"/>
    <w:uiPriority w:val="39"/>
    <w:rsid w:val="00F85B5C"/>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Fuerte">
    <w:name w:val="Strong"/>
    <w:basedOn w:val="Fuentedeprrafopredeter"/>
    <w:uiPriority w:val="22"/>
    <w:qFormat/>
    <w:rsid w:val="00810875"/>
    <w:rPr>
      <w:b/>
      <w:bCs/>
    </w:rPr>
  </w:style>
  <w:style w:type="paragraph" w:styleId="Revisin">
    <w:name w:val="Revision"/>
    <w:hidden/>
    <w:uiPriority w:val="99"/>
    <w:semiHidden/>
    <w:rsid w:val="00484A9E"/>
  </w:style>
  <w:style w:type="character" w:styleId="Refdecomentario">
    <w:name w:val="annotation reference"/>
    <w:basedOn w:val="Fuentedeprrafopredeter"/>
    <w:uiPriority w:val="99"/>
    <w:semiHidden/>
    <w:unhideWhenUsed/>
    <w:rsid w:val="00484A9E"/>
    <w:rPr>
      <w:sz w:val="16"/>
      <w:szCs w:val="16"/>
    </w:rPr>
  </w:style>
  <w:style w:type="paragraph" w:styleId="Textocomentario">
    <w:name w:val="annotation text"/>
    <w:basedOn w:val="Normal"/>
    <w:link w:val="TextocomentarioCar"/>
    <w:uiPriority w:val="99"/>
    <w:semiHidden/>
    <w:unhideWhenUsed/>
    <w:rsid w:val="00484A9E"/>
    <w:rPr>
      <w:sz w:val="20"/>
      <w:szCs w:val="20"/>
    </w:rPr>
  </w:style>
  <w:style w:type="character" w:customStyle="1" w:styleId="TextocomentarioCar">
    <w:name w:val="Texto comentario Car"/>
    <w:basedOn w:val="Fuentedeprrafopredeter"/>
    <w:link w:val="Textocomentario"/>
    <w:uiPriority w:val="99"/>
    <w:semiHidden/>
    <w:rsid w:val="00484A9E"/>
    <w:rPr>
      <w:sz w:val="20"/>
      <w:szCs w:val="20"/>
    </w:rPr>
  </w:style>
  <w:style w:type="paragraph" w:styleId="Asuntodelcomentario">
    <w:name w:val="annotation subject"/>
    <w:basedOn w:val="Textocomentario"/>
    <w:next w:val="Textocomentario"/>
    <w:link w:val="AsuntodelcomentarioCar"/>
    <w:uiPriority w:val="99"/>
    <w:semiHidden/>
    <w:unhideWhenUsed/>
    <w:rsid w:val="00484A9E"/>
    <w:rPr>
      <w:b/>
      <w:bCs/>
    </w:rPr>
  </w:style>
  <w:style w:type="character" w:customStyle="1" w:styleId="AsuntodelcomentarioCar">
    <w:name w:val="Asunto del comentario Car"/>
    <w:basedOn w:val="TextocomentarioCar"/>
    <w:link w:val="Asuntodelcomentario"/>
    <w:uiPriority w:val="99"/>
    <w:semiHidden/>
    <w:rsid w:val="00484A9E"/>
    <w:rPr>
      <w:b/>
      <w:bCs/>
      <w:sz w:val="20"/>
      <w:szCs w:val="20"/>
    </w:rPr>
  </w:style>
  <w:style w:type="paragraph" w:styleId="Textodeglobo">
    <w:name w:val="Balloon Text"/>
    <w:basedOn w:val="Normal"/>
    <w:link w:val="TextodegloboCar"/>
    <w:uiPriority w:val="99"/>
    <w:semiHidden/>
    <w:unhideWhenUsed/>
    <w:rsid w:val="004E0FC4"/>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4E0FC4"/>
    <w:rPr>
      <w:rFonts w:ascii="Segoe UI" w:hAnsi="Segoe UI" w:cs="Segoe UI"/>
      <w:sz w:val="18"/>
      <w:szCs w:val="18"/>
    </w:rPr>
  </w:style>
  <w:style w:type="paragraph" w:styleId="Textonotapie">
    <w:name w:val="footnote text"/>
    <w:basedOn w:val="Normal"/>
    <w:link w:val="TextonotapieCar"/>
    <w:uiPriority w:val="99"/>
    <w:semiHidden/>
    <w:unhideWhenUsed/>
    <w:rsid w:val="004C6EA5"/>
    <w:rPr>
      <w:sz w:val="20"/>
      <w:szCs w:val="20"/>
    </w:rPr>
  </w:style>
  <w:style w:type="character" w:customStyle="1" w:styleId="TextonotapieCar">
    <w:name w:val="Texto nota pie Car"/>
    <w:basedOn w:val="Fuentedeprrafopredeter"/>
    <w:link w:val="Textonotapie"/>
    <w:uiPriority w:val="99"/>
    <w:semiHidden/>
    <w:rsid w:val="004C6EA5"/>
    <w:rPr>
      <w:sz w:val="20"/>
      <w:szCs w:val="20"/>
    </w:rPr>
  </w:style>
  <w:style w:type="character" w:styleId="Refdenotaalpie">
    <w:name w:val="footnote reference"/>
    <w:basedOn w:val="Fuentedeprrafopredeter"/>
    <w:uiPriority w:val="99"/>
    <w:semiHidden/>
    <w:unhideWhenUsed/>
    <w:rsid w:val="004C6EA5"/>
    <w:rPr>
      <w:vertAlign w:val="superscript"/>
    </w:rPr>
  </w:style>
  <w:style w:type="table" w:styleId="Tablanormal2">
    <w:name w:val="Plain Table 2"/>
    <w:basedOn w:val="Tablanormal"/>
    <w:uiPriority w:val="42"/>
    <w:rsid w:val="004C6EA5"/>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eader" Target="header2.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oter" Target="footer1.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5" Type="http://schemas.openxmlformats.org/officeDocument/2006/relationships/fontTable" Target="fontTable.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2.xml"/></Relationships>
</file>

<file path=word/_rels/footer1.xml.rels><?xml version="1.0" encoding="UTF-8" standalone="yes"?>
<Relationships xmlns="http://schemas.openxmlformats.org/package/2006/relationships"><Relationship Id="rId1" Type="http://schemas.openxmlformats.org/officeDocument/2006/relationships/image" Target="media/image1.png"/></Relationships>
</file>

<file path=word/_rels/footer2.xml.rels><?xml version="1.0" encoding="UTF-8" standalone="yes"?>
<Relationships xmlns="http://schemas.openxmlformats.org/package/2006/relationships"><Relationship Id="rId1" Type="http://schemas.openxmlformats.org/officeDocument/2006/relationships/image" Target="media/image1.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o" ma:contentTypeID="0x0101008846F11B89C72D4DB6B90B63C3490928" ma:contentTypeVersion="13" ma:contentTypeDescription="Crear nuevo documento." ma:contentTypeScope="" ma:versionID="a21d512ed4461299e0224cce5d8468bc">
  <xsd:schema xmlns:xsd="http://www.w3.org/2001/XMLSchema" xmlns:xs="http://www.w3.org/2001/XMLSchema" xmlns:p="http://schemas.microsoft.com/office/2006/metadata/properties" xmlns:ns2="143ad42a-a847-4375-8ac2-1b925d5e4610" xmlns:ns3="680764f2-dead-424e-9767-2cb9a2286931" targetNamespace="http://schemas.microsoft.com/office/2006/metadata/properties" ma:root="true" ma:fieldsID="fe42929a43d851dfccdb0e5a5d5ca17c" ns2:_="" ns3:_="">
    <xsd:import namespace="143ad42a-a847-4375-8ac2-1b925d5e4610"/>
    <xsd:import namespace="680764f2-dead-424e-9767-2cb9a2286931"/>
    <xsd:element name="properties">
      <xsd:complexType>
        <xsd:sequence>
          <xsd:element name="documentManagement">
            <xsd:complexType>
              <xsd:all>
                <xsd:element ref="ns2:MediaServiceMetadata" minOccurs="0"/>
                <xsd:element ref="ns2:MediaServiceFastMetadata" minOccurs="0"/>
                <xsd:element ref="ns2:MediaServiceObjectDetectorVersions" minOccurs="0"/>
                <xsd:element ref="ns3:SharedWithUsers" minOccurs="0"/>
                <xsd:element ref="ns3:SharedWithDetails" minOccurs="0"/>
                <xsd:element ref="ns2:MediaServiceSearchProperties" minOccurs="0"/>
                <xsd:element ref="ns2:MediaServiceDateTaken" minOccurs="0"/>
                <xsd:element ref="ns2:lcf76f155ced4ddcb4097134ff3c332f" minOccurs="0"/>
                <xsd:element ref="ns3:TaxCatchAll"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43ad42a-a847-4375-8ac2-1b925d5e461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element name="MediaServiceSearchProperties" ma:index="13" nillable="true" ma:displayName="MediaServiceSearchProperties" ma:hidden="true" ma:internalName="MediaServiceSearchProperties" ma:readOnly="true">
      <xsd:simpleType>
        <xsd:restriction base="dms:Note"/>
      </xsd:simpleType>
    </xsd:element>
    <xsd:element name="MediaServiceDateTaken" ma:index="14" nillable="true" ma:displayName="MediaServiceDateTaken" ma:hidden="true" ma:indexed="true" ma:internalName="MediaServiceDateTaken" ma:readOnly="true">
      <xsd:simpleType>
        <xsd:restriction base="dms:Text"/>
      </xsd:simpleType>
    </xsd:element>
    <xsd:element name="lcf76f155ced4ddcb4097134ff3c332f" ma:index="16" nillable="true" ma:taxonomy="true" ma:internalName="lcf76f155ced4ddcb4097134ff3c332f" ma:taxonomyFieldName="MediaServiceImageTags" ma:displayName="Etiquetas de imagen" ma:readOnly="false" ma:fieldId="{5cf76f15-5ced-4ddc-b409-7134ff3c332f}" ma:taxonomyMulti="true" ma:sspId="6c1f861e-66bf-495c-afd5-8500f4fcceae" ma:termSetId="09814cd3-568e-fe90-9814-8d621ff8fb84" ma:anchorId="fba54fb3-c3e1-fe81-a776-ca4b69148c4d" ma:open="true" ma:isKeyword="false">
      <xsd:complexType>
        <xsd:sequence>
          <xsd:element ref="pc:Terms" minOccurs="0" maxOccurs="1"/>
        </xsd:sequence>
      </xsd:complexType>
    </xsd:element>
    <xsd:element name="MediaServiceOCR" ma:index="18" nillable="true" ma:displayName="Extracted Text" ma:internalName="MediaServiceOCR" ma:readOnly="true">
      <xsd:simpleType>
        <xsd:restriction base="dms:Note">
          <xsd:maxLength value="255"/>
        </xsd:restriction>
      </xsd:simpleType>
    </xsd:element>
    <xsd:element name="MediaServiceGenerationTime" ma:index="19" nillable="true" ma:displayName="MediaServiceGenerationTime" ma:hidden="true" ma:internalName="MediaServiceGenerationTime" ma:readOnly="true">
      <xsd:simpleType>
        <xsd:restriction base="dms:Text"/>
      </xsd:simpleType>
    </xsd:element>
    <xsd:element name="MediaServiceEventHashCode" ma:index="20"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680764f2-dead-424e-9767-2cb9a2286931" elementFormDefault="qualified">
    <xsd:import namespace="http://schemas.microsoft.com/office/2006/documentManagement/types"/>
    <xsd:import namespace="http://schemas.microsoft.com/office/infopath/2007/PartnerControls"/>
    <xsd:element name="SharedWithUsers" ma:index="11"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2" nillable="true" ma:displayName="Detalles de uso compartido" ma:internalName="SharedWithDetails" ma:readOnly="true">
      <xsd:simpleType>
        <xsd:restriction base="dms:Note">
          <xsd:maxLength value="255"/>
        </xsd:restriction>
      </xsd:simpleType>
    </xsd:element>
    <xsd:element name="TaxCatchAll" ma:index="17" nillable="true" ma:displayName="Taxonomy Catch All Column" ma:hidden="true" ma:list="{a070e8ef-c956-494d-b810-af7059f0ccec}" ma:internalName="TaxCatchAll" ma:showField="CatchAllData" ma:web="680764f2-dead-424e-9767-2cb9a2286931">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p:properties xmlns:p="http://schemas.microsoft.com/office/2006/metadata/properties" xmlns:xsi="http://www.w3.org/2001/XMLSchema-instance" xmlns:pc="http://schemas.microsoft.com/office/infopath/2007/PartnerControls">
  <documentManagement>
    <lcf76f155ced4ddcb4097134ff3c332f xmlns="143ad42a-a847-4375-8ac2-1b925d5e4610">
      <Terms xmlns="http://schemas.microsoft.com/office/infopath/2007/PartnerControls"/>
    </lcf76f155ced4ddcb4097134ff3c332f>
    <TaxCatchAll xmlns="680764f2-dead-424e-9767-2cb9a2286931" xsi:nil="true"/>
  </documentManagement>
</p:properties>
</file>

<file path=customXml/itemProps1.xml><?xml version="1.0" encoding="utf-8"?>
<ds:datastoreItem xmlns:ds="http://schemas.openxmlformats.org/officeDocument/2006/customXml" ds:itemID="{034CEC75-073C-47D6-BF93-342C3C4E149A}">
  <ds:schemaRefs>
    <ds:schemaRef ds:uri="http://schemas.microsoft.com/sharepoint/v3/contenttype/forms"/>
  </ds:schemaRefs>
</ds:datastoreItem>
</file>

<file path=customXml/itemProps2.xml><?xml version="1.0" encoding="utf-8"?>
<ds:datastoreItem xmlns:ds="http://schemas.openxmlformats.org/officeDocument/2006/customXml" ds:itemID="{2CFECD16-1A48-4867-A282-5F983E9A71B4}">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43ad42a-a847-4375-8ac2-1b925d5e4610"/>
    <ds:schemaRef ds:uri="680764f2-dead-424e-9767-2cb9a2286931"/>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855FBAF6-6364-40B4-AA95-E39FDEAFC872}">
  <ds:schemaRefs>
    <ds:schemaRef ds:uri="http://schemas.openxmlformats.org/officeDocument/2006/bibliography"/>
  </ds:schemaRefs>
</ds:datastoreItem>
</file>

<file path=customXml/itemProps4.xml><?xml version="1.0" encoding="utf-8"?>
<ds:datastoreItem xmlns:ds="http://schemas.openxmlformats.org/officeDocument/2006/customXml" ds:itemID="{721708B1-F85E-4917-9A50-7D694E1A2F0D}">
  <ds:schemaRefs>
    <ds:schemaRef ds:uri="http://schemas.microsoft.com/office/2006/metadata/properties"/>
    <ds:schemaRef ds:uri="http://schemas.microsoft.com/office/infopath/2007/PartnerControls"/>
    <ds:schemaRef ds:uri="143ad42a-a847-4375-8ac2-1b925d5e4610"/>
    <ds:schemaRef ds:uri="680764f2-dead-424e-9767-2cb9a2286931"/>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3</Pages>
  <Words>1227</Words>
  <Characters>6750</Characters>
  <Application>Microsoft Office Word</Application>
  <DocSecurity>0</DocSecurity>
  <Lines>56</Lines>
  <Paragraphs>15</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7962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Adrian Cevallos Maciel</dc:creator>
  <cp:keywords/>
  <dc:description/>
  <cp:lastModifiedBy>Ana Silvia Romero González</cp:lastModifiedBy>
  <cp:revision>2</cp:revision>
  <cp:lastPrinted>2026-01-15T22:27:00Z</cp:lastPrinted>
  <dcterms:created xsi:type="dcterms:W3CDTF">2026-04-24T17:20:00Z</dcterms:created>
  <dcterms:modified xsi:type="dcterms:W3CDTF">2026-04-24T17:20:00Z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0x0101008846F11B89C72D4DB6B90B63C3490928</vt:lpwstr>
  </property>
</Properties>
</file>