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15F0" w14:textId="08B4AC5F" w:rsidR="00F41617" w:rsidRPr="003A6B17" w:rsidRDefault="0027194D" w:rsidP="0027194D">
      <w:pPr>
        <w:jc w:val="center"/>
        <w:rPr>
          <w:rFonts w:ascii="Times New Roman" w:hAnsi="Times New Roman" w:cs="Times New Roman"/>
          <w:sz w:val="28"/>
          <w:szCs w:val="28"/>
          <w:u w:val="single"/>
        </w:rPr>
      </w:pPr>
      <w:bookmarkStart w:id="0" w:name="_Hlk105601744"/>
      <w:r w:rsidRPr="003A6B17">
        <w:rPr>
          <w:rFonts w:ascii="Times New Roman" w:hAnsi="Times New Roman" w:cs="Times New Roman"/>
          <w:sz w:val="28"/>
          <w:szCs w:val="28"/>
          <w:u w:val="single"/>
        </w:rPr>
        <w:t>IMF Digital Infrastructure Cost Estimator (DICE)</w:t>
      </w:r>
      <w:r w:rsidR="00F41617" w:rsidRPr="003A6B17">
        <w:rPr>
          <w:rFonts w:ascii="Times New Roman" w:hAnsi="Times New Roman" w:cs="Times New Roman"/>
          <w:sz w:val="28"/>
          <w:szCs w:val="28"/>
          <w:u w:val="single"/>
        </w:rPr>
        <w:t xml:space="preserve"> Documentation </w:t>
      </w:r>
      <w:r w:rsidRPr="003A6B17">
        <w:rPr>
          <w:rFonts w:ascii="Times New Roman" w:hAnsi="Times New Roman" w:cs="Times New Roman"/>
          <w:sz w:val="28"/>
          <w:szCs w:val="28"/>
          <w:u w:val="single"/>
        </w:rPr>
        <w:t>(v1.0.0)</w:t>
      </w:r>
    </w:p>
    <w:p w14:paraId="4EEE2C88" w14:textId="77777777" w:rsidR="00694B54" w:rsidRPr="00453CA0" w:rsidRDefault="00694B54" w:rsidP="0027194D">
      <w:pPr>
        <w:jc w:val="both"/>
        <w:rPr>
          <w:rFonts w:ascii="Times New Roman" w:hAnsi="Times New Roman" w:cs="Times New Roman"/>
        </w:rPr>
      </w:pPr>
    </w:p>
    <w:p w14:paraId="5492D75E" w14:textId="0C10FB71" w:rsidR="00C178E4" w:rsidRPr="00453CA0" w:rsidRDefault="00C178E4" w:rsidP="00C21634">
      <w:pPr>
        <w:jc w:val="both"/>
        <w:rPr>
          <w:rFonts w:ascii="Times New Roman" w:hAnsi="Times New Roman" w:cs="Times New Roman"/>
        </w:rPr>
      </w:pPr>
      <w:r w:rsidRPr="00453CA0">
        <w:rPr>
          <w:rFonts w:ascii="Times New Roman" w:hAnsi="Times New Roman" w:cs="Times New Roman"/>
        </w:rPr>
        <w:t>This document provides an overview of the DICE</w:t>
      </w:r>
      <w:r w:rsidR="0081679C" w:rsidRPr="00453CA0">
        <w:rPr>
          <w:rFonts w:ascii="Times New Roman" w:hAnsi="Times New Roman" w:cs="Times New Roman"/>
        </w:rPr>
        <w:t xml:space="preserve"> model</w:t>
      </w:r>
      <w:r w:rsidR="00A97F72" w:rsidRPr="00453CA0">
        <w:rPr>
          <w:rFonts w:ascii="Times New Roman" w:hAnsi="Times New Roman" w:cs="Times New Roman"/>
        </w:rPr>
        <w:t xml:space="preserve">, describing the parameters and result metrics produced. Explanation is also provided for the selection of the baseline parameters applied in DICE, and the other bespoke parameters which users may want to select for exploration. </w:t>
      </w:r>
    </w:p>
    <w:p w14:paraId="40263B68" w14:textId="20478AD1" w:rsidR="00804BB5" w:rsidRPr="00453CA0" w:rsidRDefault="00804BB5" w:rsidP="00C21634">
      <w:pPr>
        <w:jc w:val="both"/>
        <w:rPr>
          <w:rFonts w:ascii="Times New Roman" w:hAnsi="Times New Roman" w:cs="Times New Roman"/>
        </w:rPr>
      </w:pPr>
      <w:r w:rsidRPr="00453CA0">
        <w:rPr>
          <w:rFonts w:ascii="Times New Roman" w:hAnsi="Times New Roman" w:cs="Times New Roman"/>
        </w:rPr>
        <w:t>The documentation is best read in tandem with viewing the accompanying videos which provide:</w:t>
      </w:r>
    </w:p>
    <w:p w14:paraId="73A52646" w14:textId="5EF7B5F6" w:rsidR="00804BB5" w:rsidRPr="00453CA0" w:rsidRDefault="00804BB5" w:rsidP="00C21634">
      <w:pPr>
        <w:pStyle w:val="ListParagraph"/>
        <w:numPr>
          <w:ilvl w:val="0"/>
          <w:numId w:val="19"/>
        </w:numPr>
        <w:jc w:val="both"/>
        <w:rPr>
          <w:rFonts w:ascii="Times New Roman" w:hAnsi="Times New Roman" w:cs="Times New Roman"/>
        </w:rPr>
      </w:pPr>
      <w:r w:rsidRPr="00453CA0">
        <w:rPr>
          <w:rFonts w:ascii="Times New Roman" w:hAnsi="Times New Roman" w:cs="Times New Roman"/>
        </w:rPr>
        <w:t>Background on the motivation for DICE (</w:t>
      </w:r>
      <w:hyperlink r:id="rId8" w:history="1">
        <w:r w:rsidRPr="00453CA0">
          <w:rPr>
            <w:rStyle w:val="Hyperlink"/>
            <w:rFonts w:ascii="Times New Roman" w:hAnsi="Times New Roman" w:cs="Times New Roman"/>
          </w:rPr>
          <w:t>he</w:t>
        </w:r>
        <w:r w:rsidRPr="00453CA0">
          <w:rPr>
            <w:rStyle w:val="Hyperlink"/>
            <w:rFonts w:ascii="Times New Roman" w:hAnsi="Times New Roman" w:cs="Times New Roman"/>
          </w:rPr>
          <w:t>re</w:t>
        </w:r>
      </w:hyperlink>
      <w:r w:rsidRPr="00453CA0">
        <w:rPr>
          <w:rFonts w:ascii="Times New Roman" w:hAnsi="Times New Roman" w:cs="Times New Roman"/>
        </w:rPr>
        <w:t>).</w:t>
      </w:r>
    </w:p>
    <w:p w14:paraId="600C8278" w14:textId="664E8961" w:rsidR="00804BB5" w:rsidRPr="00453CA0" w:rsidRDefault="00804BB5" w:rsidP="00C21634">
      <w:pPr>
        <w:pStyle w:val="ListParagraph"/>
        <w:numPr>
          <w:ilvl w:val="0"/>
          <w:numId w:val="19"/>
        </w:numPr>
        <w:jc w:val="both"/>
        <w:rPr>
          <w:rFonts w:ascii="Times New Roman" w:hAnsi="Times New Roman" w:cs="Times New Roman"/>
        </w:rPr>
      </w:pPr>
      <w:r w:rsidRPr="00453CA0">
        <w:rPr>
          <w:rFonts w:ascii="Times New Roman" w:hAnsi="Times New Roman" w:cs="Times New Roman"/>
        </w:rPr>
        <w:t>Brief technical background for DICE (</w:t>
      </w:r>
      <w:hyperlink r:id="rId9" w:history="1">
        <w:r w:rsidRPr="00453CA0">
          <w:rPr>
            <w:rStyle w:val="Hyperlink"/>
            <w:rFonts w:ascii="Times New Roman" w:hAnsi="Times New Roman" w:cs="Times New Roman"/>
          </w:rPr>
          <w:t>he</w:t>
        </w:r>
        <w:r w:rsidRPr="00453CA0">
          <w:rPr>
            <w:rStyle w:val="Hyperlink"/>
            <w:rFonts w:ascii="Times New Roman" w:hAnsi="Times New Roman" w:cs="Times New Roman"/>
          </w:rPr>
          <w:t>re</w:t>
        </w:r>
      </w:hyperlink>
      <w:r w:rsidRPr="00453CA0">
        <w:rPr>
          <w:rFonts w:ascii="Times New Roman" w:hAnsi="Times New Roman" w:cs="Times New Roman"/>
        </w:rPr>
        <w:t>).</w:t>
      </w:r>
    </w:p>
    <w:p w14:paraId="0E2B7CCA" w14:textId="2927EEC2" w:rsidR="00804BB5" w:rsidRDefault="00804BB5" w:rsidP="00C21634">
      <w:pPr>
        <w:pStyle w:val="ListParagraph"/>
        <w:numPr>
          <w:ilvl w:val="0"/>
          <w:numId w:val="19"/>
        </w:numPr>
        <w:jc w:val="both"/>
        <w:rPr>
          <w:rFonts w:ascii="Times New Roman" w:hAnsi="Times New Roman" w:cs="Times New Roman"/>
        </w:rPr>
      </w:pPr>
      <w:r w:rsidRPr="00453CA0">
        <w:rPr>
          <w:rFonts w:ascii="Times New Roman" w:hAnsi="Times New Roman" w:cs="Times New Roman"/>
        </w:rPr>
        <w:t>Detailed graphical description of DICE (</w:t>
      </w:r>
      <w:hyperlink r:id="rId10" w:history="1">
        <w:r w:rsidRPr="00453CA0">
          <w:rPr>
            <w:rStyle w:val="Hyperlink"/>
            <w:rFonts w:ascii="Times New Roman" w:hAnsi="Times New Roman" w:cs="Times New Roman"/>
          </w:rPr>
          <w:t>h</w:t>
        </w:r>
        <w:r w:rsidRPr="00453CA0">
          <w:rPr>
            <w:rStyle w:val="Hyperlink"/>
            <w:rFonts w:ascii="Times New Roman" w:hAnsi="Times New Roman" w:cs="Times New Roman"/>
          </w:rPr>
          <w:t>ere</w:t>
        </w:r>
      </w:hyperlink>
      <w:r w:rsidRPr="00453CA0">
        <w:rPr>
          <w:rFonts w:ascii="Times New Roman" w:hAnsi="Times New Roman" w:cs="Times New Roman"/>
        </w:rPr>
        <w:t>).</w:t>
      </w:r>
    </w:p>
    <w:p w14:paraId="7BFF3EA5" w14:textId="77777777" w:rsidR="003A6B17" w:rsidRPr="003A6B17" w:rsidRDefault="003A6B17" w:rsidP="00C21634">
      <w:pPr>
        <w:pStyle w:val="ListParagraph"/>
        <w:jc w:val="both"/>
        <w:rPr>
          <w:rFonts w:ascii="Times New Roman" w:hAnsi="Times New Roman" w:cs="Times New Roman"/>
        </w:rPr>
      </w:pPr>
    </w:p>
    <w:p w14:paraId="7756A3F9" w14:textId="08FF1E90" w:rsidR="00595609" w:rsidRPr="00453CA0" w:rsidRDefault="00595609" w:rsidP="00C21634">
      <w:pPr>
        <w:pStyle w:val="ListParagraph"/>
        <w:numPr>
          <w:ilvl w:val="0"/>
          <w:numId w:val="15"/>
        </w:numPr>
        <w:jc w:val="both"/>
        <w:rPr>
          <w:rFonts w:ascii="Times New Roman" w:hAnsi="Times New Roman" w:cs="Times New Roman"/>
          <w:u w:val="single"/>
        </w:rPr>
      </w:pPr>
      <w:r w:rsidRPr="00453CA0">
        <w:rPr>
          <w:rFonts w:ascii="Times New Roman" w:hAnsi="Times New Roman" w:cs="Times New Roman"/>
          <w:u w:val="single"/>
        </w:rPr>
        <w:t>The DICE spreadsheet model</w:t>
      </w:r>
    </w:p>
    <w:p w14:paraId="46919A53" w14:textId="77777777" w:rsidR="00694B54" w:rsidRPr="00453CA0" w:rsidRDefault="001E7DC1" w:rsidP="00C21634">
      <w:pPr>
        <w:jc w:val="both"/>
        <w:rPr>
          <w:rFonts w:ascii="Times New Roman" w:hAnsi="Times New Roman" w:cs="Times New Roman"/>
        </w:rPr>
      </w:pPr>
      <w:r w:rsidRPr="00453CA0">
        <w:rPr>
          <w:rFonts w:ascii="Times New Roman" w:hAnsi="Times New Roman" w:cs="Times New Roman"/>
        </w:rPr>
        <w:t>The total DICE model consists of over 70 sheets. However, most are hidden from the user’s view</w:t>
      </w:r>
      <w:r w:rsidR="00C855F7" w:rsidRPr="00453CA0">
        <w:rPr>
          <w:rFonts w:ascii="Times New Roman" w:hAnsi="Times New Roman" w:cs="Times New Roman"/>
        </w:rPr>
        <w:t xml:space="preserve"> for ease of use</w:t>
      </w:r>
      <w:r w:rsidRPr="00453CA0">
        <w:rPr>
          <w:rFonts w:ascii="Times New Roman" w:hAnsi="Times New Roman" w:cs="Times New Roman"/>
        </w:rPr>
        <w:t xml:space="preserve">. </w:t>
      </w:r>
      <w:r w:rsidR="00595609" w:rsidRPr="00453CA0">
        <w:rPr>
          <w:rFonts w:ascii="Times New Roman" w:hAnsi="Times New Roman" w:cs="Times New Roman"/>
        </w:rPr>
        <w:t xml:space="preserve">The Excel spreadsheet model is separated into two </w:t>
      </w:r>
      <w:r w:rsidR="0027194D" w:rsidRPr="00453CA0">
        <w:rPr>
          <w:rFonts w:ascii="Times New Roman" w:hAnsi="Times New Roman" w:cs="Times New Roman"/>
        </w:rPr>
        <w:t xml:space="preserve">different </w:t>
      </w:r>
      <w:r w:rsidR="00595609" w:rsidRPr="00453CA0">
        <w:rPr>
          <w:rFonts w:ascii="Times New Roman" w:hAnsi="Times New Roman" w:cs="Times New Roman"/>
        </w:rPr>
        <w:t>types of sheets</w:t>
      </w:r>
      <w:r w:rsidRPr="00453CA0">
        <w:rPr>
          <w:rFonts w:ascii="Times New Roman" w:hAnsi="Times New Roman" w:cs="Times New Roman"/>
        </w:rPr>
        <w:t>. These include (</w:t>
      </w:r>
      <w:proofErr w:type="spellStart"/>
      <w:r w:rsidRPr="00453CA0">
        <w:rPr>
          <w:rFonts w:ascii="Times New Roman" w:hAnsi="Times New Roman" w:cs="Times New Roman"/>
        </w:rPr>
        <w:t>i</w:t>
      </w:r>
      <w:proofErr w:type="spellEnd"/>
      <w:r w:rsidRPr="00453CA0">
        <w:rPr>
          <w:rFonts w:ascii="Times New Roman" w:hAnsi="Times New Roman" w:cs="Times New Roman"/>
        </w:rPr>
        <w:t>) t</w:t>
      </w:r>
      <w:r w:rsidR="00595609" w:rsidRPr="00453CA0">
        <w:rPr>
          <w:rFonts w:ascii="Times New Roman" w:hAnsi="Times New Roman" w:cs="Times New Roman"/>
        </w:rPr>
        <w:t xml:space="preserve">he index, readme and settings tabs </w:t>
      </w:r>
      <w:r w:rsidRPr="00453CA0">
        <w:rPr>
          <w:rFonts w:ascii="Times New Roman" w:hAnsi="Times New Roman" w:cs="Times New Roman"/>
        </w:rPr>
        <w:t xml:space="preserve">which </w:t>
      </w:r>
      <w:r w:rsidR="00595609" w:rsidRPr="00453CA0">
        <w:rPr>
          <w:rFonts w:ascii="Times New Roman" w:hAnsi="Times New Roman" w:cs="Times New Roman"/>
        </w:rPr>
        <w:t xml:space="preserve">are all denoted </w:t>
      </w:r>
      <w:r w:rsidR="0027194D" w:rsidRPr="00453CA0">
        <w:rPr>
          <w:rFonts w:ascii="Times New Roman" w:hAnsi="Times New Roman" w:cs="Times New Roman"/>
        </w:rPr>
        <w:t>in navy</w:t>
      </w:r>
      <w:r w:rsidR="00595609" w:rsidRPr="00453CA0">
        <w:rPr>
          <w:rFonts w:ascii="Times New Roman" w:hAnsi="Times New Roman" w:cs="Times New Roman"/>
        </w:rPr>
        <w:t xml:space="preserve"> blue</w:t>
      </w:r>
      <w:r w:rsidRPr="00453CA0">
        <w:rPr>
          <w:rFonts w:ascii="Times New Roman" w:hAnsi="Times New Roman" w:cs="Times New Roman"/>
        </w:rPr>
        <w:t>, and (ii) the r</w:t>
      </w:r>
      <w:r w:rsidR="00595609" w:rsidRPr="00453CA0">
        <w:rPr>
          <w:rFonts w:ascii="Times New Roman" w:hAnsi="Times New Roman" w:cs="Times New Roman"/>
        </w:rPr>
        <w:t>esults tabs</w:t>
      </w:r>
      <w:r w:rsidRPr="00453CA0">
        <w:rPr>
          <w:rFonts w:ascii="Times New Roman" w:hAnsi="Times New Roman" w:cs="Times New Roman"/>
        </w:rPr>
        <w:t xml:space="preserve"> which</w:t>
      </w:r>
      <w:r w:rsidR="00595609" w:rsidRPr="00453CA0">
        <w:rPr>
          <w:rFonts w:ascii="Times New Roman" w:hAnsi="Times New Roman" w:cs="Times New Roman"/>
        </w:rPr>
        <w:t xml:space="preserve"> are all denoted </w:t>
      </w:r>
      <w:r w:rsidRPr="00453CA0">
        <w:rPr>
          <w:rFonts w:ascii="Times New Roman" w:hAnsi="Times New Roman" w:cs="Times New Roman"/>
        </w:rPr>
        <w:t xml:space="preserve">in </w:t>
      </w:r>
      <w:r w:rsidR="0027194D" w:rsidRPr="00453CA0">
        <w:rPr>
          <w:rFonts w:ascii="Times New Roman" w:hAnsi="Times New Roman" w:cs="Times New Roman"/>
        </w:rPr>
        <w:t>red</w:t>
      </w:r>
      <w:r w:rsidRPr="00453CA0">
        <w:rPr>
          <w:rFonts w:ascii="Times New Roman" w:hAnsi="Times New Roman" w:cs="Times New Roman"/>
        </w:rPr>
        <w:t>.</w:t>
      </w:r>
      <w:r w:rsidR="00C855F7" w:rsidRPr="00453CA0">
        <w:rPr>
          <w:rFonts w:ascii="Times New Roman" w:hAnsi="Times New Roman" w:cs="Times New Roman"/>
        </w:rPr>
        <w:t xml:space="preserve"> </w:t>
      </w:r>
    </w:p>
    <w:p w14:paraId="6DFD5A56" w14:textId="79DD0E67" w:rsidR="001956F2" w:rsidRPr="00453CA0" w:rsidRDefault="00C855F7" w:rsidP="00C21634">
      <w:pPr>
        <w:jc w:val="both"/>
        <w:rPr>
          <w:rFonts w:ascii="Times New Roman" w:hAnsi="Times New Roman" w:cs="Times New Roman"/>
        </w:rPr>
      </w:pPr>
      <w:r w:rsidRPr="00453CA0">
        <w:rPr>
          <w:rFonts w:ascii="Times New Roman" w:hAnsi="Times New Roman" w:cs="Times New Roman"/>
        </w:rPr>
        <w:t xml:space="preserve">Figure 1 provides an overview of how the DICE model works, including the demand, </w:t>
      </w:r>
      <w:r w:rsidR="003A6B17" w:rsidRPr="00453CA0">
        <w:rPr>
          <w:rFonts w:ascii="Times New Roman" w:hAnsi="Times New Roman" w:cs="Times New Roman"/>
        </w:rPr>
        <w:t>capacity,</w:t>
      </w:r>
      <w:r w:rsidRPr="00453CA0">
        <w:rPr>
          <w:rFonts w:ascii="Times New Roman" w:hAnsi="Times New Roman" w:cs="Times New Roman"/>
        </w:rPr>
        <w:t xml:space="preserve"> and cost estimation components.</w:t>
      </w:r>
    </w:p>
    <w:p w14:paraId="7970EF59" w14:textId="12CD4D3A" w:rsidR="00C855F7" w:rsidRPr="00453CA0" w:rsidRDefault="00C855F7" w:rsidP="00C855F7">
      <w:pPr>
        <w:jc w:val="both"/>
        <w:rPr>
          <w:rFonts w:ascii="Times New Roman" w:hAnsi="Times New Roman" w:cs="Times New Roman"/>
          <w:u w:val="single"/>
        </w:rPr>
      </w:pPr>
      <w:r w:rsidRPr="00453CA0">
        <w:rPr>
          <w:rFonts w:ascii="Times New Roman" w:hAnsi="Times New Roman" w:cs="Times New Roman"/>
          <w:u w:val="single"/>
        </w:rPr>
        <w:t xml:space="preserve">Figure </w:t>
      </w:r>
      <w:r w:rsidRPr="00453CA0">
        <w:rPr>
          <w:rFonts w:ascii="Times New Roman" w:hAnsi="Times New Roman" w:cs="Times New Roman"/>
          <w:u w:val="single"/>
        </w:rPr>
        <w:fldChar w:fldCharType="begin"/>
      </w:r>
      <w:r w:rsidRPr="00453CA0">
        <w:rPr>
          <w:rFonts w:ascii="Times New Roman" w:hAnsi="Times New Roman" w:cs="Times New Roman"/>
          <w:u w:val="single"/>
        </w:rPr>
        <w:instrText xml:space="preserve"> SEQ Figure \* ARABIC </w:instrText>
      </w:r>
      <w:r w:rsidRPr="00453CA0">
        <w:rPr>
          <w:rFonts w:ascii="Times New Roman" w:hAnsi="Times New Roman" w:cs="Times New Roman"/>
          <w:u w:val="single"/>
        </w:rPr>
        <w:fldChar w:fldCharType="separate"/>
      </w:r>
      <w:r w:rsidR="00055F9C">
        <w:rPr>
          <w:rFonts w:ascii="Times New Roman" w:hAnsi="Times New Roman" w:cs="Times New Roman"/>
          <w:noProof/>
          <w:u w:val="single"/>
        </w:rPr>
        <w:t>1</w:t>
      </w:r>
      <w:r w:rsidRPr="00453CA0">
        <w:rPr>
          <w:rFonts w:ascii="Times New Roman" w:hAnsi="Times New Roman" w:cs="Times New Roman"/>
          <w:u w:val="single"/>
        </w:rPr>
        <w:fldChar w:fldCharType="end"/>
      </w:r>
      <w:r w:rsidRPr="00453CA0">
        <w:rPr>
          <w:rFonts w:ascii="Times New Roman" w:hAnsi="Times New Roman" w:cs="Times New Roman"/>
          <w:u w:val="single"/>
        </w:rPr>
        <w:t xml:space="preserve"> Overview of DICE</w:t>
      </w:r>
    </w:p>
    <w:p w14:paraId="7C9B28C8" w14:textId="77777777" w:rsidR="00C855F7" w:rsidRPr="00453CA0" w:rsidRDefault="00C855F7" w:rsidP="00C855F7">
      <w:pPr>
        <w:jc w:val="both"/>
        <w:rPr>
          <w:rFonts w:ascii="Times New Roman" w:hAnsi="Times New Roman" w:cs="Times New Roman"/>
        </w:rPr>
      </w:pPr>
      <w:r w:rsidRPr="00453CA0">
        <w:rPr>
          <w:rFonts w:ascii="Times New Roman" w:hAnsi="Times New Roman" w:cs="Times New Roman"/>
          <w:noProof/>
        </w:rPr>
        <w:drawing>
          <wp:inline distT="0" distB="0" distL="0" distR="0" wp14:anchorId="67787FCF" wp14:editId="14CC0B7B">
            <wp:extent cx="5731510" cy="4298950"/>
            <wp:effectExtent l="0" t="0" r="2540" b="6350"/>
            <wp:docPr id="3" name="Image 2" descr="Picture">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picture">
                <pic:pic xmlns:pic="http://schemas.openxmlformats.org/drawingml/2006/picture">
                  <pic:nvPicPr>
                    <pic:cNvPr id="3" name="Image 2" descr="Picture">
                      <a:extLst>
                        <a:ext uri="{FF2B5EF4-FFF2-40B4-BE49-F238E27FC236}">
                          <a16:creationId xmlns:a16="http://schemas.microsoft.com/office/drawing/2014/main" id="{00000000-0008-0000-0100-000003000000}"/>
                        </a:ext>
                      </a:extLst>
                    </pic:cNvPr>
                    <pic:cNvPicPr/>
                  </pic:nvPicPr>
                  <pic:blipFill>
                    <a:blip r:embed="rId11" cstate="print"/>
                    <a:stretch>
                      <a:fillRect/>
                    </a:stretch>
                  </pic:blipFill>
                  <pic:spPr>
                    <a:xfrm>
                      <a:off x="0" y="0"/>
                      <a:ext cx="5731510" cy="4298950"/>
                    </a:xfrm>
                    <a:prstGeom prst="rect">
                      <a:avLst/>
                    </a:prstGeom>
                  </pic:spPr>
                </pic:pic>
              </a:graphicData>
            </a:graphic>
          </wp:inline>
        </w:drawing>
      </w:r>
    </w:p>
    <w:p w14:paraId="45A1A6F3" w14:textId="77777777" w:rsidR="00C855F7" w:rsidRPr="00453CA0" w:rsidRDefault="00C855F7" w:rsidP="00C855F7">
      <w:pPr>
        <w:spacing w:after="0"/>
        <w:jc w:val="both"/>
        <w:rPr>
          <w:rFonts w:ascii="Times New Roman" w:hAnsi="Times New Roman" w:cs="Times New Roman"/>
        </w:rPr>
      </w:pPr>
    </w:p>
    <w:p w14:paraId="03281258" w14:textId="2CC17586" w:rsidR="00216245" w:rsidRPr="00453CA0" w:rsidRDefault="00216245" w:rsidP="001E7DC1">
      <w:pPr>
        <w:jc w:val="both"/>
        <w:rPr>
          <w:rFonts w:ascii="Times New Roman" w:hAnsi="Times New Roman" w:cs="Times New Roman"/>
        </w:rPr>
      </w:pPr>
      <w:r w:rsidRPr="00453CA0">
        <w:rPr>
          <w:rFonts w:ascii="Times New Roman" w:hAnsi="Times New Roman" w:cs="Times New Roman"/>
        </w:rPr>
        <w:lastRenderedPageBreak/>
        <w:t>A key premise of the model is the use of ten population density deciles</w:t>
      </w:r>
      <w:r w:rsidR="00C855F7" w:rsidRPr="00453CA0">
        <w:rPr>
          <w:rFonts w:ascii="Times New Roman" w:hAnsi="Times New Roman" w:cs="Times New Roman"/>
        </w:rPr>
        <w:t xml:space="preserve"> to capture the spatial differences in local areas</w:t>
      </w:r>
      <w:r w:rsidRPr="00453CA0">
        <w:rPr>
          <w:rFonts w:ascii="Times New Roman" w:hAnsi="Times New Roman" w:cs="Times New Roman"/>
        </w:rPr>
        <w:t>. All statistical areas for each country are ranked by population density and split into one of the</w:t>
      </w:r>
      <w:r w:rsidR="00C855F7" w:rsidRPr="00453CA0">
        <w:rPr>
          <w:rFonts w:ascii="Times New Roman" w:hAnsi="Times New Roman" w:cs="Times New Roman"/>
        </w:rPr>
        <w:t>se</w:t>
      </w:r>
      <w:r w:rsidRPr="00453CA0">
        <w:rPr>
          <w:rFonts w:ascii="Times New Roman" w:hAnsi="Times New Roman" w:cs="Times New Roman"/>
        </w:rPr>
        <w:t xml:space="preserve"> ten deciles. The first decile contains the most populated local statistical areas. </w:t>
      </w:r>
      <w:r w:rsidR="00C855F7" w:rsidRPr="00453CA0">
        <w:rPr>
          <w:rFonts w:ascii="Times New Roman" w:hAnsi="Times New Roman" w:cs="Times New Roman"/>
        </w:rPr>
        <w:t>Whereas</w:t>
      </w:r>
      <w:r w:rsidRPr="00453CA0">
        <w:rPr>
          <w:rFonts w:ascii="Times New Roman" w:hAnsi="Times New Roman" w:cs="Times New Roman"/>
        </w:rPr>
        <w:t xml:space="preserve"> the last (tenth) decile contains the least populated local statistical areas (and thus, the hardest-to-reach).</w:t>
      </w:r>
    </w:p>
    <w:p w14:paraId="3DE54157" w14:textId="5A45DDAA" w:rsidR="009E1330" w:rsidRPr="00453CA0" w:rsidRDefault="009E1330" w:rsidP="009E1330">
      <w:pPr>
        <w:pStyle w:val="ListParagraph"/>
        <w:numPr>
          <w:ilvl w:val="0"/>
          <w:numId w:val="15"/>
        </w:numPr>
        <w:jc w:val="both"/>
        <w:rPr>
          <w:rFonts w:ascii="Times New Roman" w:hAnsi="Times New Roman" w:cs="Times New Roman"/>
          <w:u w:val="single"/>
        </w:rPr>
      </w:pPr>
      <w:r w:rsidRPr="00453CA0">
        <w:rPr>
          <w:rFonts w:ascii="Times New Roman" w:hAnsi="Times New Roman" w:cs="Times New Roman"/>
          <w:u w:val="single"/>
        </w:rPr>
        <w:t>Settings</w:t>
      </w:r>
    </w:p>
    <w:p w14:paraId="4555B64C" w14:textId="77777777" w:rsidR="009E1330" w:rsidRPr="00453CA0" w:rsidRDefault="009E1330" w:rsidP="009E1330">
      <w:pPr>
        <w:pStyle w:val="ListParagraph"/>
        <w:ind w:left="360"/>
        <w:jc w:val="both"/>
        <w:rPr>
          <w:rFonts w:ascii="Times New Roman" w:hAnsi="Times New Roman" w:cs="Times New Roman"/>
          <w:u w:val="single"/>
        </w:rPr>
      </w:pPr>
    </w:p>
    <w:p w14:paraId="37B8E05C" w14:textId="7ADE66DF" w:rsidR="002E2CC1" w:rsidRPr="00453CA0" w:rsidRDefault="009F7395" w:rsidP="009E1330">
      <w:pPr>
        <w:pStyle w:val="ListParagraph"/>
        <w:numPr>
          <w:ilvl w:val="1"/>
          <w:numId w:val="15"/>
        </w:numPr>
        <w:jc w:val="both"/>
        <w:rPr>
          <w:rFonts w:ascii="Times New Roman" w:hAnsi="Times New Roman" w:cs="Times New Roman"/>
          <w:u w:val="single"/>
        </w:rPr>
      </w:pPr>
      <w:r w:rsidRPr="00453CA0">
        <w:rPr>
          <w:rFonts w:ascii="Times New Roman" w:hAnsi="Times New Roman" w:cs="Times New Roman"/>
          <w:u w:val="single"/>
        </w:rPr>
        <w:t>Index</w:t>
      </w:r>
      <w:r w:rsidR="009E1330" w:rsidRPr="00453CA0">
        <w:rPr>
          <w:rFonts w:ascii="Times New Roman" w:hAnsi="Times New Roman" w:cs="Times New Roman"/>
          <w:u w:val="single"/>
        </w:rPr>
        <w:t xml:space="preserve"> </w:t>
      </w:r>
    </w:p>
    <w:p w14:paraId="04683AE1" w14:textId="56E6F363" w:rsidR="009F7395" w:rsidRPr="003A6B17" w:rsidRDefault="005B1764" w:rsidP="0027194D">
      <w:pPr>
        <w:jc w:val="both"/>
        <w:rPr>
          <w:rFonts w:ascii="Times New Roman" w:eastAsia="Times New Roman" w:hAnsi="Times New Roman" w:cs="Times New Roman"/>
          <w:lang w:eastAsia="en-GB"/>
        </w:rPr>
      </w:pPr>
      <w:r w:rsidRPr="00453CA0">
        <w:rPr>
          <w:rFonts w:ascii="Times New Roman" w:hAnsi="Times New Roman" w:cs="Times New Roman"/>
        </w:rPr>
        <w:t xml:space="preserve">The </w:t>
      </w:r>
      <w:r w:rsidR="00A43DD1" w:rsidRPr="00453CA0">
        <w:rPr>
          <w:rFonts w:ascii="Times New Roman" w:hAnsi="Times New Roman" w:cs="Times New Roman"/>
        </w:rPr>
        <w:t>general background</w:t>
      </w:r>
      <w:r w:rsidRPr="00453CA0">
        <w:rPr>
          <w:rFonts w:ascii="Times New Roman" w:hAnsi="Times New Roman" w:cs="Times New Roman"/>
        </w:rPr>
        <w:t xml:space="preserve"> for DICE is given within the “Index” tab</w:t>
      </w:r>
      <w:r w:rsidR="00A43DD1" w:rsidRPr="00453CA0">
        <w:rPr>
          <w:rFonts w:ascii="Times New Roman" w:hAnsi="Times New Roman" w:cs="Times New Roman"/>
        </w:rPr>
        <w:t>. For example, the</w:t>
      </w:r>
      <w:r w:rsidR="009F7395" w:rsidRPr="00453CA0">
        <w:rPr>
          <w:rFonts w:ascii="Times New Roman" w:hAnsi="Times New Roman" w:cs="Times New Roman"/>
        </w:rPr>
        <w:t xml:space="preserve"> aim of DICE is to support high-level decisions pertaining to universal broadband investment. However, there are some caveats to </w:t>
      </w:r>
      <w:r w:rsidR="009F7395" w:rsidRPr="003A6B17">
        <w:rPr>
          <w:rFonts w:ascii="Times New Roman" w:eastAsia="Times New Roman" w:hAnsi="Times New Roman" w:cs="Times New Roman"/>
          <w:lang w:eastAsia="en-GB"/>
        </w:rPr>
        <w:t>DICE’s capabilities</w:t>
      </w:r>
      <w:r w:rsidR="006325B1" w:rsidRPr="003A6B17">
        <w:rPr>
          <w:rFonts w:ascii="Times New Roman" w:eastAsia="Times New Roman" w:hAnsi="Times New Roman" w:cs="Times New Roman"/>
          <w:lang w:eastAsia="en-GB"/>
        </w:rPr>
        <w:t xml:space="preserve"> to be aware of</w:t>
      </w:r>
      <w:r w:rsidR="000E4190" w:rsidRPr="003A6B17">
        <w:rPr>
          <w:rFonts w:ascii="Times New Roman" w:eastAsia="Times New Roman" w:hAnsi="Times New Roman" w:cs="Times New Roman"/>
          <w:lang w:eastAsia="en-GB"/>
        </w:rPr>
        <w:t>, as reiterated here</w:t>
      </w:r>
      <w:r w:rsidR="00A43DD1" w:rsidRPr="003A6B17">
        <w:rPr>
          <w:rFonts w:ascii="Times New Roman" w:eastAsia="Times New Roman" w:hAnsi="Times New Roman" w:cs="Times New Roman"/>
          <w:lang w:eastAsia="en-GB"/>
        </w:rPr>
        <w:t>. For example:</w:t>
      </w:r>
      <w:r w:rsidR="009F7395" w:rsidRPr="003A6B17">
        <w:rPr>
          <w:rFonts w:ascii="Times New Roman" w:eastAsia="Times New Roman" w:hAnsi="Times New Roman" w:cs="Times New Roman"/>
          <w:lang w:eastAsia="en-GB"/>
        </w:rPr>
        <w:t xml:space="preserve"> </w:t>
      </w:r>
    </w:p>
    <w:p w14:paraId="6F91F112" w14:textId="42B8F47C" w:rsidR="009F7395" w:rsidRPr="003A6B17" w:rsidRDefault="00A43DD1" w:rsidP="00157CA6">
      <w:pPr>
        <w:pStyle w:val="ListParagraph"/>
        <w:numPr>
          <w:ilvl w:val="0"/>
          <w:numId w:val="16"/>
        </w:numPr>
        <w:jc w:val="both"/>
        <w:rPr>
          <w:rFonts w:ascii="Times New Roman" w:eastAsia="Times New Roman" w:hAnsi="Times New Roman" w:cs="Times New Roman"/>
          <w:lang w:eastAsia="en-GB"/>
        </w:rPr>
      </w:pPr>
      <w:r w:rsidRPr="003A6B17">
        <w:rPr>
          <w:rFonts w:ascii="Times New Roman" w:eastAsia="Times New Roman" w:hAnsi="Times New Roman" w:cs="Times New Roman"/>
          <w:lang w:eastAsia="en-GB"/>
        </w:rPr>
        <w:t xml:space="preserve">DICE is not a </w:t>
      </w:r>
      <w:r w:rsidR="009F7395" w:rsidRPr="003A6B17">
        <w:rPr>
          <w:rFonts w:ascii="Times New Roman" w:eastAsia="Times New Roman" w:hAnsi="Times New Roman" w:cs="Times New Roman"/>
          <w:lang w:eastAsia="en-GB"/>
        </w:rPr>
        <w:t xml:space="preserve">replacement for detailed country-specific modeling. </w:t>
      </w:r>
      <w:r w:rsidR="000E4190" w:rsidRPr="003A6B17">
        <w:rPr>
          <w:rFonts w:ascii="Times New Roman" w:eastAsia="Times New Roman" w:hAnsi="Times New Roman" w:cs="Times New Roman"/>
          <w:lang w:eastAsia="en-GB"/>
        </w:rPr>
        <w:t>Indeed, t</w:t>
      </w:r>
      <w:r w:rsidR="009F7395" w:rsidRPr="003A6B17">
        <w:rPr>
          <w:rFonts w:ascii="Times New Roman" w:eastAsia="Times New Roman" w:hAnsi="Times New Roman" w:cs="Times New Roman"/>
          <w:lang w:eastAsia="en-GB"/>
        </w:rPr>
        <w:t xml:space="preserve">he aim </w:t>
      </w:r>
      <w:r w:rsidR="000E4190" w:rsidRPr="003A6B17">
        <w:rPr>
          <w:rFonts w:ascii="Times New Roman" w:eastAsia="Times New Roman" w:hAnsi="Times New Roman" w:cs="Times New Roman"/>
          <w:lang w:eastAsia="en-GB"/>
        </w:rPr>
        <w:t xml:space="preserve">for DICE </w:t>
      </w:r>
      <w:r w:rsidR="009F7395" w:rsidRPr="003A6B17">
        <w:rPr>
          <w:rFonts w:ascii="Times New Roman" w:eastAsia="Times New Roman" w:hAnsi="Times New Roman" w:cs="Times New Roman"/>
          <w:lang w:eastAsia="en-GB"/>
        </w:rPr>
        <w:t>is to provide comparative understanding across all countries globally.</w:t>
      </w:r>
      <w:r w:rsidR="0096529E" w:rsidRPr="003A6B17">
        <w:rPr>
          <w:rFonts w:ascii="Times New Roman" w:eastAsia="Times New Roman" w:hAnsi="Times New Roman" w:cs="Times New Roman"/>
          <w:lang w:eastAsia="en-GB"/>
        </w:rPr>
        <w:t xml:space="preserve"> </w:t>
      </w:r>
    </w:p>
    <w:p w14:paraId="3F6ABE52" w14:textId="11327FA7" w:rsidR="00B36544" w:rsidRPr="003A6B17" w:rsidRDefault="009F7395" w:rsidP="00157CA6">
      <w:pPr>
        <w:pStyle w:val="ListParagraph"/>
        <w:numPr>
          <w:ilvl w:val="0"/>
          <w:numId w:val="16"/>
        </w:numPr>
        <w:jc w:val="both"/>
        <w:rPr>
          <w:rFonts w:ascii="Times New Roman" w:eastAsia="Times New Roman" w:hAnsi="Times New Roman" w:cs="Times New Roman"/>
          <w:lang w:eastAsia="en-GB"/>
        </w:rPr>
      </w:pPr>
      <w:r w:rsidRPr="003A6B17">
        <w:rPr>
          <w:rFonts w:ascii="Times New Roman" w:eastAsia="Times New Roman" w:hAnsi="Times New Roman" w:cs="Times New Roman"/>
          <w:lang w:eastAsia="en-GB"/>
        </w:rPr>
        <w:t>DICE is not an exact measurement tool. Accuracy and precision are commensurate with being able to make global cross-country comparisons.</w:t>
      </w:r>
      <w:r w:rsidR="00871D11" w:rsidRPr="003A6B17">
        <w:rPr>
          <w:rFonts w:ascii="Times New Roman" w:eastAsia="Times New Roman" w:hAnsi="Times New Roman" w:cs="Times New Roman"/>
          <w:lang w:eastAsia="en-GB"/>
        </w:rPr>
        <w:t xml:space="preserve"> For further country-specific insights, one would expect a greater level of detail beyond what can be achieved in a country comparison model</w:t>
      </w:r>
      <w:r w:rsidR="00157CA6" w:rsidRPr="003A6B17">
        <w:rPr>
          <w:rFonts w:ascii="Times New Roman" w:eastAsia="Times New Roman" w:hAnsi="Times New Roman" w:cs="Times New Roman"/>
          <w:lang w:eastAsia="en-GB"/>
        </w:rPr>
        <w:t xml:space="preserve"> via DICE</w:t>
      </w:r>
      <w:r w:rsidR="00453CA0" w:rsidRPr="003A6B17">
        <w:rPr>
          <w:rFonts w:ascii="Times New Roman" w:eastAsia="Times New Roman" w:hAnsi="Times New Roman" w:cs="Times New Roman"/>
          <w:lang w:eastAsia="en-GB"/>
        </w:rPr>
        <w:t>. Should this be something desire</w:t>
      </w:r>
      <w:r w:rsidR="00377C32">
        <w:rPr>
          <w:rFonts w:ascii="Times New Roman" w:eastAsia="Times New Roman" w:hAnsi="Times New Roman" w:cs="Times New Roman"/>
          <w:lang w:eastAsia="en-GB"/>
        </w:rPr>
        <w:t>d</w:t>
      </w:r>
      <w:r w:rsidR="00453CA0" w:rsidRPr="003A6B17">
        <w:rPr>
          <w:rFonts w:ascii="Times New Roman" w:eastAsia="Times New Roman" w:hAnsi="Times New Roman" w:cs="Times New Roman"/>
          <w:lang w:eastAsia="en-GB"/>
        </w:rPr>
        <w:t xml:space="preserve"> for a candidate country, please </w:t>
      </w:r>
      <w:r w:rsidR="00377C32">
        <w:rPr>
          <w:rFonts w:ascii="Times New Roman" w:eastAsia="Times New Roman" w:hAnsi="Times New Roman" w:cs="Times New Roman"/>
          <w:lang w:eastAsia="en-GB"/>
        </w:rPr>
        <w:t xml:space="preserve">contact </w:t>
      </w:r>
      <w:r w:rsidR="00453CA0" w:rsidRPr="003A6B17">
        <w:rPr>
          <w:rFonts w:ascii="Times New Roman" w:eastAsia="Times New Roman" w:hAnsi="Times New Roman" w:cs="Times New Roman"/>
          <w:lang w:eastAsia="en-GB"/>
        </w:rPr>
        <w:t>the DICE modeling team who can assist</w:t>
      </w:r>
      <w:r w:rsidR="00871D11" w:rsidRPr="003A6B17">
        <w:rPr>
          <w:rFonts w:ascii="Times New Roman" w:eastAsia="Times New Roman" w:hAnsi="Times New Roman" w:cs="Times New Roman"/>
          <w:lang w:eastAsia="en-GB"/>
        </w:rPr>
        <w:t xml:space="preserve">. </w:t>
      </w:r>
    </w:p>
    <w:p w14:paraId="7A503EA1" w14:textId="7AD276BC" w:rsidR="009F7395" w:rsidRPr="003A6B17" w:rsidRDefault="009F7395" w:rsidP="00157CA6">
      <w:pPr>
        <w:pStyle w:val="ListParagraph"/>
        <w:numPr>
          <w:ilvl w:val="0"/>
          <w:numId w:val="16"/>
        </w:numPr>
        <w:jc w:val="both"/>
        <w:rPr>
          <w:rFonts w:ascii="Times New Roman" w:eastAsia="Times New Roman" w:hAnsi="Times New Roman" w:cs="Times New Roman"/>
          <w:lang w:eastAsia="en-GB"/>
        </w:rPr>
      </w:pPr>
      <w:r w:rsidRPr="003A6B17">
        <w:rPr>
          <w:rFonts w:ascii="Times New Roman" w:eastAsia="Times New Roman" w:hAnsi="Times New Roman" w:cs="Times New Roman"/>
          <w:lang w:eastAsia="en-GB"/>
        </w:rPr>
        <w:t xml:space="preserve">DICE is not a stand-alone policy option tool. </w:t>
      </w:r>
    </w:p>
    <w:p w14:paraId="555A9109" w14:textId="15400DD7" w:rsidR="00990883" w:rsidRPr="00453CA0" w:rsidRDefault="00377C32" w:rsidP="00990883">
      <w:pPr>
        <w:jc w:val="both"/>
        <w:rPr>
          <w:rFonts w:ascii="Times New Roman" w:hAnsi="Times New Roman" w:cs="Times New Roman"/>
        </w:rPr>
      </w:pPr>
      <w:r>
        <w:rPr>
          <w:rFonts w:ascii="Times New Roman" w:hAnsi="Times New Roman" w:cs="Times New Roman"/>
        </w:rPr>
        <w:t>T</w:t>
      </w:r>
      <w:r w:rsidR="00990883" w:rsidRPr="00453CA0">
        <w:rPr>
          <w:rFonts w:ascii="Times New Roman" w:hAnsi="Times New Roman" w:cs="Times New Roman"/>
        </w:rPr>
        <w:t xml:space="preserve">he key contribution of DICE is to capture the main cost drivers which affect the deployment of mobile broadband infrastructure and breakdown required investment costs for specific countries, or groups of countries (e.g., income groups or regions). </w:t>
      </w:r>
    </w:p>
    <w:p w14:paraId="5F9C3060" w14:textId="37A977FE" w:rsidR="009F7395" w:rsidRPr="00453CA0" w:rsidRDefault="009F7395" w:rsidP="00A36F7A">
      <w:pPr>
        <w:pStyle w:val="ListParagraph"/>
        <w:numPr>
          <w:ilvl w:val="1"/>
          <w:numId w:val="15"/>
        </w:numPr>
        <w:jc w:val="both"/>
        <w:rPr>
          <w:rFonts w:ascii="Times New Roman" w:hAnsi="Times New Roman" w:cs="Times New Roman"/>
          <w:u w:val="single"/>
        </w:rPr>
      </w:pPr>
      <w:r w:rsidRPr="00453CA0">
        <w:rPr>
          <w:rFonts w:ascii="Times New Roman" w:hAnsi="Times New Roman" w:cs="Times New Roman"/>
          <w:u w:val="single"/>
        </w:rPr>
        <w:t>Read Me</w:t>
      </w:r>
    </w:p>
    <w:p w14:paraId="1BCA056B" w14:textId="2C1E57C2" w:rsidR="00595609" w:rsidRPr="00453CA0" w:rsidRDefault="00E1324C" w:rsidP="0027194D">
      <w:pPr>
        <w:jc w:val="both"/>
        <w:rPr>
          <w:rFonts w:ascii="Times New Roman" w:hAnsi="Times New Roman" w:cs="Times New Roman"/>
        </w:rPr>
      </w:pPr>
      <w:r>
        <w:rPr>
          <w:rFonts w:ascii="Times New Roman" w:hAnsi="Times New Roman" w:cs="Times New Roman"/>
        </w:rPr>
        <w:t>T</w:t>
      </w:r>
      <w:r w:rsidR="00595609" w:rsidRPr="00453CA0">
        <w:rPr>
          <w:rFonts w:ascii="Times New Roman" w:hAnsi="Times New Roman" w:cs="Times New Roman"/>
        </w:rPr>
        <w:t>he DICE approach provides investment analytics for achieving universal broadband</w:t>
      </w:r>
      <w:r w:rsidR="005B1764" w:rsidRPr="00453CA0">
        <w:rPr>
          <w:rFonts w:ascii="Times New Roman" w:hAnsi="Times New Roman" w:cs="Times New Roman"/>
        </w:rPr>
        <w:t>, as explained in the “</w:t>
      </w:r>
      <w:proofErr w:type="spellStart"/>
      <w:r w:rsidR="005B1764" w:rsidRPr="00453CA0">
        <w:rPr>
          <w:rFonts w:ascii="Times New Roman" w:hAnsi="Times New Roman" w:cs="Times New Roman"/>
        </w:rPr>
        <w:t>Read_Me</w:t>
      </w:r>
      <w:proofErr w:type="spellEnd"/>
      <w:r w:rsidR="005B1764" w:rsidRPr="00453CA0">
        <w:rPr>
          <w:rFonts w:ascii="Times New Roman" w:hAnsi="Times New Roman" w:cs="Times New Roman"/>
        </w:rPr>
        <w:t>” tab</w:t>
      </w:r>
      <w:r w:rsidR="00595609" w:rsidRPr="00453CA0">
        <w:rPr>
          <w:rFonts w:ascii="Times New Roman" w:hAnsi="Times New Roman" w:cs="Times New Roman"/>
        </w:rPr>
        <w:t xml:space="preserve">. </w:t>
      </w:r>
      <w:r w:rsidR="006325B1" w:rsidRPr="00453CA0">
        <w:rPr>
          <w:rFonts w:ascii="Times New Roman" w:hAnsi="Times New Roman" w:cs="Times New Roman"/>
        </w:rPr>
        <w:t xml:space="preserve">Indeed, </w:t>
      </w:r>
      <w:r w:rsidR="00595609" w:rsidRPr="00453CA0">
        <w:rPr>
          <w:rFonts w:ascii="Times New Roman" w:hAnsi="Times New Roman" w:cs="Times New Roman"/>
        </w:rPr>
        <w:t>DICE complements the IMF’s other SDG infrastructure costing tools, covering roads, electricity, and water and sanitation.</w:t>
      </w:r>
    </w:p>
    <w:p w14:paraId="3F134E35" w14:textId="3746A570" w:rsidR="00595609" w:rsidRPr="00453CA0" w:rsidRDefault="006325B1" w:rsidP="0027194D">
      <w:pPr>
        <w:jc w:val="both"/>
        <w:rPr>
          <w:rFonts w:ascii="Times New Roman" w:hAnsi="Times New Roman" w:cs="Times New Roman"/>
        </w:rPr>
      </w:pPr>
      <w:r w:rsidRPr="00453CA0">
        <w:rPr>
          <w:rFonts w:ascii="Times New Roman" w:hAnsi="Times New Roman" w:cs="Times New Roman"/>
        </w:rPr>
        <w:t>Therefore, c</w:t>
      </w:r>
      <w:r w:rsidR="00595609" w:rsidRPr="00453CA0">
        <w:rPr>
          <w:rFonts w:ascii="Times New Roman" w:hAnsi="Times New Roman" w:cs="Times New Roman"/>
        </w:rPr>
        <w:t xml:space="preserve">omparative country-specific investment needs can be estimated to achieve universal broadband connectivity. The focus is </w:t>
      </w:r>
      <w:r w:rsidR="00E1324C">
        <w:rPr>
          <w:rFonts w:ascii="Times New Roman" w:hAnsi="Times New Roman" w:cs="Times New Roman"/>
        </w:rPr>
        <w:t xml:space="preserve">mainly </w:t>
      </w:r>
      <w:r w:rsidR="00595609" w:rsidRPr="00453CA0">
        <w:rPr>
          <w:rFonts w:ascii="Times New Roman" w:hAnsi="Times New Roman" w:cs="Times New Roman"/>
        </w:rPr>
        <w:t xml:space="preserve">on </w:t>
      </w:r>
      <w:r w:rsidR="00E94AFA" w:rsidRPr="00453CA0">
        <w:rPr>
          <w:rFonts w:ascii="Times New Roman" w:hAnsi="Times New Roman" w:cs="Times New Roman"/>
        </w:rPr>
        <w:t xml:space="preserve">using 4G </w:t>
      </w:r>
      <w:r w:rsidR="00E1324C">
        <w:rPr>
          <w:rFonts w:ascii="Times New Roman" w:hAnsi="Times New Roman" w:cs="Times New Roman"/>
        </w:rPr>
        <w:t>mobile</w:t>
      </w:r>
      <w:r w:rsidR="00E1324C" w:rsidRPr="00453CA0">
        <w:rPr>
          <w:rFonts w:ascii="Times New Roman" w:hAnsi="Times New Roman" w:cs="Times New Roman"/>
        </w:rPr>
        <w:t xml:space="preserve"> </w:t>
      </w:r>
      <w:r w:rsidR="00595609" w:rsidRPr="00453CA0">
        <w:rPr>
          <w:rFonts w:ascii="Times New Roman" w:hAnsi="Times New Roman" w:cs="Times New Roman"/>
        </w:rPr>
        <w:t xml:space="preserve">cellular connectivity as this </w:t>
      </w:r>
      <w:r w:rsidR="00E1324C">
        <w:rPr>
          <w:rFonts w:ascii="Times New Roman" w:hAnsi="Times New Roman" w:cs="Times New Roman"/>
        </w:rPr>
        <w:t xml:space="preserve">technology is </w:t>
      </w:r>
      <w:r w:rsidR="00595609" w:rsidRPr="00453CA0">
        <w:rPr>
          <w:rFonts w:ascii="Times New Roman" w:hAnsi="Times New Roman" w:cs="Times New Roman"/>
        </w:rPr>
        <w:t>one of the cheapest ways to provide wide-area broadband services affordably</w:t>
      </w:r>
      <w:r w:rsidR="00E1324C">
        <w:rPr>
          <w:rFonts w:ascii="Times New Roman" w:hAnsi="Times New Roman" w:cs="Times New Roman"/>
        </w:rPr>
        <w:t>. Satellite broadband is used only in the hardest-to-reach areas where terrestrial 4G is highly unviable</w:t>
      </w:r>
      <w:r w:rsidR="00595609" w:rsidRPr="00453CA0">
        <w:rPr>
          <w:rFonts w:ascii="Times New Roman" w:hAnsi="Times New Roman" w:cs="Times New Roman"/>
        </w:rPr>
        <w:t xml:space="preserve">. The level of universal broadband can be specified by the DICE user, based on </w:t>
      </w:r>
      <w:r w:rsidR="0023203B">
        <w:rPr>
          <w:rFonts w:ascii="Times New Roman" w:hAnsi="Times New Roman" w:cs="Times New Roman"/>
        </w:rPr>
        <w:t xml:space="preserve">a desired </w:t>
      </w:r>
      <w:r w:rsidR="00595609" w:rsidRPr="00453CA0">
        <w:rPr>
          <w:rFonts w:ascii="Times New Roman" w:hAnsi="Times New Roman" w:cs="Times New Roman"/>
        </w:rPr>
        <w:t>monthly data consumption</w:t>
      </w:r>
      <w:r w:rsidR="0023203B">
        <w:rPr>
          <w:rFonts w:ascii="Times New Roman" w:hAnsi="Times New Roman" w:cs="Times New Roman"/>
        </w:rPr>
        <w:t xml:space="preserve"> quantity</w:t>
      </w:r>
      <w:r w:rsidR="00595609" w:rsidRPr="00453CA0">
        <w:rPr>
          <w:rFonts w:ascii="Times New Roman" w:hAnsi="Times New Roman" w:cs="Times New Roman"/>
        </w:rPr>
        <w:t>.</w:t>
      </w:r>
    </w:p>
    <w:p w14:paraId="0862BF78" w14:textId="636A0E27" w:rsidR="00A36F7A" w:rsidRDefault="006325B1" w:rsidP="006B08A5">
      <w:pPr>
        <w:jc w:val="both"/>
        <w:rPr>
          <w:rFonts w:ascii="Times New Roman" w:hAnsi="Times New Roman" w:cs="Times New Roman"/>
        </w:rPr>
      </w:pPr>
      <w:r w:rsidRPr="00453CA0">
        <w:rPr>
          <w:rFonts w:ascii="Times New Roman" w:hAnsi="Times New Roman" w:cs="Times New Roman"/>
        </w:rPr>
        <w:t xml:space="preserve">The estimates </w:t>
      </w:r>
      <w:r w:rsidR="00595609" w:rsidRPr="00453CA0">
        <w:rPr>
          <w:rFonts w:ascii="Times New Roman" w:hAnsi="Times New Roman" w:cs="Times New Roman"/>
        </w:rPr>
        <w:t xml:space="preserve">DICE </w:t>
      </w:r>
      <w:r w:rsidRPr="00453CA0">
        <w:rPr>
          <w:rFonts w:ascii="Times New Roman" w:hAnsi="Times New Roman" w:cs="Times New Roman"/>
        </w:rPr>
        <w:t xml:space="preserve">produces </w:t>
      </w:r>
      <w:r w:rsidR="00595609" w:rsidRPr="00453CA0">
        <w:rPr>
          <w:rFonts w:ascii="Times New Roman" w:hAnsi="Times New Roman" w:cs="Times New Roman"/>
        </w:rPr>
        <w:t xml:space="preserve">account for </w:t>
      </w:r>
      <w:r w:rsidR="00E94AFA" w:rsidRPr="00453CA0">
        <w:rPr>
          <w:rFonts w:ascii="Times New Roman" w:hAnsi="Times New Roman" w:cs="Times New Roman"/>
        </w:rPr>
        <w:t xml:space="preserve">the </w:t>
      </w:r>
      <w:r w:rsidR="00595609" w:rsidRPr="00453CA0">
        <w:rPr>
          <w:rFonts w:ascii="Times New Roman" w:hAnsi="Times New Roman" w:cs="Times New Roman"/>
        </w:rPr>
        <w:t>demographic forecast trends, population density, and economic characteristics</w:t>
      </w:r>
      <w:r w:rsidR="000B6CAA" w:rsidRPr="00453CA0">
        <w:rPr>
          <w:rFonts w:ascii="Times New Roman" w:hAnsi="Times New Roman" w:cs="Times New Roman"/>
        </w:rPr>
        <w:t xml:space="preserve"> of each country</w:t>
      </w:r>
      <w:r w:rsidR="00595609" w:rsidRPr="00453CA0">
        <w:rPr>
          <w:rFonts w:ascii="Times New Roman" w:hAnsi="Times New Roman" w:cs="Times New Roman"/>
        </w:rPr>
        <w:t>.</w:t>
      </w:r>
    </w:p>
    <w:p w14:paraId="25DBE878" w14:textId="097C5421" w:rsidR="00E1324C" w:rsidRPr="00453CA0" w:rsidRDefault="00E1324C" w:rsidP="003A6B17">
      <w:pPr>
        <w:pStyle w:val="ListParagraph"/>
        <w:numPr>
          <w:ilvl w:val="1"/>
          <w:numId w:val="15"/>
        </w:numPr>
        <w:jc w:val="both"/>
        <w:rPr>
          <w:rFonts w:ascii="Times New Roman" w:hAnsi="Times New Roman" w:cs="Times New Roman"/>
          <w:u w:val="single"/>
        </w:rPr>
      </w:pPr>
      <w:r>
        <w:rPr>
          <w:rFonts w:ascii="Times New Roman" w:hAnsi="Times New Roman" w:cs="Times New Roman"/>
          <w:u w:val="single"/>
        </w:rPr>
        <w:t>Background</w:t>
      </w:r>
    </w:p>
    <w:p w14:paraId="76ADD019" w14:textId="4AE1640D" w:rsidR="00E1324C" w:rsidRDefault="00E1324C" w:rsidP="006B08A5">
      <w:pPr>
        <w:jc w:val="both"/>
        <w:rPr>
          <w:rFonts w:ascii="Times New Roman" w:hAnsi="Times New Roman" w:cs="Times New Roman"/>
        </w:rPr>
      </w:pPr>
      <w:r>
        <w:rPr>
          <w:rFonts w:ascii="Times New Roman" w:hAnsi="Times New Roman" w:cs="Times New Roman"/>
        </w:rPr>
        <w:t xml:space="preserve">As users may be unfamiliar with the current number of unconnected users globally, the "Background” tab provides a set of tables. Each of these tables states the total number of connected and unconnected users globally, as well as by IMF geographic regions and income groups. </w:t>
      </w:r>
    </w:p>
    <w:p w14:paraId="3A6CCB18" w14:textId="77777777" w:rsidR="00E1324C" w:rsidRPr="00453CA0" w:rsidRDefault="00E1324C" w:rsidP="00E1324C">
      <w:pPr>
        <w:pStyle w:val="ListParagraph"/>
        <w:numPr>
          <w:ilvl w:val="1"/>
          <w:numId w:val="15"/>
        </w:numPr>
        <w:jc w:val="both"/>
        <w:rPr>
          <w:rFonts w:ascii="Times New Roman" w:hAnsi="Times New Roman" w:cs="Times New Roman"/>
          <w:u w:val="single"/>
        </w:rPr>
      </w:pPr>
      <w:r w:rsidRPr="00453CA0">
        <w:rPr>
          <w:rFonts w:ascii="Times New Roman" w:hAnsi="Times New Roman" w:cs="Times New Roman"/>
          <w:u w:val="single"/>
        </w:rPr>
        <w:t>General Settings</w:t>
      </w:r>
    </w:p>
    <w:p w14:paraId="7AB82950" w14:textId="47D5B0E4" w:rsidR="00E1324C" w:rsidRPr="00B6551B" w:rsidRDefault="00E1324C" w:rsidP="00E1324C">
      <w:pPr>
        <w:jc w:val="both"/>
        <w:rPr>
          <w:rFonts w:ascii="Times New Roman" w:hAnsi="Times New Roman" w:cs="Times New Roman"/>
        </w:rPr>
      </w:pPr>
      <w:r w:rsidRPr="00453CA0">
        <w:rPr>
          <w:rFonts w:ascii="Times New Roman" w:hAnsi="Times New Roman" w:cs="Times New Roman"/>
        </w:rPr>
        <w:t>The “</w:t>
      </w:r>
      <w:proofErr w:type="spellStart"/>
      <w:r w:rsidRPr="00453CA0">
        <w:rPr>
          <w:rFonts w:ascii="Times New Roman" w:hAnsi="Times New Roman" w:cs="Times New Roman"/>
        </w:rPr>
        <w:t>General_Settings</w:t>
      </w:r>
      <w:proofErr w:type="spellEnd"/>
      <w:r w:rsidRPr="00453CA0">
        <w:rPr>
          <w:rFonts w:ascii="Times New Roman" w:hAnsi="Times New Roman" w:cs="Times New Roman"/>
        </w:rPr>
        <w:t xml:space="preserve">” tab enables the user to </w:t>
      </w:r>
      <w:r>
        <w:rPr>
          <w:rFonts w:ascii="Times New Roman" w:hAnsi="Times New Roman" w:cs="Times New Roman"/>
        </w:rPr>
        <w:t xml:space="preserve">view the time horizon of the analysis and </w:t>
      </w:r>
      <w:r w:rsidRPr="00453CA0">
        <w:rPr>
          <w:rFonts w:ascii="Times New Roman" w:hAnsi="Times New Roman" w:cs="Times New Roman"/>
        </w:rPr>
        <w:t xml:space="preserve">select the </w:t>
      </w:r>
      <w:r>
        <w:rPr>
          <w:rFonts w:ascii="Times New Roman" w:hAnsi="Times New Roman" w:cs="Times New Roman"/>
        </w:rPr>
        <w:t xml:space="preserve">desired </w:t>
      </w:r>
      <w:r w:rsidRPr="00453CA0">
        <w:rPr>
          <w:rFonts w:ascii="Times New Roman" w:hAnsi="Times New Roman" w:cs="Times New Roman"/>
        </w:rPr>
        <w:t xml:space="preserve">depreciation rate. It is possible to set </w:t>
      </w:r>
      <w:r>
        <w:rPr>
          <w:rFonts w:ascii="Times New Roman" w:hAnsi="Times New Roman" w:cs="Times New Roman"/>
        </w:rPr>
        <w:t xml:space="preserve">values </w:t>
      </w:r>
      <w:r w:rsidRPr="00453CA0">
        <w:rPr>
          <w:rFonts w:ascii="Times New Roman" w:hAnsi="Times New Roman" w:cs="Times New Roman"/>
        </w:rPr>
        <w:t xml:space="preserve">for different country income groups. </w:t>
      </w:r>
      <w:r w:rsidR="00B6551B">
        <w:rPr>
          <w:rFonts w:ascii="Times New Roman" w:hAnsi="Times New Roman" w:cs="Times New Roman"/>
        </w:rPr>
        <w:t>The</w:t>
      </w:r>
      <w:r w:rsidRPr="00B6551B">
        <w:rPr>
          <w:rFonts w:ascii="Times New Roman" w:hAnsi="Times New Roman" w:cs="Times New Roman"/>
        </w:rPr>
        <w:t xml:space="preserve"> parameter</w:t>
      </w:r>
      <w:r w:rsidR="00B6551B">
        <w:rPr>
          <w:rFonts w:ascii="Times New Roman" w:hAnsi="Times New Roman" w:cs="Times New Roman"/>
        </w:rPr>
        <w:t xml:space="preserve"> available can be described</w:t>
      </w:r>
      <w:r w:rsidRPr="00B6551B">
        <w:rPr>
          <w:rFonts w:ascii="Times New Roman" w:hAnsi="Times New Roman" w:cs="Times New Roman"/>
        </w:rPr>
        <w:t xml:space="preserve"> as follows:</w:t>
      </w:r>
    </w:p>
    <w:p w14:paraId="0F79892E" w14:textId="79C916AF" w:rsidR="00E1324C" w:rsidRPr="003A6B17" w:rsidRDefault="00E1324C" w:rsidP="00E1324C">
      <w:pPr>
        <w:pStyle w:val="ListParagraph"/>
        <w:numPr>
          <w:ilvl w:val="0"/>
          <w:numId w:val="8"/>
        </w:numPr>
        <w:jc w:val="both"/>
        <w:rPr>
          <w:rFonts w:ascii="Times New Roman" w:hAnsi="Times New Roman" w:cs="Times New Roman"/>
        </w:rPr>
      </w:pPr>
      <w:r w:rsidRPr="003A6B17">
        <w:rPr>
          <w:rFonts w:ascii="Times New Roman" w:hAnsi="Times New Roman" w:cs="Times New Roman"/>
        </w:rPr>
        <w:t xml:space="preserve">Depreciation – The annual discount rate used within the analysis. In the baseline, this parameter is set to </w:t>
      </w:r>
      <w:r w:rsidR="00B6551B" w:rsidRPr="003A6B17">
        <w:rPr>
          <w:rFonts w:ascii="Times New Roman" w:hAnsi="Times New Roman" w:cs="Times New Roman"/>
        </w:rPr>
        <w:t>3</w:t>
      </w:r>
      <w:r w:rsidRPr="003A6B17">
        <w:rPr>
          <w:rFonts w:ascii="Times New Roman" w:hAnsi="Times New Roman" w:cs="Times New Roman"/>
        </w:rPr>
        <w:t xml:space="preserve">%. </w:t>
      </w:r>
    </w:p>
    <w:p w14:paraId="1AA69A09" w14:textId="7ECF83BE" w:rsidR="00F41617" w:rsidRPr="00453CA0" w:rsidRDefault="00F41617" w:rsidP="003A6B17">
      <w:pPr>
        <w:pStyle w:val="ListParagraph"/>
        <w:numPr>
          <w:ilvl w:val="1"/>
          <w:numId w:val="15"/>
        </w:numPr>
        <w:jc w:val="both"/>
        <w:rPr>
          <w:rFonts w:ascii="Times New Roman" w:hAnsi="Times New Roman" w:cs="Times New Roman"/>
          <w:u w:val="single"/>
        </w:rPr>
      </w:pPr>
      <w:r w:rsidRPr="00453CA0">
        <w:rPr>
          <w:rFonts w:ascii="Times New Roman" w:hAnsi="Times New Roman" w:cs="Times New Roman"/>
          <w:u w:val="single"/>
        </w:rPr>
        <w:lastRenderedPageBreak/>
        <w:t>Countries</w:t>
      </w:r>
    </w:p>
    <w:p w14:paraId="1C493B05" w14:textId="13131AD6" w:rsidR="00595609" w:rsidRPr="00453CA0" w:rsidRDefault="00595609" w:rsidP="0027194D">
      <w:pPr>
        <w:jc w:val="both"/>
        <w:rPr>
          <w:rFonts w:ascii="Times New Roman" w:hAnsi="Times New Roman" w:cs="Times New Roman"/>
        </w:rPr>
      </w:pPr>
      <w:r w:rsidRPr="00453CA0">
        <w:rPr>
          <w:rFonts w:ascii="Times New Roman" w:hAnsi="Times New Roman" w:cs="Times New Roman"/>
        </w:rPr>
        <w:t xml:space="preserve">DICE allows </w:t>
      </w:r>
      <w:r w:rsidR="00940FB6">
        <w:rPr>
          <w:rFonts w:ascii="Times New Roman" w:hAnsi="Times New Roman" w:cs="Times New Roman"/>
        </w:rPr>
        <w:t>users</w:t>
      </w:r>
      <w:r w:rsidRPr="00453CA0">
        <w:rPr>
          <w:rFonts w:ascii="Times New Roman" w:hAnsi="Times New Roman" w:cs="Times New Roman"/>
        </w:rPr>
        <w:t xml:space="preserve"> to select up to four countries for direct comparison via the “Countries” tab. By clicking on the yellow cells, a drop-down list of </w:t>
      </w:r>
      <w:r w:rsidR="00E94AFA" w:rsidRPr="00453CA0">
        <w:rPr>
          <w:rFonts w:ascii="Times New Roman" w:hAnsi="Times New Roman" w:cs="Times New Roman"/>
        </w:rPr>
        <w:t>all</w:t>
      </w:r>
      <w:r w:rsidRPr="00453CA0">
        <w:rPr>
          <w:rFonts w:ascii="Times New Roman" w:hAnsi="Times New Roman" w:cs="Times New Roman"/>
        </w:rPr>
        <w:t xml:space="preserve"> the available countries can be viewed and selected. Once the names of the desired countries have been chosen, DICE will </w:t>
      </w:r>
      <w:r w:rsidR="00940FB6">
        <w:rPr>
          <w:rFonts w:ascii="Times New Roman" w:hAnsi="Times New Roman" w:cs="Times New Roman"/>
        </w:rPr>
        <w:t xml:space="preserve">automatically </w:t>
      </w:r>
      <w:r w:rsidRPr="00453CA0">
        <w:rPr>
          <w:rFonts w:ascii="Times New Roman" w:hAnsi="Times New Roman" w:cs="Times New Roman"/>
        </w:rPr>
        <w:t>identify the correct International Standards Organization (ISO) three-digit country code</w:t>
      </w:r>
      <w:r w:rsidR="003A4E43" w:rsidRPr="00453CA0">
        <w:rPr>
          <w:rFonts w:ascii="Times New Roman" w:hAnsi="Times New Roman" w:cs="Times New Roman"/>
        </w:rPr>
        <w:t xml:space="preserve"> (ISO3). F</w:t>
      </w:r>
      <w:r w:rsidRPr="00453CA0">
        <w:rPr>
          <w:rFonts w:ascii="Times New Roman" w:hAnsi="Times New Roman" w:cs="Times New Roman"/>
        </w:rPr>
        <w:t>or consistency and reliability</w:t>
      </w:r>
      <w:r w:rsidR="003A4E43" w:rsidRPr="00453CA0">
        <w:rPr>
          <w:rFonts w:ascii="Times New Roman" w:hAnsi="Times New Roman" w:cs="Times New Roman"/>
        </w:rPr>
        <w:t>, the ISO3 code for a country is used throughout DICE to avoid country naming errors</w:t>
      </w:r>
      <w:r w:rsidR="00265084" w:rsidRPr="00453CA0">
        <w:rPr>
          <w:rFonts w:ascii="Times New Roman" w:hAnsi="Times New Roman" w:cs="Times New Roman"/>
        </w:rPr>
        <w:t xml:space="preserve"> (as many datasets use country names spelt in different ways)</w:t>
      </w:r>
      <w:r w:rsidRPr="00453CA0">
        <w:rPr>
          <w:rFonts w:ascii="Times New Roman" w:hAnsi="Times New Roman" w:cs="Times New Roman"/>
        </w:rPr>
        <w:t xml:space="preserve">. </w:t>
      </w:r>
    </w:p>
    <w:p w14:paraId="389B4E0A" w14:textId="3B7CCCED" w:rsidR="00896108" w:rsidRPr="00453CA0" w:rsidRDefault="00896108" w:rsidP="003A6B17">
      <w:pPr>
        <w:pStyle w:val="ListParagraph"/>
        <w:numPr>
          <w:ilvl w:val="1"/>
          <w:numId w:val="15"/>
        </w:numPr>
        <w:jc w:val="both"/>
        <w:rPr>
          <w:rFonts w:ascii="Times New Roman" w:hAnsi="Times New Roman" w:cs="Times New Roman"/>
          <w:u w:val="single"/>
        </w:rPr>
      </w:pPr>
      <w:r w:rsidRPr="00453CA0">
        <w:rPr>
          <w:rFonts w:ascii="Times New Roman" w:hAnsi="Times New Roman" w:cs="Times New Roman"/>
          <w:u w:val="single"/>
        </w:rPr>
        <w:t xml:space="preserve">Demand </w:t>
      </w:r>
      <w:r w:rsidR="00E22DD1" w:rsidRPr="00453CA0">
        <w:rPr>
          <w:rFonts w:ascii="Times New Roman" w:hAnsi="Times New Roman" w:cs="Times New Roman"/>
          <w:u w:val="single"/>
        </w:rPr>
        <w:t>Settings</w:t>
      </w:r>
    </w:p>
    <w:p w14:paraId="7B776BA5" w14:textId="6EE70253" w:rsidR="00A75511" w:rsidRPr="00453CA0" w:rsidRDefault="00D538ED" w:rsidP="0027194D">
      <w:pPr>
        <w:jc w:val="both"/>
        <w:rPr>
          <w:rFonts w:ascii="Times New Roman" w:hAnsi="Times New Roman" w:cs="Times New Roman"/>
        </w:rPr>
      </w:pPr>
      <w:r w:rsidRPr="00453CA0">
        <w:rPr>
          <w:rFonts w:ascii="Times New Roman" w:hAnsi="Times New Roman" w:cs="Times New Roman"/>
        </w:rPr>
        <w:t>The costs of mobile broadband are highly sensitive to the traffic demand targets used. Therefore, a significant focus is placed on data demand within DICE, and users need to be aware of key caveats.</w:t>
      </w:r>
      <w:r w:rsidR="00F0125B" w:rsidRPr="00453CA0">
        <w:rPr>
          <w:rFonts w:ascii="Times New Roman" w:hAnsi="Times New Roman" w:cs="Times New Roman"/>
        </w:rPr>
        <w:t xml:space="preserve"> By clicking on the “</w:t>
      </w:r>
      <w:proofErr w:type="spellStart"/>
      <w:r w:rsidR="00F0125B" w:rsidRPr="00453CA0">
        <w:rPr>
          <w:rFonts w:ascii="Times New Roman" w:hAnsi="Times New Roman" w:cs="Times New Roman"/>
        </w:rPr>
        <w:t>Demand_Settings</w:t>
      </w:r>
      <w:proofErr w:type="spellEnd"/>
      <w:r w:rsidR="00F0125B" w:rsidRPr="00453CA0">
        <w:rPr>
          <w:rFonts w:ascii="Times New Roman" w:hAnsi="Times New Roman" w:cs="Times New Roman"/>
        </w:rPr>
        <w:t xml:space="preserve">” tab it is possible to inspect </w:t>
      </w:r>
      <w:r w:rsidR="00F2119B">
        <w:rPr>
          <w:rFonts w:ascii="Times New Roman" w:hAnsi="Times New Roman" w:cs="Times New Roman"/>
        </w:rPr>
        <w:t>a wide variety of demand</w:t>
      </w:r>
      <w:r w:rsidR="00F0125B" w:rsidRPr="00453CA0">
        <w:rPr>
          <w:rFonts w:ascii="Times New Roman" w:hAnsi="Times New Roman" w:cs="Times New Roman"/>
        </w:rPr>
        <w:t xml:space="preserve"> parameters.</w:t>
      </w:r>
      <w:r w:rsidR="00B27812" w:rsidRPr="00453CA0">
        <w:rPr>
          <w:rFonts w:ascii="Times New Roman" w:hAnsi="Times New Roman" w:cs="Times New Roman"/>
        </w:rPr>
        <w:t xml:space="preserve"> </w:t>
      </w:r>
    </w:p>
    <w:p w14:paraId="04F361B0" w14:textId="2F510AD0" w:rsidR="00D538ED" w:rsidRPr="00453CA0" w:rsidRDefault="00A75511" w:rsidP="0027194D">
      <w:pPr>
        <w:jc w:val="both"/>
        <w:rPr>
          <w:rFonts w:ascii="Times New Roman" w:hAnsi="Times New Roman" w:cs="Times New Roman"/>
        </w:rPr>
      </w:pPr>
      <w:r w:rsidRPr="00453CA0">
        <w:rPr>
          <w:rFonts w:ascii="Times New Roman" w:hAnsi="Times New Roman" w:cs="Times New Roman"/>
        </w:rPr>
        <w:t>For “</w:t>
      </w:r>
      <w:r w:rsidR="00F2119B">
        <w:rPr>
          <w:rFonts w:ascii="Times New Roman" w:hAnsi="Times New Roman" w:cs="Times New Roman"/>
        </w:rPr>
        <w:t xml:space="preserve">Mobile </w:t>
      </w:r>
      <w:r w:rsidRPr="00453CA0">
        <w:rPr>
          <w:rFonts w:ascii="Times New Roman" w:hAnsi="Times New Roman" w:cs="Times New Roman"/>
        </w:rPr>
        <w:t>Traffic Demand Parameters”</w:t>
      </w:r>
      <w:r w:rsidR="00F2119B">
        <w:rPr>
          <w:rFonts w:ascii="Times New Roman" w:hAnsi="Times New Roman" w:cs="Times New Roman"/>
        </w:rPr>
        <w:t>,</w:t>
      </w:r>
      <w:r w:rsidRPr="00453CA0">
        <w:rPr>
          <w:rFonts w:ascii="Times New Roman" w:hAnsi="Times New Roman" w:cs="Times New Roman"/>
        </w:rPr>
        <w:t xml:space="preserve"> </w:t>
      </w:r>
      <w:r w:rsidR="00E078CF" w:rsidRPr="00453CA0">
        <w:rPr>
          <w:rFonts w:ascii="Times New Roman" w:hAnsi="Times New Roman" w:cs="Times New Roman"/>
        </w:rPr>
        <w:t>the key editable metric is as follows</w:t>
      </w:r>
      <w:r w:rsidR="00B27812" w:rsidRPr="00453CA0">
        <w:rPr>
          <w:rFonts w:ascii="Times New Roman" w:hAnsi="Times New Roman" w:cs="Times New Roman"/>
        </w:rPr>
        <w:t>:</w:t>
      </w:r>
      <w:r w:rsidR="00F0125B" w:rsidRPr="00453CA0">
        <w:rPr>
          <w:rFonts w:ascii="Times New Roman" w:hAnsi="Times New Roman" w:cs="Times New Roman"/>
        </w:rPr>
        <w:t xml:space="preserve">  </w:t>
      </w:r>
    </w:p>
    <w:p w14:paraId="0CC29C22" w14:textId="586409CF" w:rsidR="0000769B" w:rsidRPr="00453CA0" w:rsidRDefault="00B27812" w:rsidP="00B27812">
      <w:pPr>
        <w:pStyle w:val="ListParagraph"/>
        <w:numPr>
          <w:ilvl w:val="0"/>
          <w:numId w:val="9"/>
        </w:numPr>
        <w:jc w:val="both"/>
        <w:rPr>
          <w:rFonts w:ascii="Times New Roman" w:hAnsi="Times New Roman" w:cs="Times New Roman"/>
        </w:rPr>
      </w:pPr>
      <w:r w:rsidRPr="00453CA0">
        <w:rPr>
          <w:rFonts w:ascii="Times New Roman" w:hAnsi="Times New Roman" w:cs="Times New Roman"/>
        </w:rPr>
        <w:t>Data Demand Per Month (Gigabytes/</w:t>
      </w:r>
      <w:r w:rsidR="009F6C51" w:rsidRPr="00453CA0">
        <w:rPr>
          <w:rFonts w:ascii="Times New Roman" w:hAnsi="Times New Roman" w:cs="Times New Roman"/>
        </w:rPr>
        <w:t>M</w:t>
      </w:r>
      <w:r w:rsidRPr="00453CA0">
        <w:rPr>
          <w:rFonts w:ascii="Times New Roman" w:hAnsi="Times New Roman" w:cs="Times New Roman"/>
        </w:rPr>
        <w:t xml:space="preserve">onth) </w:t>
      </w:r>
      <w:r w:rsidR="00A0352D" w:rsidRPr="00453CA0">
        <w:rPr>
          <w:rFonts w:ascii="Times New Roman" w:hAnsi="Times New Roman" w:cs="Times New Roman"/>
        </w:rPr>
        <w:t>–</w:t>
      </w:r>
      <w:r w:rsidRPr="00453CA0">
        <w:rPr>
          <w:rFonts w:ascii="Times New Roman" w:hAnsi="Times New Roman" w:cs="Times New Roman"/>
        </w:rPr>
        <w:t xml:space="preserve"> </w:t>
      </w:r>
      <w:r w:rsidR="00A0352D" w:rsidRPr="00453CA0">
        <w:rPr>
          <w:rFonts w:ascii="Times New Roman" w:hAnsi="Times New Roman" w:cs="Times New Roman"/>
        </w:rPr>
        <w:t>Enabling the u</w:t>
      </w:r>
      <w:r w:rsidR="00896108" w:rsidRPr="00453CA0">
        <w:rPr>
          <w:rFonts w:ascii="Times New Roman" w:hAnsi="Times New Roman" w:cs="Times New Roman"/>
        </w:rPr>
        <w:t xml:space="preserve">ser </w:t>
      </w:r>
      <w:r w:rsidR="00A0352D" w:rsidRPr="00453CA0">
        <w:rPr>
          <w:rFonts w:ascii="Times New Roman" w:hAnsi="Times New Roman" w:cs="Times New Roman"/>
        </w:rPr>
        <w:t xml:space="preserve">to </w:t>
      </w:r>
      <w:r w:rsidR="00F0125B" w:rsidRPr="00453CA0">
        <w:rPr>
          <w:rFonts w:ascii="Times New Roman" w:hAnsi="Times New Roman" w:cs="Times New Roman"/>
        </w:rPr>
        <w:t>set</w:t>
      </w:r>
      <w:r w:rsidR="00896108" w:rsidRPr="00453CA0">
        <w:rPr>
          <w:rFonts w:ascii="Times New Roman" w:hAnsi="Times New Roman" w:cs="Times New Roman"/>
        </w:rPr>
        <w:t xml:space="preserve"> bespoke </w:t>
      </w:r>
      <w:r w:rsidR="00F0125B" w:rsidRPr="00453CA0">
        <w:rPr>
          <w:rFonts w:ascii="Times New Roman" w:hAnsi="Times New Roman" w:cs="Times New Roman"/>
        </w:rPr>
        <w:t>monthly data demand targets for different country income groups. This parameter s</w:t>
      </w:r>
      <w:r w:rsidR="0000769B" w:rsidRPr="00453CA0">
        <w:rPr>
          <w:rFonts w:ascii="Times New Roman" w:hAnsi="Times New Roman" w:cs="Times New Roman"/>
        </w:rPr>
        <w:t>ets the monthly data consumption level per user</w:t>
      </w:r>
      <w:r w:rsidR="00F0125B" w:rsidRPr="00453CA0">
        <w:rPr>
          <w:rFonts w:ascii="Times New Roman" w:hAnsi="Times New Roman" w:cs="Times New Roman"/>
        </w:rPr>
        <w:t xml:space="preserve"> which </w:t>
      </w:r>
      <w:r w:rsidR="0000769B" w:rsidRPr="00453CA0">
        <w:rPr>
          <w:rFonts w:ascii="Times New Roman" w:hAnsi="Times New Roman" w:cs="Times New Roman"/>
        </w:rPr>
        <w:t xml:space="preserve">DICE </w:t>
      </w:r>
      <w:r w:rsidR="00F0125B" w:rsidRPr="00453CA0">
        <w:rPr>
          <w:rFonts w:ascii="Times New Roman" w:hAnsi="Times New Roman" w:cs="Times New Roman"/>
        </w:rPr>
        <w:t xml:space="preserve">will </w:t>
      </w:r>
      <w:r w:rsidR="0000769B" w:rsidRPr="00453CA0">
        <w:rPr>
          <w:rFonts w:ascii="Times New Roman" w:hAnsi="Times New Roman" w:cs="Times New Roman"/>
        </w:rPr>
        <w:t xml:space="preserve">build capacity to </w:t>
      </w:r>
      <w:r w:rsidR="00B6551B">
        <w:rPr>
          <w:rFonts w:ascii="Times New Roman" w:hAnsi="Times New Roman" w:cs="Times New Roman"/>
        </w:rPr>
        <w:t>serve</w:t>
      </w:r>
      <w:r w:rsidR="00F0125B" w:rsidRPr="00453CA0">
        <w:rPr>
          <w:rFonts w:ascii="Times New Roman" w:hAnsi="Times New Roman" w:cs="Times New Roman"/>
        </w:rPr>
        <w:t xml:space="preserve">. </w:t>
      </w:r>
      <w:r w:rsidR="00E078CF" w:rsidRPr="00453CA0">
        <w:rPr>
          <w:rFonts w:ascii="Times New Roman" w:hAnsi="Times New Roman" w:cs="Times New Roman"/>
        </w:rPr>
        <w:t xml:space="preserve">As described </w:t>
      </w:r>
      <w:r w:rsidR="00B6551B">
        <w:rPr>
          <w:rFonts w:ascii="Times New Roman" w:hAnsi="Times New Roman" w:cs="Times New Roman"/>
        </w:rPr>
        <w:t>in the following metrics</w:t>
      </w:r>
      <w:r w:rsidR="00E078CF" w:rsidRPr="00453CA0">
        <w:rPr>
          <w:rFonts w:ascii="Times New Roman" w:hAnsi="Times New Roman" w:cs="Times New Roman"/>
        </w:rPr>
        <w:t>, t</w:t>
      </w:r>
      <w:r w:rsidR="00F0125B" w:rsidRPr="00453CA0">
        <w:rPr>
          <w:rFonts w:ascii="Times New Roman" w:hAnsi="Times New Roman" w:cs="Times New Roman"/>
        </w:rPr>
        <w:t xml:space="preserve">he pro rata share of data demand per month is </w:t>
      </w:r>
      <w:r w:rsidR="00E078CF" w:rsidRPr="00453CA0">
        <w:rPr>
          <w:rFonts w:ascii="Times New Roman" w:hAnsi="Times New Roman" w:cs="Times New Roman"/>
        </w:rPr>
        <w:t xml:space="preserve">then </w:t>
      </w:r>
      <w:r w:rsidR="00F0125B" w:rsidRPr="00453CA0">
        <w:rPr>
          <w:rFonts w:ascii="Times New Roman" w:hAnsi="Times New Roman" w:cs="Times New Roman"/>
        </w:rPr>
        <w:t>converted to the</w:t>
      </w:r>
      <w:r w:rsidRPr="00453CA0">
        <w:rPr>
          <w:rFonts w:ascii="Times New Roman" w:hAnsi="Times New Roman" w:cs="Times New Roman"/>
        </w:rPr>
        <w:t xml:space="preserve"> daily quantity, and secondly to the busy hour </w:t>
      </w:r>
      <w:r w:rsidR="00993C21">
        <w:rPr>
          <w:rFonts w:ascii="Times New Roman" w:hAnsi="Times New Roman" w:cs="Times New Roman"/>
        </w:rPr>
        <w:t xml:space="preserve">average </w:t>
      </w:r>
      <w:r w:rsidRPr="00453CA0">
        <w:rPr>
          <w:rFonts w:ascii="Times New Roman" w:hAnsi="Times New Roman" w:cs="Times New Roman"/>
        </w:rPr>
        <w:t xml:space="preserve">quantity. Finally, DICE converts this </w:t>
      </w:r>
      <w:r w:rsidR="00993C21" w:rsidRPr="00453CA0">
        <w:rPr>
          <w:rFonts w:ascii="Times New Roman" w:hAnsi="Times New Roman" w:cs="Times New Roman"/>
        </w:rPr>
        <w:t xml:space="preserve">busy hour </w:t>
      </w:r>
      <w:r w:rsidR="00993C21">
        <w:rPr>
          <w:rFonts w:ascii="Times New Roman" w:hAnsi="Times New Roman" w:cs="Times New Roman"/>
        </w:rPr>
        <w:t xml:space="preserve">average </w:t>
      </w:r>
      <w:r w:rsidR="00993C21" w:rsidRPr="00453CA0">
        <w:rPr>
          <w:rFonts w:ascii="Times New Roman" w:hAnsi="Times New Roman" w:cs="Times New Roman"/>
        </w:rPr>
        <w:t>quantity</w:t>
      </w:r>
      <w:r w:rsidR="00993C21" w:rsidRPr="00453CA0" w:rsidDel="00993C21">
        <w:rPr>
          <w:rFonts w:ascii="Times New Roman" w:hAnsi="Times New Roman" w:cs="Times New Roman"/>
        </w:rPr>
        <w:t xml:space="preserve"> </w:t>
      </w:r>
      <w:r w:rsidRPr="00453CA0">
        <w:rPr>
          <w:rFonts w:ascii="Times New Roman" w:hAnsi="Times New Roman" w:cs="Times New Roman"/>
        </w:rPr>
        <w:t xml:space="preserve">into a required </w:t>
      </w:r>
      <w:r w:rsidR="00993C21">
        <w:rPr>
          <w:rFonts w:ascii="Times New Roman" w:hAnsi="Times New Roman" w:cs="Times New Roman"/>
        </w:rPr>
        <w:t xml:space="preserve">connection </w:t>
      </w:r>
      <w:r w:rsidRPr="00453CA0">
        <w:rPr>
          <w:rFonts w:ascii="Times New Roman" w:hAnsi="Times New Roman" w:cs="Times New Roman"/>
        </w:rPr>
        <w:t>speed in Megabits Per Second (Mbps)</w:t>
      </w:r>
      <w:r w:rsidR="00C45522" w:rsidRPr="00453CA0">
        <w:rPr>
          <w:rFonts w:ascii="Times New Roman" w:hAnsi="Times New Roman" w:cs="Times New Roman"/>
        </w:rPr>
        <w:t>.</w:t>
      </w:r>
    </w:p>
    <w:p w14:paraId="053D3680" w14:textId="197F5C71" w:rsidR="00E078CF" w:rsidRPr="00453CA0" w:rsidRDefault="00E078CF" w:rsidP="00E078CF">
      <w:pPr>
        <w:jc w:val="both"/>
        <w:rPr>
          <w:rFonts w:ascii="Times New Roman" w:hAnsi="Times New Roman" w:cs="Times New Roman"/>
        </w:rPr>
      </w:pPr>
      <w:r w:rsidRPr="00453CA0">
        <w:rPr>
          <w:rFonts w:ascii="Times New Roman" w:hAnsi="Times New Roman" w:cs="Times New Roman"/>
        </w:rPr>
        <w:t>Intermediate metrics available for the user to view are also described as follows, for DICE to obtain the required final “Hourly Mean Data Rate Per User (Mbps)”</w:t>
      </w:r>
      <w:r w:rsidR="00265084" w:rsidRPr="00453CA0">
        <w:rPr>
          <w:rFonts w:ascii="Times New Roman" w:hAnsi="Times New Roman" w:cs="Times New Roman"/>
        </w:rPr>
        <w:t xml:space="preserve"> metric</w:t>
      </w:r>
      <w:r w:rsidRPr="00453CA0">
        <w:rPr>
          <w:rFonts w:ascii="Times New Roman" w:hAnsi="Times New Roman" w:cs="Times New Roman"/>
        </w:rPr>
        <w:t>:</w:t>
      </w:r>
    </w:p>
    <w:p w14:paraId="5E187BB2" w14:textId="2B392E82" w:rsidR="00A75511" w:rsidRPr="00453CA0" w:rsidRDefault="00A75511" w:rsidP="00B27812">
      <w:pPr>
        <w:pStyle w:val="ListParagraph"/>
        <w:numPr>
          <w:ilvl w:val="0"/>
          <w:numId w:val="9"/>
        </w:numPr>
        <w:jc w:val="both"/>
        <w:rPr>
          <w:rFonts w:ascii="Times New Roman" w:hAnsi="Times New Roman" w:cs="Times New Roman"/>
        </w:rPr>
      </w:pPr>
      <w:r w:rsidRPr="00453CA0">
        <w:rPr>
          <w:rFonts w:ascii="Times New Roman" w:hAnsi="Times New Roman" w:cs="Times New Roman"/>
        </w:rPr>
        <w:t>Monthly Video Streaming (Hours/</w:t>
      </w:r>
      <w:r w:rsidR="009F6C51" w:rsidRPr="00453CA0">
        <w:rPr>
          <w:rFonts w:ascii="Times New Roman" w:hAnsi="Times New Roman" w:cs="Times New Roman"/>
        </w:rPr>
        <w:t>M</w:t>
      </w:r>
      <w:r w:rsidRPr="00453CA0">
        <w:rPr>
          <w:rFonts w:ascii="Times New Roman" w:hAnsi="Times New Roman" w:cs="Times New Roman"/>
        </w:rPr>
        <w:t xml:space="preserve">onth) – The monthly data demand can be converted into the number of hours of Standard Definition (SD) video which can be consumed, given a conversion rate of approximately 500 MB of traffic per hour when streaming on a smartphone. </w:t>
      </w:r>
    </w:p>
    <w:p w14:paraId="6F621F96" w14:textId="58443F23" w:rsidR="00A75511" w:rsidRPr="00453CA0" w:rsidRDefault="00A75511" w:rsidP="00B27812">
      <w:pPr>
        <w:pStyle w:val="ListParagraph"/>
        <w:numPr>
          <w:ilvl w:val="0"/>
          <w:numId w:val="9"/>
        </w:numPr>
        <w:jc w:val="both"/>
        <w:rPr>
          <w:rFonts w:ascii="Times New Roman" w:hAnsi="Times New Roman" w:cs="Times New Roman"/>
        </w:rPr>
      </w:pPr>
      <w:r w:rsidRPr="00453CA0">
        <w:rPr>
          <w:rFonts w:ascii="Times New Roman" w:hAnsi="Times New Roman" w:cs="Times New Roman"/>
        </w:rPr>
        <w:t>Data Demand Per Day (GB/</w:t>
      </w:r>
      <w:r w:rsidR="009F6C51" w:rsidRPr="00453CA0">
        <w:rPr>
          <w:rFonts w:ascii="Times New Roman" w:hAnsi="Times New Roman" w:cs="Times New Roman"/>
        </w:rPr>
        <w:t>D</w:t>
      </w:r>
      <w:r w:rsidRPr="00453CA0">
        <w:rPr>
          <w:rFonts w:ascii="Times New Roman" w:hAnsi="Times New Roman" w:cs="Times New Roman"/>
        </w:rPr>
        <w:t>ay)</w:t>
      </w:r>
      <w:r w:rsidR="009F6C51" w:rsidRPr="00453CA0">
        <w:rPr>
          <w:rFonts w:ascii="Times New Roman" w:hAnsi="Times New Roman" w:cs="Times New Roman"/>
        </w:rPr>
        <w:t xml:space="preserve"> – Reflects the monthly data demand converted pro rata to the daily data demand. </w:t>
      </w:r>
    </w:p>
    <w:p w14:paraId="538AEF2B" w14:textId="313ABF91" w:rsidR="009F6C51" w:rsidRPr="00453CA0" w:rsidRDefault="009F6C51" w:rsidP="009F6C51">
      <w:pPr>
        <w:pStyle w:val="ListParagraph"/>
        <w:numPr>
          <w:ilvl w:val="0"/>
          <w:numId w:val="9"/>
        </w:numPr>
        <w:jc w:val="both"/>
        <w:rPr>
          <w:rFonts w:ascii="Times New Roman" w:hAnsi="Times New Roman" w:cs="Times New Roman"/>
        </w:rPr>
      </w:pPr>
      <w:r w:rsidRPr="00453CA0">
        <w:rPr>
          <w:rFonts w:ascii="Times New Roman" w:hAnsi="Times New Roman" w:cs="Times New Roman"/>
        </w:rPr>
        <w:t xml:space="preserve">Data </w:t>
      </w:r>
      <w:r w:rsidR="003E1489" w:rsidRPr="00453CA0">
        <w:rPr>
          <w:rFonts w:ascii="Times New Roman" w:hAnsi="Times New Roman" w:cs="Times New Roman"/>
        </w:rPr>
        <w:t>Video Streaming</w:t>
      </w:r>
      <w:r w:rsidRPr="00453CA0">
        <w:rPr>
          <w:rFonts w:ascii="Times New Roman" w:hAnsi="Times New Roman" w:cs="Times New Roman"/>
        </w:rPr>
        <w:t xml:space="preserve"> (</w:t>
      </w:r>
      <w:r w:rsidR="003E1489" w:rsidRPr="00453CA0">
        <w:rPr>
          <w:rFonts w:ascii="Times New Roman" w:hAnsi="Times New Roman" w:cs="Times New Roman"/>
        </w:rPr>
        <w:t>Hours</w:t>
      </w:r>
      <w:r w:rsidRPr="00453CA0">
        <w:rPr>
          <w:rFonts w:ascii="Times New Roman" w:hAnsi="Times New Roman" w:cs="Times New Roman"/>
        </w:rPr>
        <w:t xml:space="preserve">/Day) – Reflects the </w:t>
      </w:r>
      <w:r w:rsidR="003E1489" w:rsidRPr="00453CA0">
        <w:rPr>
          <w:rFonts w:ascii="Times New Roman" w:hAnsi="Times New Roman" w:cs="Times New Roman"/>
        </w:rPr>
        <w:t xml:space="preserve">number of hours of Standard Definition (SD) video which can be consumed given the daily data demand. </w:t>
      </w:r>
    </w:p>
    <w:p w14:paraId="35D3F412" w14:textId="544B8883" w:rsidR="003E1489" w:rsidRPr="00453CA0" w:rsidRDefault="003E1489" w:rsidP="009F6C51">
      <w:pPr>
        <w:pStyle w:val="ListParagraph"/>
        <w:numPr>
          <w:ilvl w:val="0"/>
          <w:numId w:val="9"/>
        </w:numPr>
        <w:jc w:val="both"/>
        <w:rPr>
          <w:rFonts w:ascii="Times New Roman" w:hAnsi="Times New Roman" w:cs="Times New Roman"/>
        </w:rPr>
      </w:pPr>
      <w:r w:rsidRPr="00453CA0">
        <w:rPr>
          <w:rFonts w:ascii="Times New Roman" w:hAnsi="Times New Roman" w:cs="Times New Roman"/>
        </w:rPr>
        <w:t>Hourly Mean Data Consumption</w:t>
      </w:r>
      <w:r w:rsidR="00B678AC" w:rsidRPr="00453CA0">
        <w:rPr>
          <w:rFonts w:ascii="Times New Roman" w:hAnsi="Times New Roman" w:cs="Times New Roman"/>
        </w:rPr>
        <w:t xml:space="preserve"> Per User</w:t>
      </w:r>
      <w:r w:rsidRPr="00453CA0">
        <w:rPr>
          <w:rFonts w:ascii="Times New Roman" w:hAnsi="Times New Roman" w:cs="Times New Roman"/>
        </w:rPr>
        <w:t xml:space="preserve"> (MB/Hour) </w:t>
      </w:r>
      <w:r w:rsidR="0073552E" w:rsidRPr="00453CA0">
        <w:rPr>
          <w:rFonts w:ascii="Times New Roman" w:hAnsi="Times New Roman" w:cs="Times New Roman"/>
        </w:rPr>
        <w:t>–</w:t>
      </w:r>
      <w:r w:rsidRPr="00453CA0">
        <w:rPr>
          <w:rFonts w:ascii="Times New Roman" w:hAnsi="Times New Roman" w:cs="Times New Roman"/>
        </w:rPr>
        <w:t xml:space="preserve"> </w:t>
      </w:r>
      <w:r w:rsidR="0073552E" w:rsidRPr="00453CA0">
        <w:rPr>
          <w:rFonts w:ascii="Times New Roman" w:hAnsi="Times New Roman" w:cs="Times New Roman"/>
        </w:rPr>
        <w:t xml:space="preserve">The </w:t>
      </w:r>
      <w:r w:rsidR="00465367" w:rsidRPr="00453CA0">
        <w:rPr>
          <w:rFonts w:ascii="Times New Roman" w:hAnsi="Times New Roman" w:cs="Times New Roman"/>
        </w:rPr>
        <w:t xml:space="preserve">mean </w:t>
      </w:r>
      <w:r w:rsidR="0073552E" w:rsidRPr="00453CA0">
        <w:rPr>
          <w:rFonts w:ascii="Times New Roman" w:hAnsi="Times New Roman" w:cs="Times New Roman"/>
        </w:rPr>
        <w:t>number of megabytes consumed per hour</w:t>
      </w:r>
      <w:r w:rsidR="00E078CF" w:rsidRPr="00453CA0">
        <w:rPr>
          <w:rFonts w:ascii="Times New Roman" w:hAnsi="Times New Roman" w:cs="Times New Roman"/>
        </w:rPr>
        <w:t xml:space="preserve"> by a user</w:t>
      </w:r>
      <w:r w:rsidR="0073552E" w:rsidRPr="00453CA0">
        <w:rPr>
          <w:rFonts w:ascii="Times New Roman" w:hAnsi="Times New Roman" w:cs="Times New Roman"/>
        </w:rPr>
        <w:t xml:space="preserve">. </w:t>
      </w:r>
    </w:p>
    <w:p w14:paraId="0DE06E8D" w14:textId="3D1CFF3A" w:rsidR="00465367" w:rsidRPr="00453CA0" w:rsidRDefault="00465367" w:rsidP="009F6C51">
      <w:pPr>
        <w:pStyle w:val="ListParagraph"/>
        <w:numPr>
          <w:ilvl w:val="0"/>
          <w:numId w:val="9"/>
        </w:numPr>
        <w:jc w:val="both"/>
        <w:rPr>
          <w:rFonts w:ascii="Times New Roman" w:hAnsi="Times New Roman" w:cs="Times New Roman"/>
        </w:rPr>
      </w:pPr>
      <w:r w:rsidRPr="00453CA0">
        <w:rPr>
          <w:rFonts w:ascii="Times New Roman" w:hAnsi="Times New Roman" w:cs="Times New Roman"/>
        </w:rPr>
        <w:t xml:space="preserve">Hourly Mean Data Rate Per User (Mbps) – The mean data rate required (in Megabits Per Second) to transfer the required hourly data traffic. </w:t>
      </w:r>
    </w:p>
    <w:p w14:paraId="5B04096E" w14:textId="2B763C93" w:rsidR="00A75511" w:rsidRDefault="00940FB6" w:rsidP="00A75511">
      <w:pPr>
        <w:jc w:val="both"/>
        <w:rPr>
          <w:rFonts w:ascii="Times New Roman" w:hAnsi="Times New Roman" w:cs="Times New Roman"/>
        </w:rPr>
      </w:pPr>
      <w:r>
        <w:rPr>
          <w:rFonts w:ascii="Times New Roman" w:hAnsi="Times New Roman" w:cs="Times New Roman"/>
        </w:rPr>
        <w:t>T</w:t>
      </w:r>
      <w:r w:rsidR="00BF325F" w:rsidRPr="00453CA0">
        <w:rPr>
          <w:rFonts w:ascii="Times New Roman" w:hAnsi="Times New Roman" w:cs="Times New Roman"/>
        </w:rPr>
        <w:t xml:space="preserve">he “Hourly Mean Data Rate Per User (Mbps)” may seem lower </w:t>
      </w:r>
      <w:r>
        <w:rPr>
          <w:rFonts w:ascii="Times New Roman" w:hAnsi="Times New Roman" w:cs="Times New Roman"/>
        </w:rPr>
        <w:t>(e.g., &lt;1 Mbps)</w:t>
      </w:r>
      <w:r>
        <w:rPr>
          <w:rFonts w:ascii="Times New Roman" w:hAnsi="Times New Roman" w:cs="Times New Roman"/>
        </w:rPr>
        <w:t xml:space="preserve"> </w:t>
      </w:r>
      <w:r w:rsidR="00BF325F" w:rsidRPr="00453CA0">
        <w:rPr>
          <w:rFonts w:ascii="Times New Roman" w:hAnsi="Times New Roman" w:cs="Times New Roman"/>
        </w:rPr>
        <w:t xml:space="preserve">than </w:t>
      </w:r>
      <w:r>
        <w:rPr>
          <w:rFonts w:ascii="Times New Roman" w:hAnsi="Times New Roman" w:cs="Times New Roman"/>
        </w:rPr>
        <w:t xml:space="preserve">normally </w:t>
      </w:r>
      <w:r w:rsidR="00BF325F" w:rsidRPr="00453CA0">
        <w:rPr>
          <w:rFonts w:ascii="Times New Roman" w:hAnsi="Times New Roman" w:cs="Times New Roman"/>
        </w:rPr>
        <w:t>experience</w:t>
      </w:r>
      <w:r>
        <w:rPr>
          <w:rFonts w:ascii="Times New Roman" w:hAnsi="Times New Roman" w:cs="Times New Roman"/>
        </w:rPr>
        <w:t>d</w:t>
      </w:r>
      <w:r w:rsidR="00BF325F" w:rsidRPr="00453CA0">
        <w:rPr>
          <w:rFonts w:ascii="Times New Roman" w:hAnsi="Times New Roman" w:cs="Times New Roman"/>
        </w:rPr>
        <w:t xml:space="preserve"> when using </w:t>
      </w:r>
      <w:r>
        <w:rPr>
          <w:rFonts w:ascii="Times New Roman" w:hAnsi="Times New Roman" w:cs="Times New Roman"/>
        </w:rPr>
        <w:t xml:space="preserve">a </w:t>
      </w:r>
      <w:r w:rsidR="00BF325F" w:rsidRPr="00453CA0">
        <w:rPr>
          <w:rFonts w:ascii="Times New Roman" w:hAnsi="Times New Roman" w:cs="Times New Roman"/>
        </w:rPr>
        <w:t>smartphone</w:t>
      </w:r>
      <w:r>
        <w:rPr>
          <w:rFonts w:ascii="Times New Roman" w:hAnsi="Times New Roman" w:cs="Times New Roman"/>
        </w:rPr>
        <w:t xml:space="preserve">. However, </w:t>
      </w:r>
      <w:r w:rsidR="00BF325F" w:rsidRPr="00453CA0">
        <w:rPr>
          <w:rFonts w:ascii="Times New Roman" w:hAnsi="Times New Roman" w:cs="Times New Roman"/>
        </w:rPr>
        <w:t xml:space="preserve">this is the mean </w:t>
      </w:r>
      <w:r>
        <w:rPr>
          <w:rFonts w:ascii="Times New Roman" w:hAnsi="Times New Roman" w:cs="Times New Roman"/>
        </w:rPr>
        <w:t xml:space="preserve">connection speed required </w:t>
      </w:r>
      <w:r w:rsidR="00BF325F" w:rsidRPr="00453CA0">
        <w:rPr>
          <w:rFonts w:ascii="Times New Roman" w:hAnsi="Times New Roman" w:cs="Times New Roman"/>
        </w:rPr>
        <w:t xml:space="preserve">over </w:t>
      </w:r>
      <w:r>
        <w:rPr>
          <w:rFonts w:ascii="Times New Roman" w:hAnsi="Times New Roman" w:cs="Times New Roman"/>
        </w:rPr>
        <w:t xml:space="preserve">one </w:t>
      </w:r>
      <w:r w:rsidR="00BF325F" w:rsidRPr="00453CA0">
        <w:rPr>
          <w:rFonts w:ascii="Times New Roman" w:hAnsi="Times New Roman" w:cs="Times New Roman"/>
        </w:rPr>
        <w:t xml:space="preserve">hour. </w:t>
      </w:r>
      <w:r w:rsidR="0055759F" w:rsidRPr="00453CA0">
        <w:rPr>
          <w:rFonts w:ascii="Times New Roman" w:hAnsi="Times New Roman" w:cs="Times New Roman"/>
        </w:rPr>
        <w:t>Usage</w:t>
      </w:r>
      <w:r w:rsidR="00BF325F" w:rsidRPr="00453CA0">
        <w:rPr>
          <w:rFonts w:ascii="Times New Roman" w:hAnsi="Times New Roman" w:cs="Times New Roman"/>
        </w:rPr>
        <w:t xml:space="preserve"> and traffic demand </w:t>
      </w:r>
      <w:r w:rsidR="00C61DE3" w:rsidRPr="00453CA0">
        <w:rPr>
          <w:rFonts w:ascii="Times New Roman" w:hAnsi="Times New Roman" w:cs="Times New Roman"/>
        </w:rPr>
        <w:t>occur</w:t>
      </w:r>
      <w:r w:rsidR="00BF325F" w:rsidRPr="00453CA0">
        <w:rPr>
          <w:rFonts w:ascii="Times New Roman" w:hAnsi="Times New Roman" w:cs="Times New Roman"/>
        </w:rPr>
        <w:t xml:space="preserve"> in ‘bursts’, meaning </w:t>
      </w:r>
      <w:r w:rsidR="00304E17">
        <w:rPr>
          <w:rFonts w:ascii="Times New Roman" w:hAnsi="Times New Roman" w:cs="Times New Roman"/>
        </w:rPr>
        <w:t xml:space="preserve">a user </w:t>
      </w:r>
      <w:r w:rsidR="0055759F">
        <w:rPr>
          <w:rFonts w:ascii="Times New Roman" w:hAnsi="Times New Roman" w:cs="Times New Roman"/>
        </w:rPr>
        <w:t>normally</w:t>
      </w:r>
      <w:r w:rsidR="00BF325F" w:rsidRPr="00453CA0">
        <w:rPr>
          <w:rFonts w:ascii="Times New Roman" w:hAnsi="Times New Roman" w:cs="Times New Roman"/>
        </w:rPr>
        <w:t xml:space="preserve"> experience</w:t>
      </w:r>
      <w:r w:rsidR="00304E17">
        <w:rPr>
          <w:rFonts w:ascii="Times New Roman" w:hAnsi="Times New Roman" w:cs="Times New Roman"/>
        </w:rPr>
        <w:t>s</w:t>
      </w:r>
      <w:r w:rsidR="00BF325F" w:rsidRPr="00453CA0">
        <w:rPr>
          <w:rFonts w:ascii="Times New Roman" w:hAnsi="Times New Roman" w:cs="Times New Roman"/>
        </w:rPr>
        <w:t xml:space="preserve"> </w:t>
      </w:r>
      <w:r w:rsidR="00304E17">
        <w:rPr>
          <w:rFonts w:ascii="Times New Roman" w:hAnsi="Times New Roman" w:cs="Times New Roman"/>
        </w:rPr>
        <w:t xml:space="preserve">a </w:t>
      </w:r>
      <w:r w:rsidR="00BF325F" w:rsidRPr="00453CA0">
        <w:rPr>
          <w:rFonts w:ascii="Times New Roman" w:hAnsi="Times New Roman" w:cs="Times New Roman"/>
        </w:rPr>
        <w:t>much higher rate when downloading data (but these bursts average out over an hour).</w:t>
      </w:r>
    </w:p>
    <w:p w14:paraId="73B2E8CE" w14:textId="6A86FE00" w:rsidR="00F2119B" w:rsidRPr="003A6B17" w:rsidRDefault="00F2119B" w:rsidP="003A6B17">
      <w:pPr>
        <w:jc w:val="both"/>
        <w:rPr>
          <w:rFonts w:ascii="Times New Roman" w:hAnsi="Times New Roman" w:cs="Times New Roman"/>
        </w:rPr>
      </w:pPr>
      <w:r>
        <w:rPr>
          <w:rFonts w:ascii="Times New Roman" w:hAnsi="Times New Roman" w:cs="Times New Roman"/>
        </w:rPr>
        <w:t>In the DICE model</w:t>
      </w:r>
      <w:r w:rsidRPr="003A6B17">
        <w:rPr>
          <w:rFonts w:ascii="Times New Roman" w:hAnsi="Times New Roman" w:cs="Times New Roman"/>
        </w:rPr>
        <w:t xml:space="preserve">, the smartphone adoption rate is set to </w:t>
      </w:r>
      <w:r>
        <w:rPr>
          <w:rFonts w:ascii="Times New Roman" w:hAnsi="Times New Roman" w:cs="Times New Roman"/>
        </w:rPr>
        <w:t xml:space="preserve">be </w:t>
      </w:r>
      <w:r w:rsidRPr="003A6B17">
        <w:rPr>
          <w:rFonts w:ascii="Times New Roman" w:hAnsi="Times New Roman" w:cs="Times New Roman"/>
        </w:rPr>
        <w:t>9</w:t>
      </w:r>
      <w:r>
        <w:rPr>
          <w:rFonts w:ascii="Times New Roman" w:hAnsi="Times New Roman" w:cs="Times New Roman"/>
        </w:rPr>
        <w:t>0</w:t>
      </w:r>
      <w:r w:rsidRPr="003A6B17">
        <w:rPr>
          <w:rFonts w:ascii="Times New Roman" w:hAnsi="Times New Roman" w:cs="Times New Roman"/>
        </w:rPr>
        <w:t xml:space="preserve">% of the population </w:t>
      </w:r>
      <w:r>
        <w:rPr>
          <w:rFonts w:ascii="Times New Roman" w:hAnsi="Times New Roman" w:cs="Times New Roman"/>
        </w:rPr>
        <w:t xml:space="preserve">by the end of the evaluation period in 2030. </w:t>
      </w:r>
      <w:r w:rsidRPr="003A6B17">
        <w:rPr>
          <w:rFonts w:ascii="Times New Roman" w:hAnsi="Times New Roman" w:cs="Times New Roman"/>
        </w:rPr>
        <w:t xml:space="preserve">Full smartphone adoption of 100% is unlikely for multiple reasons, hence the slightly </w:t>
      </w:r>
      <w:r>
        <w:rPr>
          <w:rFonts w:ascii="Times New Roman" w:hAnsi="Times New Roman" w:cs="Times New Roman"/>
        </w:rPr>
        <w:t xml:space="preserve">more conservative </w:t>
      </w:r>
      <w:r w:rsidRPr="003A6B17">
        <w:rPr>
          <w:rFonts w:ascii="Times New Roman" w:hAnsi="Times New Roman" w:cs="Times New Roman"/>
        </w:rPr>
        <w:t xml:space="preserve">aim. </w:t>
      </w:r>
    </w:p>
    <w:p w14:paraId="7D20D0B8" w14:textId="7A7B08A9" w:rsidR="00F2119B" w:rsidRPr="003A6B17" w:rsidRDefault="00F2119B" w:rsidP="003A6B17">
      <w:pPr>
        <w:jc w:val="both"/>
        <w:rPr>
          <w:rFonts w:ascii="Times New Roman" w:hAnsi="Times New Roman" w:cs="Times New Roman"/>
        </w:rPr>
      </w:pPr>
      <w:r w:rsidRPr="003A6B17">
        <w:rPr>
          <w:rFonts w:ascii="Times New Roman" w:hAnsi="Times New Roman" w:cs="Times New Roman"/>
        </w:rPr>
        <w:t>For “</w:t>
      </w:r>
      <w:r>
        <w:rPr>
          <w:rFonts w:ascii="Times New Roman" w:hAnsi="Times New Roman" w:cs="Times New Roman"/>
        </w:rPr>
        <w:t>User</w:t>
      </w:r>
      <w:r w:rsidRPr="003A6B17">
        <w:rPr>
          <w:rFonts w:ascii="Times New Roman" w:hAnsi="Times New Roman" w:cs="Times New Roman"/>
        </w:rPr>
        <w:t xml:space="preserve"> Demand Parameters”</w:t>
      </w:r>
      <w:r>
        <w:rPr>
          <w:rFonts w:ascii="Times New Roman" w:hAnsi="Times New Roman" w:cs="Times New Roman"/>
        </w:rPr>
        <w:t>,</w:t>
      </w:r>
      <w:r w:rsidRPr="003A6B17">
        <w:rPr>
          <w:rFonts w:ascii="Times New Roman" w:hAnsi="Times New Roman" w:cs="Times New Roman"/>
        </w:rPr>
        <w:t xml:space="preserve"> the key editable metric is as follows:  </w:t>
      </w:r>
    </w:p>
    <w:p w14:paraId="30A200A0" w14:textId="115A367F" w:rsidR="00F65162" w:rsidRDefault="00F65162" w:rsidP="0027194D">
      <w:pPr>
        <w:pStyle w:val="ListParagraph"/>
        <w:numPr>
          <w:ilvl w:val="0"/>
          <w:numId w:val="9"/>
        </w:numPr>
        <w:jc w:val="both"/>
        <w:rPr>
          <w:rFonts w:ascii="Times New Roman" w:hAnsi="Times New Roman" w:cs="Times New Roman"/>
        </w:rPr>
      </w:pPr>
      <w:r w:rsidRPr="00453CA0">
        <w:rPr>
          <w:rFonts w:ascii="Times New Roman" w:hAnsi="Times New Roman" w:cs="Times New Roman"/>
        </w:rPr>
        <w:t xml:space="preserve">Active Users (%) – </w:t>
      </w:r>
      <w:r w:rsidR="00C61DE3" w:rsidRPr="00453CA0">
        <w:rPr>
          <w:rFonts w:ascii="Times New Roman" w:hAnsi="Times New Roman" w:cs="Times New Roman"/>
        </w:rPr>
        <w:t>Representing the number of active users exchanging traffic with the network at one point in time. This parameter is required because n</w:t>
      </w:r>
      <w:r w:rsidRPr="00453CA0">
        <w:rPr>
          <w:rFonts w:ascii="Times New Roman" w:hAnsi="Times New Roman" w:cs="Times New Roman"/>
        </w:rPr>
        <w:t xml:space="preserve">ot </w:t>
      </w:r>
      <w:r w:rsidR="005D3242" w:rsidRPr="00453CA0">
        <w:rPr>
          <w:rFonts w:ascii="Times New Roman" w:hAnsi="Times New Roman" w:cs="Times New Roman"/>
        </w:rPr>
        <w:t>all</w:t>
      </w:r>
      <w:r w:rsidRPr="00453CA0">
        <w:rPr>
          <w:rFonts w:ascii="Times New Roman" w:hAnsi="Times New Roman" w:cs="Times New Roman"/>
        </w:rPr>
        <w:t xml:space="preserve"> the customers of an MNO are </w:t>
      </w:r>
      <w:r w:rsidR="00F2119B">
        <w:rPr>
          <w:rFonts w:ascii="Times New Roman" w:hAnsi="Times New Roman" w:cs="Times New Roman"/>
        </w:rPr>
        <w:t xml:space="preserve">always </w:t>
      </w:r>
      <w:r w:rsidR="00C61DE3" w:rsidRPr="00453CA0">
        <w:rPr>
          <w:rFonts w:ascii="Times New Roman" w:hAnsi="Times New Roman" w:cs="Times New Roman"/>
        </w:rPr>
        <w:t>active</w:t>
      </w:r>
      <w:r w:rsidRPr="00453CA0">
        <w:rPr>
          <w:rFonts w:ascii="Times New Roman" w:hAnsi="Times New Roman" w:cs="Times New Roman"/>
        </w:rPr>
        <w:t>. Traffic generally takes place in bursts, where a user receives a call or momentarily uses an app which updates</w:t>
      </w:r>
      <w:r w:rsidR="00651611" w:rsidRPr="00453CA0">
        <w:rPr>
          <w:rFonts w:ascii="Times New Roman" w:hAnsi="Times New Roman" w:cs="Times New Roman"/>
        </w:rPr>
        <w:t xml:space="preserve"> creating a burst of traffic (rather than a continuous stream)</w:t>
      </w:r>
      <w:r w:rsidRPr="00453CA0">
        <w:rPr>
          <w:rFonts w:ascii="Times New Roman" w:hAnsi="Times New Roman" w:cs="Times New Roman"/>
        </w:rPr>
        <w:t xml:space="preserve">. Indeed, much of the time, a mobile cell phone may be idle. Therefore, this parameter </w:t>
      </w:r>
      <w:r w:rsidRPr="00453CA0">
        <w:rPr>
          <w:rFonts w:ascii="Times New Roman" w:hAnsi="Times New Roman" w:cs="Times New Roman"/>
        </w:rPr>
        <w:lastRenderedPageBreak/>
        <w:t>defines how many users are actively exchanging data at any one time, which is typically one in twenty</w:t>
      </w:r>
      <w:r w:rsidR="00A559EF" w:rsidRPr="00453CA0">
        <w:rPr>
          <w:rFonts w:ascii="Times New Roman" w:hAnsi="Times New Roman" w:cs="Times New Roman"/>
        </w:rPr>
        <w:t xml:space="preserve"> users</w:t>
      </w:r>
      <w:r w:rsidR="009D5A77" w:rsidRPr="00453CA0">
        <w:rPr>
          <w:rFonts w:ascii="Times New Roman" w:hAnsi="Times New Roman" w:cs="Times New Roman"/>
        </w:rPr>
        <w:t>, or 5% (as set in the baseline here).</w:t>
      </w:r>
      <w:r w:rsidRPr="00453CA0">
        <w:rPr>
          <w:rFonts w:ascii="Times New Roman" w:hAnsi="Times New Roman" w:cs="Times New Roman"/>
        </w:rPr>
        <w:t xml:space="preserve"> </w:t>
      </w:r>
    </w:p>
    <w:p w14:paraId="69292380" w14:textId="382A8915" w:rsidR="000410B1" w:rsidRDefault="00155AFE" w:rsidP="005D3242">
      <w:pPr>
        <w:jc w:val="both"/>
        <w:rPr>
          <w:rFonts w:ascii="Times New Roman" w:hAnsi="Times New Roman" w:cs="Times New Roman"/>
        </w:rPr>
      </w:pPr>
      <w:r w:rsidRPr="00453CA0">
        <w:rPr>
          <w:rFonts w:ascii="Times New Roman" w:hAnsi="Times New Roman" w:cs="Times New Roman"/>
        </w:rPr>
        <w:t>In addition, a</w:t>
      </w:r>
      <w:r w:rsidR="005D3242" w:rsidRPr="00453CA0">
        <w:rPr>
          <w:rFonts w:ascii="Times New Roman" w:hAnsi="Times New Roman" w:cs="Times New Roman"/>
        </w:rPr>
        <w:t xml:space="preserve"> set of hourly graphs </w:t>
      </w:r>
      <w:r w:rsidR="00BE3293" w:rsidRPr="00453CA0">
        <w:rPr>
          <w:rFonts w:ascii="Times New Roman" w:hAnsi="Times New Roman" w:cs="Times New Roman"/>
        </w:rPr>
        <w:t>are provided</w:t>
      </w:r>
      <w:r w:rsidR="005D3242" w:rsidRPr="00453CA0">
        <w:rPr>
          <w:rFonts w:ascii="Times New Roman" w:hAnsi="Times New Roman" w:cs="Times New Roman"/>
        </w:rPr>
        <w:t xml:space="preserve"> for users to understand how traffic demand changes over each hour of the day. For example, </w:t>
      </w:r>
      <w:r w:rsidR="00E535B2" w:rsidRPr="00453CA0">
        <w:rPr>
          <w:rFonts w:ascii="Times New Roman" w:hAnsi="Times New Roman" w:cs="Times New Roman"/>
        </w:rPr>
        <w:t xml:space="preserve">the quantity of </w:t>
      </w:r>
      <w:r w:rsidR="005D3242" w:rsidRPr="00453CA0">
        <w:rPr>
          <w:rFonts w:ascii="Times New Roman" w:hAnsi="Times New Roman" w:cs="Times New Roman"/>
        </w:rPr>
        <w:t xml:space="preserve">traffic </w:t>
      </w:r>
      <w:r w:rsidR="00E535B2" w:rsidRPr="00453CA0">
        <w:rPr>
          <w:rFonts w:ascii="Times New Roman" w:hAnsi="Times New Roman" w:cs="Times New Roman"/>
        </w:rPr>
        <w:t xml:space="preserve">exchanged on average in the </w:t>
      </w:r>
      <w:r w:rsidR="005D3242" w:rsidRPr="00453CA0">
        <w:rPr>
          <w:rFonts w:ascii="Times New Roman" w:hAnsi="Times New Roman" w:cs="Times New Roman"/>
        </w:rPr>
        <w:t xml:space="preserve">early hours of </w:t>
      </w:r>
      <w:r w:rsidR="00E535B2" w:rsidRPr="00453CA0">
        <w:rPr>
          <w:rFonts w:ascii="Times New Roman" w:hAnsi="Times New Roman" w:cs="Times New Roman"/>
        </w:rPr>
        <w:t xml:space="preserve">the </w:t>
      </w:r>
      <w:r w:rsidR="005D3242" w:rsidRPr="00453CA0">
        <w:rPr>
          <w:rFonts w:ascii="Times New Roman" w:hAnsi="Times New Roman" w:cs="Times New Roman"/>
        </w:rPr>
        <w:t xml:space="preserve">morning </w:t>
      </w:r>
      <w:r w:rsidR="00E535B2" w:rsidRPr="00453CA0">
        <w:rPr>
          <w:rFonts w:ascii="Times New Roman" w:hAnsi="Times New Roman" w:cs="Times New Roman"/>
        </w:rPr>
        <w:t>is much lower than in the evening time</w:t>
      </w:r>
      <w:r w:rsidR="005D3242" w:rsidRPr="00453CA0">
        <w:rPr>
          <w:rFonts w:ascii="Times New Roman" w:hAnsi="Times New Roman" w:cs="Times New Roman"/>
        </w:rPr>
        <w:t>.</w:t>
      </w:r>
      <w:r w:rsidR="00E535B2" w:rsidRPr="00453CA0">
        <w:rPr>
          <w:rFonts w:ascii="Times New Roman" w:hAnsi="Times New Roman" w:cs="Times New Roman"/>
        </w:rPr>
        <w:t xml:space="preserve"> This quantity of traffic (the “Hourly Data Consumption Per User”) then correlates with the required mean speed to exchange</w:t>
      </w:r>
      <w:r w:rsidR="005D3242" w:rsidRPr="00453CA0">
        <w:rPr>
          <w:rFonts w:ascii="Times New Roman" w:hAnsi="Times New Roman" w:cs="Times New Roman"/>
        </w:rPr>
        <w:t xml:space="preserve"> </w:t>
      </w:r>
      <w:r w:rsidR="00E535B2" w:rsidRPr="00453CA0">
        <w:rPr>
          <w:rFonts w:ascii="Times New Roman" w:hAnsi="Times New Roman" w:cs="Times New Roman"/>
        </w:rPr>
        <w:t xml:space="preserve">this data in each hour (the “Hourly Data Rate Per User”). </w:t>
      </w:r>
    </w:p>
    <w:p w14:paraId="5BC71FFD" w14:textId="633D3FD7" w:rsidR="00CD2B31" w:rsidRPr="00453CA0" w:rsidRDefault="00CD2B31" w:rsidP="003A6B17">
      <w:pPr>
        <w:pStyle w:val="ListParagraph"/>
        <w:numPr>
          <w:ilvl w:val="1"/>
          <w:numId w:val="15"/>
        </w:numPr>
        <w:jc w:val="both"/>
        <w:rPr>
          <w:rFonts w:ascii="Times New Roman" w:hAnsi="Times New Roman" w:cs="Times New Roman"/>
          <w:u w:val="single"/>
        </w:rPr>
      </w:pPr>
      <w:r>
        <w:rPr>
          <w:rFonts w:ascii="Times New Roman" w:hAnsi="Times New Roman" w:cs="Times New Roman"/>
          <w:u w:val="single"/>
        </w:rPr>
        <w:t>Traffic Example</w:t>
      </w:r>
    </w:p>
    <w:p w14:paraId="52D9C06C" w14:textId="31E17FB6" w:rsidR="00CD2B31" w:rsidRPr="00453CA0" w:rsidRDefault="00CD2B31" w:rsidP="005D3242">
      <w:pPr>
        <w:jc w:val="both"/>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Traffic_Example</w:t>
      </w:r>
      <w:proofErr w:type="spellEnd"/>
      <w:r>
        <w:rPr>
          <w:rFonts w:ascii="Times New Roman" w:hAnsi="Times New Roman" w:cs="Times New Roman"/>
        </w:rPr>
        <w:t>” tab provides a tabular view of the hourly graphs provided in the previous “</w:t>
      </w:r>
      <w:proofErr w:type="spellStart"/>
      <w:r w:rsidRPr="00453CA0">
        <w:rPr>
          <w:rFonts w:ascii="Times New Roman" w:hAnsi="Times New Roman" w:cs="Times New Roman"/>
        </w:rPr>
        <w:t>Demand_Settings</w:t>
      </w:r>
      <w:proofErr w:type="spellEnd"/>
      <w:r>
        <w:rPr>
          <w:rFonts w:ascii="Times New Roman" w:hAnsi="Times New Roman" w:cs="Times New Roman"/>
        </w:rPr>
        <w:t xml:space="preserve">” </w:t>
      </w:r>
      <w:r w:rsidR="0038308B">
        <w:rPr>
          <w:rFonts w:ascii="Times New Roman" w:hAnsi="Times New Roman" w:cs="Times New Roman"/>
        </w:rPr>
        <w:t>tab in case</w:t>
      </w:r>
      <w:r>
        <w:rPr>
          <w:rFonts w:ascii="Times New Roman" w:hAnsi="Times New Roman" w:cs="Times New Roman"/>
        </w:rPr>
        <w:t xml:space="preserve"> users want to explore in more detail the underlying estimated demand values. </w:t>
      </w:r>
    </w:p>
    <w:p w14:paraId="135EAEC1" w14:textId="28CCE53F" w:rsidR="00C972FD" w:rsidRPr="00453CA0" w:rsidRDefault="004A0E8E" w:rsidP="003A6B17">
      <w:pPr>
        <w:pStyle w:val="ListParagraph"/>
        <w:numPr>
          <w:ilvl w:val="1"/>
          <w:numId w:val="15"/>
        </w:numPr>
        <w:jc w:val="both"/>
        <w:rPr>
          <w:rFonts w:ascii="Times New Roman" w:hAnsi="Times New Roman" w:cs="Times New Roman"/>
          <w:u w:val="single"/>
        </w:rPr>
      </w:pPr>
      <w:r w:rsidRPr="00453CA0">
        <w:rPr>
          <w:rFonts w:ascii="Times New Roman" w:hAnsi="Times New Roman" w:cs="Times New Roman"/>
          <w:u w:val="single"/>
        </w:rPr>
        <w:t xml:space="preserve">Supply </w:t>
      </w:r>
      <w:r w:rsidR="00C972FD" w:rsidRPr="00453CA0">
        <w:rPr>
          <w:rFonts w:ascii="Times New Roman" w:hAnsi="Times New Roman" w:cs="Times New Roman"/>
          <w:u w:val="single"/>
        </w:rPr>
        <w:t xml:space="preserve">Settings </w:t>
      </w:r>
    </w:p>
    <w:p w14:paraId="3262CED9" w14:textId="32ED280F" w:rsidR="00C972FD" w:rsidRPr="00453CA0" w:rsidRDefault="004A0E8E" w:rsidP="0027194D">
      <w:pPr>
        <w:jc w:val="both"/>
        <w:rPr>
          <w:rFonts w:ascii="Times New Roman" w:hAnsi="Times New Roman" w:cs="Times New Roman"/>
        </w:rPr>
      </w:pPr>
      <w:r w:rsidRPr="00453CA0">
        <w:rPr>
          <w:rFonts w:ascii="Times New Roman" w:hAnsi="Times New Roman" w:cs="Times New Roman"/>
        </w:rPr>
        <w:t>The “</w:t>
      </w:r>
      <w:proofErr w:type="spellStart"/>
      <w:r w:rsidRPr="00453CA0">
        <w:rPr>
          <w:rFonts w:ascii="Times New Roman" w:hAnsi="Times New Roman" w:cs="Times New Roman"/>
        </w:rPr>
        <w:t>Supply_Settings</w:t>
      </w:r>
      <w:proofErr w:type="spellEnd"/>
      <w:r w:rsidRPr="00453CA0">
        <w:rPr>
          <w:rFonts w:ascii="Times New Roman" w:hAnsi="Times New Roman" w:cs="Times New Roman"/>
        </w:rPr>
        <w:t>” tab enables users to define certain parameters which affect the delivery of infrastructure</w:t>
      </w:r>
      <w:r w:rsidR="00674002" w:rsidRPr="00453CA0">
        <w:rPr>
          <w:rFonts w:ascii="Times New Roman" w:hAnsi="Times New Roman" w:cs="Times New Roman"/>
        </w:rPr>
        <w:t>. B</w:t>
      </w:r>
      <w:r w:rsidR="00C972FD" w:rsidRPr="00453CA0">
        <w:rPr>
          <w:rFonts w:ascii="Times New Roman" w:hAnsi="Times New Roman" w:cs="Times New Roman"/>
        </w:rPr>
        <w:t xml:space="preserve">espoke control </w:t>
      </w:r>
      <w:r w:rsidR="00674002" w:rsidRPr="00453CA0">
        <w:rPr>
          <w:rFonts w:ascii="Times New Roman" w:hAnsi="Times New Roman" w:cs="Times New Roman"/>
        </w:rPr>
        <w:t xml:space="preserve">may be required </w:t>
      </w:r>
      <w:r w:rsidR="00C972FD" w:rsidRPr="00453CA0">
        <w:rPr>
          <w:rFonts w:ascii="Times New Roman" w:hAnsi="Times New Roman" w:cs="Times New Roman"/>
        </w:rPr>
        <w:t xml:space="preserve">over </w:t>
      </w:r>
      <w:r w:rsidR="00674002" w:rsidRPr="00453CA0">
        <w:rPr>
          <w:rFonts w:ascii="Times New Roman" w:hAnsi="Times New Roman" w:cs="Times New Roman"/>
        </w:rPr>
        <w:t xml:space="preserve">certain </w:t>
      </w:r>
      <w:r w:rsidR="00C972FD" w:rsidRPr="00453CA0">
        <w:rPr>
          <w:rFonts w:ascii="Times New Roman" w:hAnsi="Times New Roman" w:cs="Times New Roman"/>
        </w:rPr>
        <w:t xml:space="preserve">supply </w:t>
      </w:r>
      <w:r w:rsidR="00674002" w:rsidRPr="00453CA0">
        <w:rPr>
          <w:rFonts w:ascii="Times New Roman" w:hAnsi="Times New Roman" w:cs="Times New Roman"/>
        </w:rPr>
        <w:t xml:space="preserve">metrics </w:t>
      </w:r>
      <w:r w:rsidR="00C972FD" w:rsidRPr="00453CA0">
        <w:rPr>
          <w:rFonts w:ascii="Times New Roman" w:hAnsi="Times New Roman" w:cs="Times New Roman"/>
        </w:rPr>
        <w:t>used in the analysis, which include the following:</w:t>
      </w:r>
    </w:p>
    <w:p w14:paraId="4EED9C3C" w14:textId="33761273" w:rsidR="00520060" w:rsidRPr="00453CA0" w:rsidRDefault="00520060" w:rsidP="0027194D">
      <w:pPr>
        <w:pStyle w:val="ListParagraph"/>
        <w:numPr>
          <w:ilvl w:val="0"/>
          <w:numId w:val="10"/>
        </w:numPr>
        <w:jc w:val="both"/>
        <w:rPr>
          <w:rFonts w:ascii="Times New Roman" w:hAnsi="Times New Roman" w:cs="Times New Roman"/>
        </w:rPr>
      </w:pPr>
      <w:r w:rsidRPr="00453CA0">
        <w:rPr>
          <w:rFonts w:ascii="Times New Roman" w:hAnsi="Times New Roman" w:cs="Times New Roman"/>
        </w:rPr>
        <w:t xml:space="preserve">Existing Spectrum Availability – </w:t>
      </w:r>
      <w:r w:rsidR="00674002" w:rsidRPr="00453CA0">
        <w:rPr>
          <w:rFonts w:ascii="Times New Roman" w:hAnsi="Times New Roman" w:cs="Times New Roman"/>
        </w:rPr>
        <w:t>Allow</w:t>
      </w:r>
      <w:r w:rsidR="00722EC9" w:rsidRPr="00453CA0">
        <w:rPr>
          <w:rFonts w:ascii="Times New Roman" w:hAnsi="Times New Roman" w:cs="Times New Roman"/>
        </w:rPr>
        <w:t>ing</w:t>
      </w:r>
      <w:r w:rsidR="00674002" w:rsidRPr="00453CA0">
        <w:rPr>
          <w:rFonts w:ascii="Times New Roman" w:hAnsi="Times New Roman" w:cs="Times New Roman"/>
        </w:rPr>
        <w:t xml:space="preserve"> the user to s</w:t>
      </w:r>
      <w:r w:rsidRPr="00453CA0">
        <w:rPr>
          <w:rFonts w:ascii="Times New Roman" w:hAnsi="Times New Roman" w:cs="Times New Roman"/>
        </w:rPr>
        <w:t xml:space="preserve">et the available amount of </w:t>
      </w:r>
      <w:r w:rsidR="0038308B">
        <w:rPr>
          <w:rFonts w:ascii="Times New Roman" w:hAnsi="Times New Roman" w:cs="Times New Roman"/>
        </w:rPr>
        <w:t xml:space="preserve">4G </w:t>
      </w:r>
      <w:r w:rsidRPr="00453CA0">
        <w:rPr>
          <w:rFonts w:ascii="Times New Roman" w:hAnsi="Times New Roman" w:cs="Times New Roman"/>
        </w:rPr>
        <w:t>spectrum currently in use for the initial capacity estimate</w:t>
      </w:r>
      <w:r w:rsidR="003D03DD" w:rsidRPr="00453CA0">
        <w:rPr>
          <w:rFonts w:ascii="Times New Roman" w:hAnsi="Times New Roman" w:cs="Times New Roman"/>
        </w:rPr>
        <w:t xml:space="preserve"> in each country income category</w:t>
      </w:r>
      <w:r w:rsidRPr="00453CA0">
        <w:rPr>
          <w:rFonts w:ascii="Times New Roman" w:hAnsi="Times New Roman" w:cs="Times New Roman"/>
        </w:rPr>
        <w:t xml:space="preserve">. </w:t>
      </w:r>
      <w:r w:rsidR="00674002" w:rsidRPr="00453CA0">
        <w:rPr>
          <w:rFonts w:ascii="Times New Roman" w:hAnsi="Times New Roman" w:cs="Times New Roman"/>
        </w:rPr>
        <w:t xml:space="preserve">Three options are available (Low, </w:t>
      </w:r>
      <w:proofErr w:type="gramStart"/>
      <w:r w:rsidR="002D4571">
        <w:rPr>
          <w:rFonts w:ascii="Times New Roman" w:hAnsi="Times New Roman" w:cs="Times New Roman"/>
        </w:rPr>
        <w:t>Medium</w:t>
      </w:r>
      <w:proofErr w:type="gramEnd"/>
      <w:r w:rsidR="002D4571" w:rsidRPr="00453CA0">
        <w:rPr>
          <w:rFonts w:ascii="Times New Roman" w:hAnsi="Times New Roman" w:cs="Times New Roman"/>
        </w:rPr>
        <w:t xml:space="preserve"> </w:t>
      </w:r>
      <w:r w:rsidR="00674002" w:rsidRPr="00453CA0">
        <w:rPr>
          <w:rFonts w:ascii="Times New Roman" w:hAnsi="Times New Roman" w:cs="Times New Roman"/>
        </w:rPr>
        <w:t>and High)</w:t>
      </w:r>
      <w:r w:rsidR="00190B14" w:rsidRPr="00453CA0">
        <w:rPr>
          <w:rFonts w:ascii="Times New Roman" w:hAnsi="Times New Roman" w:cs="Times New Roman"/>
        </w:rPr>
        <w:t>.</w:t>
      </w:r>
      <w:r w:rsidR="00674002" w:rsidRPr="00453CA0">
        <w:rPr>
          <w:rFonts w:ascii="Times New Roman" w:hAnsi="Times New Roman" w:cs="Times New Roman"/>
        </w:rPr>
        <w:t xml:space="preserve"> </w:t>
      </w:r>
      <w:r w:rsidRPr="00453CA0">
        <w:rPr>
          <w:rFonts w:ascii="Times New Roman" w:hAnsi="Times New Roman" w:cs="Times New Roman"/>
        </w:rPr>
        <w:t xml:space="preserve">The </w:t>
      </w:r>
      <w:r w:rsidR="00674002" w:rsidRPr="00453CA0">
        <w:rPr>
          <w:rFonts w:ascii="Times New Roman" w:hAnsi="Times New Roman" w:cs="Times New Roman"/>
        </w:rPr>
        <w:t>Low</w:t>
      </w:r>
      <w:r w:rsidRPr="00453CA0">
        <w:rPr>
          <w:rFonts w:ascii="Times New Roman" w:hAnsi="Times New Roman" w:cs="Times New Roman"/>
        </w:rPr>
        <w:t xml:space="preserve"> </w:t>
      </w:r>
      <w:r w:rsidR="00674002" w:rsidRPr="00453CA0">
        <w:rPr>
          <w:rFonts w:ascii="Times New Roman" w:hAnsi="Times New Roman" w:cs="Times New Roman"/>
        </w:rPr>
        <w:t xml:space="preserve">option </w:t>
      </w:r>
      <w:r w:rsidRPr="00453CA0">
        <w:rPr>
          <w:rFonts w:ascii="Times New Roman" w:hAnsi="Times New Roman" w:cs="Times New Roman"/>
        </w:rPr>
        <w:t xml:space="preserve">broadly correlates with </w:t>
      </w:r>
      <w:r w:rsidR="00674002" w:rsidRPr="00453CA0">
        <w:rPr>
          <w:rFonts w:ascii="Times New Roman" w:hAnsi="Times New Roman" w:cs="Times New Roman"/>
        </w:rPr>
        <w:t>a single 1</w:t>
      </w:r>
      <w:r w:rsidRPr="00453CA0">
        <w:rPr>
          <w:rFonts w:ascii="Times New Roman" w:hAnsi="Times New Roman" w:cs="Times New Roman"/>
        </w:rPr>
        <w:t xml:space="preserve">0 MHz </w:t>
      </w:r>
      <w:r w:rsidR="00674002" w:rsidRPr="00453CA0">
        <w:rPr>
          <w:rFonts w:ascii="Times New Roman" w:hAnsi="Times New Roman" w:cs="Times New Roman"/>
        </w:rPr>
        <w:t xml:space="preserve">band of spectrum in the </w:t>
      </w:r>
      <w:r w:rsidRPr="00453CA0">
        <w:rPr>
          <w:rFonts w:ascii="Times New Roman" w:hAnsi="Times New Roman" w:cs="Times New Roman"/>
        </w:rPr>
        <w:t xml:space="preserve">downlink </w:t>
      </w:r>
      <w:r w:rsidR="00674002" w:rsidRPr="00453CA0">
        <w:rPr>
          <w:rFonts w:ascii="Times New Roman" w:hAnsi="Times New Roman" w:cs="Times New Roman"/>
        </w:rPr>
        <w:t xml:space="preserve">(e.g., at </w:t>
      </w:r>
      <w:r w:rsidRPr="00453CA0">
        <w:rPr>
          <w:rFonts w:ascii="Times New Roman" w:hAnsi="Times New Roman" w:cs="Times New Roman"/>
        </w:rPr>
        <w:t>800 MHz</w:t>
      </w:r>
      <w:r w:rsidR="00674002" w:rsidRPr="00453CA0">
        <w:rPr>
          <w:rFonts w:ascii="Times New Roman" w:hAnsi="Times New Roman" w:cs="Times New Roman"/>
        </w:rPr>
        <w:t>)</w:t>
      </w:r>
      <w:r w:rsidRPr="00453CA0">
        <w:rPr>
          <w:rFonts w:ascii="Times New Roman" w:hAnsi="Times New Roman" w:cs="Times New Roman"/>
        </w:rPr>
        <w:t xml:space="preserve">, which is a common method for deploying 4G around the world. The </w:t>
      </w:r>
      <w:r w:rsidR="00674002" w:rsidRPr="00453CA0">
        <w:rPr>
          <w:rFonts w:ascii="Times New Roman" w:hAnsi="Times New Roman" w:cs="Times New Roman"/>
        </w:rPr>
        <w:t>baseline</w:t>
      </w:r>
      <w:r w:rsidRPr="00453CA0">
        <w:rPr>
          <w:rFonts w:ascii="Times New Roman" w:hAnsi="Times New Roman" w:cs="Times New Roman"/>
        </w:rPr>
        <w:t xml:space="preserve"> option is effectively </w:t>
      </w:r>
      <w:r w:rsidR="00674002" w:rsidRPr="00453CA0">
        <w:rPr>
          <w:rFonts w:ascii="Times New Roman" w:hAnsi="Times New Roman" w:cs="Times New Roman"/>
        </w:rPr>
        <w:t xml:space="preserve">two </w:t>
      </w:r>
      <w:r w:rsidR="00C4353E" w:rsidRPr="00453CA0">
        <w:rPr>
          <w:rFonts w:ascii="Times New Roman" w:hAnsi="Times New Roman" w:cs="Times New Roman"/>
        </w:rPr>
        <w:t>10</w:t>
      </w:r>
      <w:r w:rsidRPr="00453CA0">
        <w:rPr>
          <w:rFonts w:ascii="Times New Roman" w:hAnsi="Times New Roman" w:cs="Times New Roman"/>
        </w:rPr>
        <w:t xml:space="preserve"> MHz </w:t>
      </w:r>
      <w:r w:rsidR="00A0352D" w:rsidRPr="00453CA0">
        <w:rPr>
          <w:rFonts w:ascii="Times New Roman" w:hAnsi="Times New Roman" w:cs="Times New Roman"/>
        </w:rPr>
        <w:t>bands,</w:t>
      </w:r>
      <w:r w:rsidR="00674002" w:rsidRPr="00453CA0">
        <w:rPr>
          <w:rFonts w:ascii="Times New Roman" w:hAnsi="Times New Roman" w:cs="Times New Roman"/>
        </w:rPr>
        <w:t xml:space="preserve"> </w:t>
      </w:r>
      <w:r w:rsidRPr="00453CA0">
        <w:rPr>
          <w:rFonts w:ascii="Times New Roman" w:hAnsi="Times New Roman" w:cs="Times New Roman"/>
        </w:rPr>
        <w:t>and the hi</w:t>
      </w:r>
      <w:r w:rsidR="00674002" w:rsidRPr="00453CA0">
        <w:rPr>
          <w:rFonts w:ascii="Times New Roman" w:hAnsi="Times New Roman" w:cs="Times New Roman"/>
        </w:rPr>
        <w:t>g</w:t>
      </w:r>
      <w:r w:rsidRPr="00453CA0">
        <w:rPr>
          <w:rFonts w:ascii="Times New Roman" w:hAnsi="Times New Roman" w:cs="Times New Roman"/>
        </w:rPr>
        <w:t xml:space="preserve">h option is </w:t>
      </w:r>
      <w:r w:rsidR="00674002" w:rsidRPr="00453CA0">
        <w:rPr>
          <w:rFonts w:ascii="Times New Roman" w:hAnsi="Times New Roman" w:cs="Times New Roman"/>
        </w:rPr>
        <w:t>three 10 MHz bands</w:t>
      </w:r>
      <w:r w:rsidRPr="00453CA0">
        <w:rPr>
          <w:rFonts w:ascii="Times New Roman" w:hAnsi="Times New Roman" w:cs="Times New Roman"/>
        </w:rPr>
        <w:t>.</w:t>
      </w:r>
      <w:r w:rsidR="00674002" w:rsidRPr="00453CA0">
        <w:rPr>
          <w:rFonts w:ascii="Times New Roman" w:hAnsi="Times New Roman" w:cs="Times New Roman"/>
        </w:rPr>
        <w:t xml:space="preserve"> </w:t>
      </w:r>
      <w:r w:rsidR="00722EC9" w:rsidRPr="00453CA0">
        <w:rPr>
          <w:rFonts w:ascii="Times New Roman" w:hAnsi="Times New Roman" w:cs="Times New Roman"/>
        </w:rPr>
        <w:t>Generally, t</w:t>
      </w:r>
      <w:r w:rsidR="00674002" w:rsidRPr="00453CA0">
        <w:rPr>
          <w:rFonts w:ascii="Times New Roman" w:hAnsi="Times New Roman" w:cs="Times New Roman"/>
        </w:rPr>
        <w:t>he more bands</w:t>
      </w:r>
      <w:r w:rsidR="00722EC9" w:rsidRPr="00453CA0">
        <w:rPr>
          <w:rFonts w:ascii="Times New Roman" w:hAnsi="Times New Roman" w:cs="Times New Roman"/>
        </w:rPr>
        <w:t>,</w:t>
      </w:r>
      <w:r w:rsidR="00674002" w:rsidRPr="00453CA0">
        <w:rPr>
          <w:rFonts w:ascii="Times New Roman" w:hAnsi="Times New Roman" w:cs="Times New Roman"/>
        </w:rPr>
        <w:t xml:space="preserve"> the greater the spectrum bandwidth available to exchange data over, increasing the network capacity.</w:t>
      </w:r>
      <w:r w:rsidRPr="00453CA0">
        <w:rPr>
          <w:rFonts w:ascii="Times New Roman" w:hAnsi="Times New Roman" w:cs="Times New Roman"/>
        </w:rPr>
        <w:t xml:space="preserve"> </w:t>
      </w:r>
      <w:r w:rsidR="00A0352D" w:rsidRPr="00453CA0">
        <w:rPr>
          <w:rFonts w:ascii="Times New Roman" w:hAnsi="Times New Roman" w:cs="Times New Roman"/>
        </w:rPr>
        <w:t>Low-income</w:t>
      </w:r>
      <w:r w:rsidR="00FA5CB5" w:rsidRPr="00453CA0">
        <w:rPr>
          <w:rFonts w:ascii="Times New Roman" w:hAnsi="Times New Roman" w:cs="Times New Roman"/>
        </w:rPr>
        <w:t xml:space="preserve"> countries </w:t>
      </w:r>
      <w:r w:rsidR="00722EC9" w:rsidRPr="00453CA0">
        <w:rPr>
          <w:rFonts w:ascii="Times New Roman" w:hAnsi="Times New Roman" w:cs="Times New Roman"/>
        </w:rPr>
        <w:t xml:space="preserve">usually </w:t>
      </w:r>
      <w:r w:rsidR="00FA5CB5" w:rsidRPr="00453CA0">
        <w:rPr>
          <w:rFonts w:ascii="Times New Roman" w:hAnsi="Times New Roman" w:cs="Times New Roman"/>
        </w:rPr>
        <w:t>have smaller spectrum portfolios</w:t>
      </w:r>
      <w:r w:rsidR="00674002" w:rsidRPr="00453CA0">
        <w:rPr>
          <w:rFonts w:ascii="Times New Roman" w:hAnsi="Times New Roman" w:cs="Times New Roman"/>
        </w:rPr>
        <w:t xml:space="preserve"> due to lower data transfer needs</w:t>
      </w:r>
      <w:r w:rsidR="00FA5CB5" w:rsidRPr="00453CA0">
        <w:rPr>
          <w:rFonts w:ascii="Times New Roman" w:hAnsi="Times New Roman" w:cs="Times New Roman"/>
        </w:rPr>
        <w:t xml:space="preserve">, whereas higher income countries </w:t>
      </w:r>
      <w:r w:rsidR="00722EC9" w:rsidRPr="00453CA0">
        <w:rPr>
          <w:rFonts w:ascii="Times New Roman" w:hAnsi="Times New Roman" w:cs="Times New Roman"/>
        </w:rPr>
        <w:t xml:space="preserve">often </w:t>
      </w:r>
      <w:r w:rsidR="00FA5CB5" w:rsidRPr="00453CA0">
        <w:rPr>
          <w:rFonts w:ascii="Times New Roman" w:hAnsi="Times New Roman" w:cs="Times New Roman"/>
        </w:rPr>
        <w:t xml:space="preserve">have larger </w:t>
      </w:r>
      <w:r w:rsidR="00674002" w:rsidRPr="00453CA0">
        <w:rPr>
          <w:rFonts w:ascii="Times New Roman" w:hAnsi="Times New Roman" w:cs="Times New Roman"/>
        </w:rPr>
        <w:t>spectrum portfolios due to higher data transfer needs</w:t>
      </w:r>
      <w:r w:rsidR="00FA5CB5" w:rsidRPr="00453CA0">
        <w:rPr>
          <w:rFonts w:ascii="Times New Roman" w:hAnsi="Times New Roman" w:cs="Times New Roman"/>
        </w:rPr>
        <w:t xml:space="preserve">. </w:t>
      </w:r>
      <w:r w:rsidR="0038308B">
        <w:rPr>
          <w:rFonts w:ascii="Times New Roman" w:hAnsi="Times New Roman" w:cs="Times New Roman"/>
        </w:rPr>
        <w:t xml:space="preserve">DICE focuses on modeling the downlink channel, as users generally download more data than they upload, creating a </w:t>
      </w:r>
      <w:r w:rsidR="00694EFC">
        <w:rPr>
          <w:rFonts w:ascii="Times New Roman" w:hAnsi="Times New Roman" w:cs="Times New Roman"/>
        </w:rPr>
        <w:t>congestion point</w:t>
      </w:r>
      <w:r w:rsidR="0038308B">
        <w:rPr>
          <w:rFonts w:ascii="Times New Roman" w:hAnsi="Times New Roman" w:cs="Times New Roman"/>
        </w:rPr>
        <w:t>.</w:t>
      </w:r>
    </w:p>
    <w:p w14:paraId="4A7D2A87" w14:textId="24714CE3" w:rsidR="00520060" w:rsidRPr="00453CA0" w:rsidRDefault="00520060" w:rsidP="0027194D">
      <w:pPr>
        <w:pStyle w:val="ListParagraph"/>
        <w:numPr>
          <w:ilvl w:val="0"/>
          <w:numId w:val="10"/>
        </w:numPr>
        <w:jc w:val="both"/>
        <w:rPr>
          <w:rFonts w:ascii="Times New Roman" w:hAnsi="Times New Roman" w:cs="Times New Roman"/>
        </w:rPr>
      </w:pPr>
      <w:r w:rsidRPr="00453CA0">
        <w:rPr>
          <w:rFonts w:ascii="Times New Roman" w:hAnsi="Times New Roman" w:cs="Times New Roman"/>
        </w:rPr>
        <w:t xml:space="preserve">Future Spectrum Availability – </w:t>
      </w:r>
      <w:r w:rsidR="00BA11DD" w:rsidRPr="00453CA0">
        <w:rPr>
          <w:rFonts w:ascii="Times New Roman" w:hAnsi="Times New Roman" w:cs="Times New Roman"/>
        </w:rPr>
        <w:t>Enabl</w:t>
      </w:r>
      <w:r w:rsidR="00722EC9" w:rsidRPr="00453CA0">
        <w:rPr>
          <w:rFonts w:ascii="Times New Roman" w:hAnsi="Times New Roman" w:cs="Times New Roman"/>
        </w:rPr>
        <w:t>ing</w:t>
      </w:r>
      <w:r w:rsidR="00190B14" w:rsidRPr="00453CA0">
        <w:rPr>
          <w:rFonts w:ascii="Times New Roman" w:hAnsi="Times New Roman" w:cs="Times New Roman"/>
        </w:rPr>
        <w:t xml:space="preserve"> the user to set </w:t>
      </w:r>
      <w:r w:rsidRPr="00453CA0">
        <w:rPr>
          <w:rFonts w:ascii="Times New Roman" w:hAnsi="Times New Roman" w:cs="Times New Roman"/>
        </w:rPr>
        <w:t xml:space="preserve">the available amount of future spectrum expected. </w:t>
      </w:r>
      <w:r w:rsidR="00190B14" w:rsidRPr="00453CA0">
        <w:rPr>
          <w:rFonts w:ascii="Times New Roman" w:hAnsi="Times New Roman" w:cs="Times New Roman"/>
        </w:rPr>
        <w:t xml:space="preserve">Three options are available (Low, </w:t>
      </w:r>
      <w:proofErr w:type="gramStart"/>
      <w:r w:rsidR="002D4571">
        <w:rPr>
          <w:rFonts w:ascii="Times New Roman" w:hAnsi="Times New Roman" w:cs="Times New Roman"/>
        </w:rPr>
        <w:t>Medium</w:t>
      </w:r>
      <w:proofErr w:type="gramEnd"/>
      <w:r w:rsidR="002D4571" w:rsidRPr="00453CA0">
        <w:rPr>
          <w:rFonts w:ascii="Times New Roman" w:hAnsi="Times New Roman" w:cs="Times New Roman"/>
        </w:rPr>
        <w:t xml:space="preserve"> </w:t>
      </w:r>
      <w:r w:rsidR="00190B14" w:rsidRPr="00453CA0">
        <w:rPr>
          <w:rFonts w:ascii="Times New Roman" w:hAnsi="Times New Roman" w:cs="Times New Roman"/>
        </w:rPr>
        <w:t xml:space="preserve">and High) which align with the previous parameter on existing spectrum availability. </w:t>
      </w:r>
      <w:r w:rsidR="00F94F0E" w:rsidRPr="00453CA0">
        <w:rPr>
          <w:rFonts w:ascii="Times New Roman" w:hAnsi="Times New Roman" w:cs="Times New Roman"/>
        </w:rPr>
        <w:t>So,</w:t>
      </w:r>
      <w:r w:rsidR="00190B14" w:rsidRPr="00453CA0">
        <w:rPr>
          <w:rFonts w:ascii="Times New Roman" w:hAnsi="Times New Roman" w:cs="Times New Roman"/>
        </w:rPr>
        <w:t xml:space="preserve"> the low case represents one 10 MHz band, the </w:t>
      </w:r>
      <w:r w:rsidR="009061BD">
        <w:rPr>
          <w:rFonts w:ascii="Times New Roman" w:hAnsi="Times New Roman" w:cs="Times New Roman"/>
        </w:rPr>
        <w:t>medium</w:t>
      </w:r>
      <w:r w:rsidR="009061BD" w:rsidRPr="00453CA0">
        <w:rPr>
          <w:rFonts w:ascii="Times New Roman" w:hAnsi="Times New Roman" w:cs="Times New Roman"/>
        </w:rPr>
        <w:t xml:space="preserve"> </w:t>
      </w:r>
      <w:r w:rsidR="009061BD" w:rsidRPr="00453CA0">
        <w:rPr>
          <w:rFonts w:ascii="Times New Roman" w:hAnsi="Times New Roman" w:cs="Times New Roman"/>
        </w:rPr>
        <w:t xml:space="preserve">case represents </w:t>
      </w:r>
      <w:r w:rsidR="00190B14" w:rsidRPr="00453CA0">
        <w:rPr>
          <w:rFonts w:ascii="Times New Roman" w:hAnsi="Times New Roman" w:cs="Times New Roman"/>
        </w:rPr>
        <w:t xml:space="preserve">two </w:t>
      </w:r>
      <w:r w:rsidR="00EC3B6B" w:rsidRPr="00453CA0">
        <w:rPr>
          <w:rFonts w:ascii="Times New Roman" w:hAnsi="Times New Roman" w:cs="Times New Roman"/>
        </w:rPr>
        <w:t xml:space="preserve">10 MHz </w:t>
      </w:r>
      <w:r w:rsidR="00694EFC" w:rsidRPr="00453CA0">
        <w:rPr>
          <w:rFonts w:ascii="Times New Roman" w:hAnsi="Times New Roman" w:cs="Times New Roman"/>
        </w:rPr>
        <w:t>bands,</w:t>
      </w:r>
      <w:r w:rsidR="00EC3B6B" w:rsidRPr="00453CA0">
        <w:rPr>
          <w:rFonts w:ascii="Times New Roman" w:hAnsi="Times New Roman" w:cs="Times New Roman"/>
        </w:rPr>
        <w:t xml:space="preserve"> </w:t>
      </w:r>
      <w:r w:rsidR="00190B14" w:rsidRPr="00453CA0">
        <w:rPr>
          <w:rFonts w:ascii="Times New Roman" w:hAnsi="Times New Roman" w:cs="Times New Roman"/>
        </w:rPr>
        <w:t>and the high</w:t>
      </w:r>
      <w:r w:rsidR="009061BD" w:rsidRPr="009061BD">
        <w:rPr>
          <w:rFonts w:ascii="Times New Roman" w:hAnsi="Times New Roman" w:cs="Times New Roman"/>
        </w:rPr>
        <w:t xml:space="preserve"> </w:t>
      </w:r>
      <w:r w:rsidR="009061BD" w:rsidRPr="00453CA0">
        <w:rPr>
          <w:rFonts w:ascii="Times New Roman" w:hAnsi="Times New Roman" w:cs="Times New Roman"/>
        </w:rPr>
        <w:t>case represents</w:t>
      </w:r>
      <w:r w:rsidR="00190B14" w:rsidRPr="00453CA0">
        <w:rPr>
          <w:rFonts w:ascii="Times New Roman" w:hAnsi="Times New Roman" w:cs="Times New Roman"/>
        </w:rPr>
        <w:t xml:space="preserve"> three</w:t>
      </w:r>
      <w:r w:rsidR="00EC3B6B" w:rsidRPr="00453CA0">
        <w:rPr>
          <w:rFonts w:ascii="Times New Roman" w:hAnsi="Times New Roman" w:cs="Times New Roman"/>
        </w:rPr>
        <w:t xml:space="preserve"> 10 MHz bands</w:t>
      </w:r>
      <w:r w:rsidR="00190B14" w:rsidRPr="00453CA0">
        <w:rPr>
          <w:rFonts w:ascii="Times New Roman" w:hAnsi="Times New Roman" w:cs="Times New Roman"/>
        </w:rPr>
        <w:t xml:space="preserve">.  </w:t>
      </w:r>
    </w:p>
    <w:p w14:paraId="7F2A4A82" w14:textId="7D82A13A" w:rsidR="00FA2F54" w:rsidRPr="00453CA0" w:rsidRDefault="00FA2F54" w:rsidP="0027194D">
      <w:pPr>
        <w:pStyle w:val="ListParagraph"/>
        <w:numPr>
          <w:ilvl w:val="0"/>
          <w:numId w:val="10"/>
        </w:numPr>
        <w:jc w:val="both"/>
        <w:rPr>
          <w:rFonts w:ascii="Times New Roman" w:hAnsi="Times New Roman" w:cs="Times New Roman"/>
        </w:rPr>
      </w:pPr>
      <w:r w:rsidRPr="00453CA0">
        <w:rPr>
          <w:rFonts w:ascii="Times New Roman" w:hAnsi="Times New Roman" w:cs="Times New Roman"/>
        </w:rPr>
        <w:t xml:space="preserve">Reliability </w:t>
      </w:r>
      <w:r w:rsidR="00722EC9" w:rsidRPr="00453CA0">
        <w:rPr>
          <w:rFonts w:ascii="Times New Roman" w:hAnsi="Times New Roman" w:cs="Times New Roman"/>
        </w:rPr>
        <w:t xml:space="preserve">(%) </w:t>
      </w:r>
      <w:r w:rsidRPr="00453CA0">
        <w:rPr>
          <w:rFonts w:ascii="Times New Roman" w:hAnsi="Times New Roman" w:cs="Times New Roman"/>
        </w:rPr>
        <w:t xml:space="preserve">– </w:t>
      </w:r>
      <w:r w:rsidR="00BA11DD" w:rsidRPr="00453CA0">
        <w:rPr>
          <w:rFonts w:ascii="Times New Roman" w:hAnsi="Times New Roman" w:cs="Times New Roman"/>
        </w:rPr>
        <w:t>Reflect</w:t>
      </w:r>
      <w:r w:rsidR="00A0352D" w:rsidRPr="00453CA0">
        <w:rPr>
          <w:rFonts w:ascii="Times New Roman" w:hAnsi="Times New Roman" w:cs="Times New Roman"/>
        </w:rPr>
        <w:t>ing</w:t>
      </w:r>
      <w:r w:rsidR="00BA11DD" w:rsidRPr="00453CA0">
        <w:rPr>
          <w:rFonts w:ascii="Times New Roman" w:hAnsi="Times New Roman" w:cs="Times New Roman"/>
        </w:rPr>
        <w:t xml:space="preserve"> the ability to alter</w:t>
      </w:r>
      <w:r w:rsidRPr="00453CA0">
        <w:rPr>
          <w:rFonts w:ascii="Times New Roman" w:hAnsi="Times New Roman" w:cs="Times New Roman"/>
        </w:rPr>
        <w:t xml:space="preserve"> the guaranteed reliability rate for the demand target set. 5% means that the target data and affiliated speed will be met only 5% of the </w:t>
      </w:r>
      <w:r w:rsidR="00BA11DD" w:rsidRPr="00453CA0">
        <w:rPr>
          <w:rFonts w:ascii="Times New Roman" w:hAnsi="Times New Roman" w:cs="Times New Roman"/>
        </w:rPr>
        <w:t>time and</w:t>
      </w:r>
      <w:r w:rsidRPr="00453CA0">
        <w:rPr>
          <w:rFonts w:ascii="Times New Roman" w:hAnsi="Times New Roman" w:cs="Times New Roman"/>
        </w:rPr>
        <w:t xml:space="preserve"> is therefore </w:t>
      </w:r>
      <w:r w:rsidR="00BA11DD" w:rsidRPr="00453CA0">
        <w:rPr>
          <w:rFonts w:ascii="Times New Roman" w:hAnsi="Times New Roman" w:cs="Times New Roman"/>
        </w:rPr>
        <w:t xml:space="preserve">more </w:t>
      </w:r>
      <w:proofErr w:type="gramStart"/>
      <w:r w:rsidR="00BA11DD" w:rsidRPr="00453CA0">
        <w:rPr>
          <w:rFonts w:ascii="Times New Roman" w:hAnsi="Times New Roman" w:cs="Times New Roman"/>
        </w:rPr>
        <w:t>similar to</w:t>
      </w:r>
      <w:proofErr w:type="gramEnd"/>
      <w:r w:rsidR="00BA11DD" w:rsidRPr="00453CA0">
        <w:rPr>
          <w:rFonts w:ascii="Times New Roman" w:hAnsi="Times New Roman" w:cs="Times New Roman"/>
        </w:rPr>
        <w:t xml:space="preserve"> </w:t>
      </w:r>
      <w:r w:rsidRPr="00453CA0">
        <w:rPr>
          <w:rFonts w:ascii="Times New Roman" w:hAnsi="Times New Roman" w:cs="Times New Roman"/>
        </w:rPr>
        <w:t xml:space="preserve">a peak speed. </w:t>
      </w:r>
      <w:r w:rsidR="00BA11DD" w:rsidRPr="00453CA0">
        <w:rPr>
          <w:rFonts w:ascii="Times New Roman" w:hAnsi="Times New Roman" w:cs="Times New Roman"/>
        </w:rPr>
        <w:t>Whereas</w:t>
      </w:r>
      <w:r w:rsidRPr="00453CA0">
        <w:rPr>
          <w:rFonts w:ascii="Times New Roman" w:hAnsi="Times New Roman" w:cs="Times New Roman"/>
        </w:rPr>
        <w:t xml:space="preserve"> 95% means the chosen data demand target can be almost continually met</w:t>
      </w:r>
      <w:r w:rsidR="00BA11DD" w:rsidRPr="00453CA0">
        <w:rPr>
          <w:rFonts w:ascii="Times New Roman" w:hAnsi="Times New Roman" w:cs="Times New Roman"/>
        </w:rPr>
        <w:t xml:space="preserve"> in the busiest hour of the day</w:t>
      </w:r>
      <w:r w:rsidRPr="00453CA0">
        <w:rPr>
          <w:rFonts w:ascii="Times New Roman" w:hAnsi="Times New Roman" w:cs="Times New Roman"/>
        </w:rPr>
        <w:t>,</w:t>
      </w:r>
      <w:r w:rsidR="00BA11DD" w:rsidRPr="00453CA0">
        <w:rPr>
          <w:rFonts w:ascii="Times New Roman" w:hAnsi="Times New Roman" w:cs="Times New Roman"/>
        </w:rPr>
        <w:t xml:space="preserve"> with</w:t>
      </w:r>
      <w:r w:rsidRPr="00453CA0">
        <w:rPr>
          <w:rFonts w:ascii="Times New Roman" w:hAnsi="Times New Roman" w:cs="Times New Roman"/>
        </w:rPr>
        <w:t xml:space="preserve"> 95% </w:t>
      </w:r>
      <w:r w:rsidR="00BA11DD" w:rsidRPr="00453CA0">
        <w:rPr>
          <w:rFonts w:ascii="Times New Roman" w:hAnsi="Times New Roman" w:cs="Times New Roman"/>
        </w:rPr>
        <w:t>reliability</w:t>
      </w:r>
      <w:r w:rsidRPr="00453CA0">
        <w:rPr>
          <w:rFonts w:ascii="Times New Roman" w:hAnsi="Times New Roman" w:cs="Times New Roman"/>
        </w:rPr>
        <w:t xml:space="preserve">. </w:t>
      </w:r>
    </w:p>
    <w:p w14:paraId="6A6C1F4C" w14:textId="2F806454" w:rsidR="008331E2" w:rsidRPr="00453CA0" w:rsidRDefault="008331E2" w:rsidP="0027194D">
      <w:pPr>
        <w:pStyle w:val="ListParagraph"/>
        <w:numPr>
          <w:ilvl w:val="0"/>
          <w:numId w:val="10"/>
        </w:numPr>
        <w:jc w:val="both"/>
        <w:rPr>
          <w:rFonts w:ascii="Times New Roman" w:hAnsi="Times New Roman" w:cs="Times New Roman"/>
        </w:rPr>
      </w:pPr>
      <w:r w:rsidRPr="00453CA0">
        <w:rPr>
          <w:rFonts w:ascii="Times New Roman" w:hAnsi="Times New Roman" w:cs="Times New Roman"/>
        </w:rPr>
        <w:t>Satellite Coverage</w:t>
      </w:r>
      <w:r w:rsidR="00520060" w:rsidRPr="00453CA0">
        <w:rPr>
          <w:rFonts w:ascii="Times New Roman" w:hAnsi="Times New Roman" w:cs="Times New Roman"/>
        </w:rPr>
        <w:t xml:space="preserve"> </w:t>
      </w:r>
      <w:r w:rsidR="008858EE">
        <w:rPr>
          <w:rFonts w:ascii="Times New Roman" w:hAnsi="Times New Roman" w:cs="Times New Roman"/>
        </w:rPr>
        <w:t xml:space="preserve">Density </w:t>
      </w:r>
      <w:r w:rsidR="00722EC9" w:rsidRPr="00453CA0">
        <w:rPr>
          <w:rFonts w:ascii="Times New Roman" w:hAnsi="Times New Roman" w:cs="Times New Roman"/>
        </w:rPr>
        <w:t>(</w:t>
      </w:r>
      <w:r w:rsidR="008858EE" w:rsidRPr="008858EE">
        <w:rPr>
          <w:rFonts w:ascii="Times New Roman" w:hAnsi="Times New Roman" w:cs="Times New Roman"/>
        </w:rPr>
        <w:t>Population Per Km</w:t>
      </w:r>
      <w:r w:rsidR="008858EE" w:rsidRPr="003A6B17">
        <w:rPr>
          <w:rFonts w:ascii="Times New Roman" w:hAnsi="Times New Roman" w:cs="Times New Roman"/>
          <w:vertAlign w:val="superscript"/>
        </w:rPr>
        <w:t>2</w:t>
      </w:r>
      <w:r w:rsidR="00722EC9" w:rsidRPr="00453CA0">
        <w:rPr>
          <w:rFonts w:ascii="Times New Roman" w:hAnsi="Times New Roman" w:cs="Times New Roman"/>
        </w:rPr>
        <w:t xml:space="preserve">) </w:t>
      </w:r>
      <w:r w:rsidR="00520060" w:rsidRPr="00453CA0">
        <w:rPr>
          <w:rFonts w:ascii="Times New Roman" w:hAnsi="Times New Roman" w:cs="Times New Roman"/>
        </w:rPr>
        <w:t>–</w:t>
      </w:r>
      <w:r w:rsidR="008858EE">
        <w:rPr>
          <w:rFonts w:ascii="Times New Roman" w:hAnsi="Times New Roman" w:cs="Times New Roman"/>
        </w:rPr>
        <w:t xml:space="preserve"> N</w:t>
      </w:r>
      <w:r w:rsidR="00C60EC8" w:rsidRPr="00453CA0">
        <w:rPr>
          <w:rFonts w:ascii="Times New Roman" w:hAnsi="Times New Roman" w:cs="Times New Roman"/>
        </w:rPr>
        <w:t xml:space="preserve">ot all users will </w:t>
      </w:r>
      <w:r w:rsidR="008858EE">
        <w:rPr>
          <w:rFonts w:ascii="Times New Roman" w:hAnsi="Times New Roman" w:cs="Times New Roman"/>
        </w:rPr>
        <w:t xml:space="preserve">be able to connect </w:t>
      </w:r>
      <w:r w:rsidR="00C60EC8" w:rsidRPr="00453CA0">
        <w:rPr>
          <w:rFonts w:ascii="Times New Roman" w:hAnsi="Times New Roman" w:cs="Times New Roman"/>
        </w:rPr>
        <w:t>via terrestrial mobile infrastructure</w:t>
      </w:r>
      <w:r w:rsidR="008858EE">
        <w:rPr>
          <w:rFonts w:ascii="Times New Roman" w:hAnsi="Times New Roman" w:cs="Times New Roman"/>
        </w:rPr>
        <w:t xml:space="preserve"> due to viability problems in hard-to-reach areas</w:t>
      </w:r>
      <w:r w:rsidR="00C60EC8" w:rsidRPr="00453CA0">
        <w:rPr>
          <w:rFonts w:ascii="Times New Roman" w:hAnsi="Times New Roman" w:cs="Times New Roman"/>
        </w:rPr>
        <w:t>. Therefore, it is possible to s</w:t>
      </w:r>
      <w:r w:rsidRPr="00453CA0">
        <w:rPr>
          <w:rFonts w:ascii="Times New Roman" w:hAnsi="Times New Roman" w:cs="Times New Roman"/>
        </w:rPr>
        <w:t xml:space="preserve">et the </w:t>
      </w:r>
      <w:r w:rsidR="008858EE">
        <w:rPr>
          <w:rFonts w:ascii="Times New Roman" w:hAnsi="Times New Roman" w:cs="Times New Roman"/>
        </w:rPr>
        <w:t xml:space="preserve">population density threshold for areas which will need to rely on satellite broadband services </w:t>
      </w:r>
      <w:r w:rsidRPr="00453CA0">
        <w:rPr>
          <w:rFonts w:ascii="Times New Roman" w:hAnsi="Times New Roman" w:cs="Times New Roman"/>
        </w:rPr>
        <w:t xml:space="preserve">instead of terrestrial 4G. </w:t>
      </w:r>
      <w:r w:rsidR="008858EE">
        <w:rPr>
          <w:rFonts w:ascii="Times New Roman" w:hAnsi="Times New Roman" w:cs="Times New Roman"/>
        </w:rPr>
        <w:t>For example, the baseline 1.6 persons per km</w:t>
      </w:r>
      <w:r w:rsidR="008858EE" w:rsidRPr="003A6B17">
        <w:rPr>
          <w:rFonts w:ascii="Times New Roman" w:hAnsi="Times New Roman" w:cs="Times New Roman"/>
          <w:vertAlign w:val="superscript"/>
        </w:rPr>
        <w:t>2</w:t>
      </w:r>
      <w:r w:rsidR="008858EE">
        <w:rPr>
          <w:rFonts w:ascii="Times New Roman" w:hAnsi="Times New Roman" w:cs="Times New Roman"/>
        </w:rPr>
        <w:t xml:space="preserve"> means </w:t>
      </w:r>
      <w:r w:rsidR="0071005E">
        <w:rPr>
          <w:rFonts w:ascii="Times New Roman" w:hAnsi="Times New Roman" w:cs="Times New Roman"/>
        </w:rPr>
        <w:t>that areas with a population density below this value will rely on satellite broadband</w:t>
      </w:r>
      <w:r w:rsidRPr="00453CA0">
        <w:rPr>
          <w:rFonts w:ascii="Times New Roman" w:hAnsi="Times New Roman" w:cs="Times New Roman"/>
        </w:rPr>
        <w:t xml:space="preserve">. </w:t>
      </w:r>
    </w:p>
    <w:p w14:paraId="355A3BD3" w14:textId="77777777" w:rsidR="003A7C40" w:rsidRPr="00453CA0" w:rsidRDefault="003A7C40" w:rsidP="003A7C40">
      <w:pPr>
        <w:pStyle w:val="ListParagraph"/>
        <w:jc w:val="both"/>
        <w:rPr>
          <w:rFonts w:ascii="Times New Roman" w:hAnsi="Times New Roman" w:cs="Times New Roman"/>
        </w:rPr>
      </w:pPr>
    </w:p>
    <w:p w14:paraId="192D4A84" w14:textId="16C17362" w:rsidR="003A7C40" w:rsidRPr="00453CA0" w:rsidRDefault="003A7C40" w:rsidP="003A6B17">
      <w:pPr>
        <w:pStyle w:val="ListParagraph"/>
        <w:numPr>
          <w:ilvl w:val="1"/>
          <w:numId w:val="15"/>
        </w:numPr>
        <w:jc w:val="both"/>
        <w:rPr>
          <w:rFonts w:ascii="Times New Roman" w:hAnsi="Times New Roman" w:cs="Times New Roman"/>
          <w:u w:val="single"/>
        </w:rPr>
      </w:pPr>
      <w:r w:rsidRPr="00453CA0">
        <w:rPr>
          <w:rFonts w:ascii="Times New Roman" w:hAnsi="Times New Roman" w:cs="Times New Roman"/>
          <w:u w:val="single"/>
        </w:rPr>
        <w:t xml:space="preserve">Cost Settings </w:t>
      </w:r>
    </w:p>
    <w:p w14:paraId="2AA9CA32" w14:textId="5727C9A6" w:rsidR="00DD5FF4" w:rsidRPr="00453CA0" w:rsidRDefault="00DD5FF4" w:rsidP="0027194D">
      <w:pPr>
        <w:jc w:val="both"/>
        <w:rPr>
          <w:rFonts w:ascii="Times New Roman" w:hAnsi="Times New Roman" w:cs="Times New Roman"/>
        </w:rPr>
      </w:pPr>
      <w:r w:rsidRPr="00453CA0">
        <w:rPr>
          <w:rFonts w:ascii="Times New Roman" w:hAnsi="Times New Roman" w:cs="Times New Roman"/>
        </w:rPr>
        <w:t>The “</w:t>
      </w:r>
      <w:proofErr w:type="spellStart"/>
      <w:r w:rsidRPr="00453CA0">
        <w:rPr>
          <w:rFonts w:ascii="Times New Roman" w:hAnsi="Times New Roman" w:cs="Times New Roman"/>
        </w:rPr>
        <w:t>Cost_Settings</w:t>
      </w:r>
      <w:proofErr w:type="spellEnd"/>
      <w:r w:rsidRPr="00453CA0">
        <w:rPr>
          <w:rFonts w:ascii="Times New Roman" w:hAnsi="Times New Roman" w:cs="Times New Roman"/>
        </w:rPr>
        <w:t xml:space="preserve">” tab enables users to have bespoke control over the cost model parameters used within DICE. Three separate areas of control are provided. </w:t>
      </w:r>
    </w:p>
    <w:p w14:paraId="2C6FDC98" w14:textId="299F6E51" w:rsidR="00DD5FF4" w:rsidRPr="00453CA0" w:rsidRDefault="00DD5FF4" w:rsidP="0027194D">
      <w:pPr>
        <w:jc w:val="both"/>
        <w:rPr>
          <w:rFonts w:ascii="Times New Roman" w:hAnsi="Times New Roman" w:cs="Times New Roman"/>
        </w:rPr>
      </w:pPr>
      <w:r w:rsidRPr="00453CA0">
        <w:rPr>
          <w:rFonts w:ascii="Times New Roman" w:hAnsi="Times New Roman" w:cs="Times New Roman"/>
        </w:rPr>
        <w:t>Firstly, the “Operational Expenditure” box contains:</w:t>
      </w:r>
    </w:p>
    <w:p w14:paraId="496756BF" w14:textId="6457E8B3" w:rsidR="00DD5FF4" w:rsidRDefault="00DD5FF4" w:rsidP="00DD5FF4">
      <w:pPr>
        <w:pStyle w:val="ListParagraph"/>
        <w:numPr>
          <w:ilvl w:val="0"/>
          <w:numId w:val="10"/>
        </w:numPr>
        <w:jc w:val="both"/>
        <w:rPr>
          <w:rFonts w:ascii="Times New Roman" w:hAnsi="Times New Roman" w:cs="Times New Roman"/>
        </w:rPr>
      </w:pPr>
      <w:proofErr w:type="spellStart"/>
      <w:r w:rsidRPr="00453CA0">
        <w:rPr>
          <w:rFonts w:ascii="Times New Roman" w:hAnsi="Times New Roman" w:cs="Times New Roman"/>
        </w:rPr>
        <w:lastRenderedPageBreak/>
        <w:t>Opex</w:t>
      </w:r>
      <w:proofErr w:type="spellEnd"/>
      <w:r w:rsidRPr="00453CA0">
        <w:rPr>
          <w:rFonts w:ascii="Times New Roman" w:hAnsi="Times New Roman" w:cs="Times New Roman"/>
        </w:rPr>
        <w:t xml:space="preserve"> as a Proportion of Capex (%) – Enabl</w:t>
      </w:r>
      <w:r w:rsidR="00A0352D" w:rsidRPr="00453CA0">
        <w:rPr>
          <w:rFonts w:ascii="Times New Roman" w:hAnsi="Times New Roman" w:cs="Times New Roman"/>
        </w:rPr>
        <w:t>ing</w:t>
      </w:r>
      <w:r w:rsidRPr="00453CA0">
        <w:rPr>
          <w:rFonts w:ascii="Times New Roman" w:hAnsi="Times New Roman" w:cs="Times New Roman"/>
        </w:rPr>
        <w:t xml:space="preserve"> the user to specify how much the annual operational expenditure is</w:t>
      </w:r>
      <w:r w:rsidR="00BE2DA6" w:rsidRPr="00453CA0">
        <w:rPr>
          <w:rFonts w:ascii="Times New Roman" w:hAnsi="Times New Roman" w:cs="Times New Roman"/>
        </w:rPr>
        <w:t xml:space="preserve">, as a percentage of the overall </w:t>
      </w:r>
      <w:r w:rsidR="00472FB8" w:rsidRPr="00453CA0">
        <w:rPr>
          <w:rFonts w:ascii="Times New Roman" w:hAnsi="Times New Roman" w:cs="Times New Roman"/>
        </w:rPr>
        <w:t xml:space="preserve">infrastructure </w:t>
      </w:r>
      <w:r w:rsidRPr="00453CA0">
        <w:rPr>
          <w:rFonts w:ascii="Times New Roman" w:hAnsi="Times New Roman" w:cs="Times New Roman"/>
        </w:rPr>
        <w:t xml:space="preserve">investment. Typically, in telecoms, the annual operational expenditure for asset operation and maintenance is broadly equivalent to </w:t>
      </w:r>
      <w:r w:rsidR="00F74425">
        <w:rPr>
          <w:rFonts w:ascii="Times New Roman" w:hAnsi="Times New Roman" w:cs="Times New Roman"/>
        </w:rPr>
        <w:t>15</w:t>
      </w:r>
      <w:r w:rsidRPr="00453CA0">
        <w:rPr>
          <w:rFonts w:ascii="Times New Roman" w:hAnsi="Times New Roman" w:cs="Times New Roman"/>
        </w:rPr>
        <w:t>% of the initial capital expenditure cost, thus this is set as the baseline</w:t>
      </w:r>
      <w:r w:rsidR="00BE2DA6" w:rsidRPr="00453CA0">
        <w:rPr>
          <w:rFonts w:ascii="Times New Roman" w:hAnsi="Times New Roman" w:cs="Times New Roman"/>
        </w:rPr>
        <w:t xml:space="preserve"> value</w:t>
      </w:r>
      <w:r w:rsidRPr="00453CA0">
        <w:rPr>
          <w:rFonts w:ascii="Times New Roman" w:hAnsi="Times New Roman" w:cs="Times New Roman"/>
        </w:rPr>
        <w:t xml:space="preserve">. However, it is also possible to </w:t>
      </w:r>
      <w:r w:rsidR="00472FB8" w:rsidRPr="00453CA0">
        <w:rPr>
          <w:rFonts w:ascii="Times New Roman" w:hAnsi="Times New Roman" w:cs="Times New Roman"/>
        </w:rPr>
        <w:t>edit this parameter to either 5%</w:t>
      </w:r>
      <w:r w:rsidR="00F74425">
        <w:rPr>
          <w:rFonts w:ascii="Times New Roman" w:hAnsi="Times New Roman" w:cs="Times New Roman"/>
        </w:rPr>
        <w:t>, 1</w:t>
      </w:r>
      <w:r w:rsidR="00472FB8" w:rsidRPr="00453CA0">
        <w:rPr>
          <w:rFonts w:ascii="Times New Roman" w:hAnsi="Times New Roman" w:cs="Times New Roman"/>
        </w:rPr>
        <w:t>5%</w:t>
      </w:r>
      <w:r w:rsidR="00F74425">
        <w:rPr>
          <w:rFonts w:ascii="Times New Roman" w:hAnsi="Times New Roman" w:cs="Times New Roman"/>
        </w:rPr>
        <w:t xml:space="preserve"> or 20%</w:t>
      </w:r>
      <w:r w:rsidR="00472FB8" w:rsidRPr="00453CA0">
        <w:rPr>
          <w:rFonts w:ascii="Times New Roman" w:hAnsi="Times New Roman" w:cs="Times New Roman"/>
        </w:rPr>
        <w:t xml:space="preserve"> of the capital expenditure cost. </w:t>
      </w:r>
    </w:p>
    <w:p w14:paraId="1B86FB9D" w14:textId="3301D3F2" w:rsidR="00694EFC" w:rsidRPr="00453CA0" w:rsidRDefault="00694EFC" w:rsidP="00DD5FF4">
      <w:pPr>
        <w:pStyle w:val="ListParagraph"/>
        <w:numPr>
          <w:ilvl w:val="0"/>
          <w:numId w:val="10"/>
        </w:numPr>
        <w:jc w:val="both"/>
        <w:rPr>
          <w:rFonts w:ascii="Times New Roman" w:hAnsi="Times New Roman" w:cs="Times New Roman"/>
        </w:rPr>
      </w:pPr>
      <w:r>
        <w:rPr>
          <w:rFonts w:ascii="Times New Roman" w:hAnsi="Times New Roman" w:cs="Times New Roman"/>
        </w:rPr>
        <w:t xml:space="preserve">VSAT </w:t>
      </w:r>
      <w:proofErr w:type="spellStart"/>
      <w:r>
        <w:rPr>
          <w:rFonts w:ascii="Times New Roman" w:hAnsi="Times New Roman" w:cs="Times New Roman"/>
        </w:rPr>
        <w:t>Opex</w:t>
      </w:r>
      <w:proofErr w:type="spellEnd"/>
      <w:r>
        <w:rPr>
          <w:rFonts w:ascii="Times New Roman" w:hAnsi="Times New Roman" w:cs="Times New Roman"/>
        </w:rPr>
        <w:t xml:space="preserve"> (US$/Month) – Sets the cost per month of a satellite broadband service. </w:t>
      </w:r>
    </w:p>
    <w:p w14:paraId="2BD79D9C" w14:textId="77777777" w:rsidR="008D049F" w:rsidRPr="00453CA0" w:rsidRDefault="008D049F" w:rsidP="008D049F">
      <w:pPr>
        <w:jc w:val="both"/>
        <w:rPr>
          <w:rFonts w:ascii="Times New Roman" w:hAnsi="Times New Roman" w:cs="Times New Roman"/>
        </w:rPr>
      </w:pPr>
      <w:r w:rsidRPr="00453CA0">
        <w:rPr>
          <w:rFonts w:ascii="Times New Roman" w:hAnsi="Times New Roman" w:cs="Times New Roman"/>
        </w:rPr>
        <w:t>Secondly, the “Equipment Costs” box contains the following parameters:</w:t>
      </w:r>
    </w:p>
    <w:p w14:paraId="6B2DB504" w14:textId="318E4BB9" w:rsidR="008D049F" w:rsidRDefault="008D049F" w:rsidP="008D049F">
      <w:pPr>
        <w:pStyle w:val="ListParagraph"/>
        <w:numPr>
          <w:ilvl w:val="0"/>
          <w:numId w:val="10"/>
        </w:numPr>
        <w:jc w:val="both"/>
        <w:rPr>
          <w:rFonts w:ascii="Times New Roman" w:hAnsi="Times New Roman" w:cs="Times New Roman"/>
        </w:rPr>
      </w:pPr>
      <w:r w:rsidRPr="00453CA0">
        <w:rPr>
          <w:rFonts w:ascii="Times New Roman" w:hAnsi="Times New Roman" w:cs="Times New Roman"/>
        </w:rPr>
        <w:t xml:space="preserve">RAN ($) – Reflecting the USD </w:t>
      </w:r>
      <w:r w:rsidR="00A044C1">
        <w:rPr>
          <w:rFonts w:ascii="Times New Roman" w:hAnsi="Times New Roman" w:cs="Times New Roman"/>
        </w:rPr>
        <w:t xml:space="preserve">capital </w:t>
      </w:r>
      <w:r w:rsidRPr="00453CA0">
        <w:rPr>
          <w:rFonts w:ascii="Times New Roman" w:hAnsi="Times New Roman" w:cs="Times New Roman"/>
        </w:rPr>
        <w:t xml:space="preserve">cost </w:t>
      </w:r>
      <w:r w:rsidR="00387F55">
        <w:rPr>
          <w:rFonts w:ascii="Times New Roman" w:hAnsi="Times New Roman" w:cs="Times New Roman"/>
        </w:rPr>
        <w:t xml:space="preserve">per site </w:t>
      </w:r>
      <w:r w:rsidRPr="00453CA0">
        <w:rPr>
          <w:rFonts w:ascii="Times New Roman" w:hAnsi="Times New Roman" w:cs="Times New Roman"/>
        </w:rPr>
        <w:t>for the Radio Access Network (RAN) electronics which</w:t>
      </w:r>
      <w:r w:rsidR="00A044C1">
        <w:rPr>
          <w:rFonts w:ascii="Times New Roman" w:hAnsi="Times New Roman" w:cs="Times New Roman"/>
        </w:rPr>
        <w:t xml:space="preserve"> </w:t>
      </w:r>
      <w:r w:rsidRPr="00453CA0">
        <w:rPr>
          <w:rFonts w:ascii="Times New Roman" w:hAnsi="Times New Roman" w:cs="Times New Roman"/>
        </w:rPr>
        <w:t xml:space="preserve">are positioned at the top of a cell </w:t>
      </w:r>
      <w:r w:rsidR="00387F55">
        <w:rPr>
          <w:rFonts w:ascii="Times New Roman" w:hAnsi="Times New Roman" w:cs="Times New Roman"/>
        </w:rPr>
        <w:t>tower</w:t>
      </w:r>
      <w:r w:rsidR="00D15EF6" w:rsidRPr="00453CA0">
        <w:rPr>
          <w:rFonts w:ascii="Times New Roman" w:hAnsi="Times New Roman" w:cs="Times New Roman"/>
        </w:rPr>
        <w:t xml:space="preserve"> (all active electronic radio cell equipment)</w:t>
      </w:r>
      <w:r w:rsidRPr="00453CA0">
        <w:rPr>
          <w:rFonts w:ascii="Times New Roman" w:hAnsi="Times New Roman" w:cs="Times New Roman"/>
        </w:rPr>
        <w:t xml:space="preserve">. </w:t>
      </w:r>
    </w:p>
    <w:p w14:paraId="64C08177" w14:textId="7F428514" w:rsidR="00A044C1" w:rsidRPr="003A6B17" w:rsidRDefault="00A044C1" w:rsidP="003A6B17">
      <w:pPr>
        <w:pStyle w:val="ListParagraph"/>
        <w:numPr>
          <w:ilvl w:val="0"/>
          <w:numId w:val="10"/>
        </w:numPr>
        <w:jc w:val="both"/>
        <w:rPr>
          <w:rFonts w:ascii="Times New Roman" w:hAnsi="Times New Roman" w:cs="Times New Roman"/>
        </w:rPr>
      </w:pPr>
      <w:r w:rsidRPr="003A6B17">
        <w:rPr>
          <w:rFonts w:ascii="Times New Roman" w:hAnsi="Times New Roman" w:cs="Times New Roman"/>
        </w:rPr>
        <w:t>Fiber</w:t>
      </w:r>
      <w:r w:rsidRPr="00A044C1">
        <w:rPr>
          <w:rFonts w:ascii="Times New Roman" w:hAnsi="Times New Roman" w:cs="Times New Roman"/>
        </w:rPr>
        <w:t xml:space="preserve"> </w:t>
      </w:r>
      <w:r w:rsidRPr="00453CA0">
        <w:rPr>
          <w:rFonts w:ascii="Times New Roman" w:hAnsi="Times New Roman" w:cs="Times New Roman"/>
        </w:rPr>
        <w:t>($)</w:t>
      </w:r>
      <w:r>
        <w:rPr>
          <w:rFonts w:ascii="Times New Roman" w:hAnsi="Times New Roman" w:cs="Times New Roman"/>
        </w:rPr>
        <w:t xml:space="preserve"> </w:t>
      </w:r>
      <w:r w:rsidRPr="00A044C1">
        <w:rPr>
          <w:rFonts w:ascii="Times New Roman" w:hAnsi="Times New Roman" w:cs="Times New Roman"/>
        </w:rPr>
        <w:t xml:space="preserve">– </w:t>
      </w:r>
      <w:r w:rsidRPr="00453CA0">
        <w:rPr>
          <w:rFonts w:ascii="Times New Roman" w:hAnsi="Times New Roman" w:cs="Times New Roman"/>
        </w:rPr>
        <w:t xml:space="preserve">Reflecting the USD </w:t>
      </w:r>
      <w:r>
        <w:rPr>
          <w:rFonts w:ascii="Times New Roman" w:hAnsi="Times New Roman" w:cs="Times New Roman"/>
        </w:rPr>
        <w:t xml:space="preserve">capital </w:t>
      </w:r>
      <w:r w:rsidRPr="00A044C1">
        <w:rPr>
          <w:rFonts w:ascii="Times New Roman" w:hAnsi="Times New Roman" w:cs="Times New Roman"/>
        </w:rPr>
        <w:t>cost for a fiber optic link per kilometer.</w:t>
      </w:r>
    </w:p>
    <w:p w14:paraId="5831B5BD" w14:textId="54B0BE9E" w:rsidR="00A044C1" w:rsidRPr="003A6B17" w:rsidRDefault="00A044C1" w:rsidP="003A6B17">
      <w:pPr>
        <w:pStyle w:val="ListParagraph"/>
        <w:numPr>
          <w:ilvl w:val="0"/>
          <w:numId w:val="10"/>
        </w:numPr>
        <w:jc w:val="both"/>
        <w:rPr>
          <w:rFonts w:ascii="Times New Roman" w:hAnsi="Times New Roman" w:cs="Times New Roman"/>
        </w:rPr>
      </w:pPr>
      <w:r w:rsidRPr="003A6B17">
        <w:rPr>
          <w:rFonts w:ascii="Times New Roman" w:hAnsi="Times New Roman" w:cs="Times New Roman"/>
        </w:rPr>
        <w:t xml:space="preserve">Wireless Backhaul </w:t>
      </w:r>
      <w:r w:rsidRPr="00453CA0">
        <w:rPr>
          <w:rFonts w:ascii="Times New Roman" w:hAnsi="Times New Roman" w:cs="Times New Roman"/>
        </w:rPr>
        <w:t>($)</w:t>
      </w:r>
      <w:r>
        <w:rPr>
          <w:rFonts w:ascii="Times New Roman" w:hAnsi="Times New Roman" w:cs="Times New Roman"/>
        </w:rPr>
        <w:t xml:space="preserve"> </w:t>
      </w:r>
      <w:r w:rsidRPr="00A044C1">
        <w:rPr>
          <w:rFonts w:ascii="Times New Roman" w:hAnsi="Times New Roman" w:cs="Times New Roman"/>
        </w:rPr>
        <w:t xml:space="preserve">– </w:t>
      </w:r>
      <w:r w:rsidRPr="00453CA0">
        <w:rPr>
          <w:rFonts w:ascii="Times New Roman" w:hAnsi="Times New Roman" w:cs="Times New Roman"/>
        </w:rPr>
        <w:t xml:space="preserve">Reflecting the USD </w:t>
      </w:r>
      <w:r w:rsidR="00387F55">
        <w:rPr>
          <w:rFonts w:ascii="Times New Roman" w:hAnsi="Times New Roman" w:cs="Times New Roman"/>
        </w:rPr>
        <w:t xml:space="preserve">capital </w:t>
      </w:r>
      <w:r w:rsidR="00387F55" w:rsidRPr="00453CA0">
        <w:rPr>
          <w:rFonts w:ascii="Times New Roman" w:hAnsi="Times New Roman" w:cs="Times New Roman"/>
        </w:rPr>
        <w:t xml:space="preserve">cost </w:t>
      </w:r>
      <w:r w:rsidR="00387F55">
        <w:rPr>
          <w:rFonts w:ascii="Times New Roman" w:hAnsi="Times New Roman" w:cs="Times New Roman"/>
        </w:rPr>
        <w:t xml:space="preserve">per site </w:t>
      </w:r>
      <w:r w:rsidRPr="00A044C1">
        <w:rPr>
          <w:rFonts w:ascii="Times New Roman" w:hAnsi="Times New Roman" w:cs="Times New Roman"/>
        </w:rPr>
        <w:t xml:space="preserve">for a </w:t>
      </w:r>
      <w:r w:rsidR="00387F55">
        <w:rPr>
          <w:rFonts w:ascii="Times New Roman" w:hAnsi="Times New Roman" w:cs="Times New Roman"/>
        </w:rPr>
        <w:t xml:space="preserve">single </w:t>
      </w:r>
      <w:r w:rsidRPr="00A044C1">
        <w:rPr>
          <w:rFonts w:ascii="Times New Roman" w:hAnsi="Times New Roman" w:cs="Times New Roman"/>
        </w:rPr>
        <w:t>wireless backhaul link.</w:t>
      </w:r>
    </w:p>
    <w:p w14:paraId="1F61DC12" w14:textId="7C7516A5" w:rsidR="008D049F" w:rsidRPr="00453CA0" w:rsidRDefault="008D049F" w:rsidP="008D049F">
      <w:pPr>
        <w:pStyle w:val="ListParagraph"/>
        <w:numPr>
          <w:ilvl w:val="0"/>
          <w:numId w:val="10"/>
        </w:numPr>
        <w:jc w:val="both"/>
        <w:rPr>
          <w:rFonts w:ascii="Times New Roman" w:hAnsi="Times New Roman" w:cs="Times New Roman"/>
        </w:rPr>
      </w:pPr>
      <w:r w:rsidRPr="00453CA0">
        <w:rPr>
          <w:rFonts w:ascii="Times New Roman" w:hAnsi="Times New Roman" w:cs="Times New Roman"/>
        </w:rPr>
        <w:t xml:space="preserve">Tower ($) – Reflecting the USD </w:t>
      </w:r>
      <w:r w:rsidR="00A044C1">
        <w:rPr>
          <w:rFonts w:ascii="Times New Roman" w:hAnsi="Times New Roman" w:cs="Times New Roman"/>
        </w:rPr>
        <w:t xml:space="preserve">capital </w:t>
      </w:r>
      <w:r w:rsidRPr="00453CA0">
        <w:rPr>
          <w:rFonts w:ascii="Times New Roman" w:hAnsi="Times New Roman" w:cs="Times New Roman"/>
        </w:rPr>
        <w:t xml:space="preserve">cost for the civil engineering investment required to build a 30-meter cell site structure. </w:t>
      </w:r>
    </w:p>
    <w:p w14:paraId="0D63420A" w14:textId="4A9B36A4" w:rsidR="008D049F" w:rsidRDefault="008D049F" w:rsidP="008D049F">
      <w:pPr>
        <w:pStyle w:val="ListParagraph"/>
        <w:numPr>
          <w:ilvl w:val="0"/>
          <w:numId w:val="10"/>
        </w:numPr>
        <w:jc w:val="both"/>
        <w:rPr>
          <w:rFonts w:ascii="Times New Roman" w:hAnsi="Times New Roman" w:cs="Times New Roman"/>
        </w:rPr>
      </w:pPr>
      <w:r w:rsidRPr="00453CA0">
        <w:rPr>
          <w:rFonts w:ascii="Times New Roman" w:hAnsi="Times New Roman" w:cs="Times New Roman"/>
        </w:rPr>
        <w:t xml:space="preserve">Power System ($) – Reflecting the USD </w:t>
      </w:r>
      <w:r w:rsidR="00A044C1">
        <w:rPr>
          <w:rFonts w:ascii="Times New Roman" w:hAnsi="Times New Roman" w:cs="Times New Roman"/>
        </w:rPr>
        <w:t xml:space="preserve">capital </w:t>
      </w:r>
      <w:r w:rsidRPr="00453CA0">
        <w:rPr>
          <w:rFonts w:ascii="Times New Roman" w:hAnsi="Times New Roman" w:cs="Times New Roman"/>
        </w:rPr>
        <w:t xml:space="preserve">cost </w:t>
      </w:r>
      <w:r w:rsidR="00387F55">
        <w:rPr>
          <w:rFonts w:ascii="Times New Roman" w:hAnsi="Times New Roman" w:cs="Times New Roman"/>
        </w:rPr>
        <w:t xml:space="preserve">per site </w:t>
      </w:r>
      <w:r w:rsidRPr="00453CA0">
        <w:rPr>
          <w:rFonts w:ascii="Times New Roman" w:hAnsi="Times New Roman" w:cs="Times New Roman"/>
        </w:rPr>
        <w:t>for the power system fitted at the bottom of a cell tower, either to connect to a fixed local grid, or consisting of a battery and solar generation</w:t>
      </w:r>
      <w:r w:rsidR="00A044C1">
        <w:rPr>
          <w:rFonts w:ascii="Times New Roman" w:hAnsi="Times New Roman" w:cs="Times New Roman"/>
        </w:rPr>
        <w:t xml:space="preserve"> </w:t>
      </w:r>
      <w:r w:rsidRPr="00453CA0">
        <w:rPr>
          <w:rFonts w:ascii="Times New Roman" w:hAnsi="Times New Roman" w:cs="Times New Roman"/>
        </w:rPr>
        <w:t xml:space="preserve">equipment. </w:t>
      </w:r>
    </w:p>
    <w:p w14:paraId="2F89E2A4" w14:textId="65648973" w:rsidR="00A044C1" w:rsidRPr="003A6B17" w:rsidRDefault="00A044C1" w:rsidP="003A6B17">
      <w:pPr>
        <w:pStyle w:val="ListParagraph"/>
        <w:numPr>
          <w:ilvl w:val="0"/>
          <w:numId w:val="10"/>
        </w:numPr>
        <w:jc w:val="both"/>
        <w:rPr>
          <w:rFonts w:ascii="Times New Roman" w:hAnsi="Times New Roman" w:cs="Times New Roman"/>
        </w:rPr>
      </w:pPr>
      <w:r w:rsidRPr="003A6B17">
        <w:rPr>
          <w:rFonts w:ascii="Times New Roman" w:hAnsi="Times New Roman" w:cs="Times New Roman"/>
        </w:rPr>
        <w:t xml:space="preserve">VSAT Terminal </w:t>
      </w:r>
      <w:r w:rsidRPr="00A044C1">
        <w:rPr>
          <w:rFonts w:ascii="Times New Roman" w:hAnsi="Times New Roman" w:cs="Times New Roman"/>
        </w:rPr>
        <w:t xml:space="preserve">– </w:t>
      </w:r>
      <w:r w:rsidRPr="00453CA0">
        <w:rPr>
          <w:rFonts w:ascii="Times New Roman" w:hAnsi="Times New Roman" w:cs="Times New Roman"/>
        </w:rPr>
        <w:t xml:space="preserve">Reflecting the USD </w:t>
      </w:r>
      <w:r>
        <w:rPr>
          <w:rFonts w:ascii="Times New Roman" w:hAnsi="Times New Roman" w:cs="Times New Roman"/>
        </w:rPr>
        <w:t xml:space="preserve">capital </w:t>
      </w:r>
      <w:r w:rsidRPr="00A044C1">
        <w:rPr>
          <w:rFonts w:ascii="Times New Roman" w:hAnsi="Times New Roman" w:cs="Times New Roman"/>
        </w:rPr>
        <w:t>cost for a satellite broadband terminal.</w:t>
      </w:r>
    </w:p>
    <w:p w14:paraId="57C87B81" w14:textId="61BC8468" w:rsidR="00A044C1" w:rsidRPr="003A6B17" w:rsidRDefault="00A044C1" w:rsidP="003A6B17">
      <w:pPr>
        <w:pStyle w:val="ListParagraph"/>
        <w:numPr>
          <w:ilvl w:val="0"/>
          <w:numId w:val="10"/>
        </w:numPr>
        <w:jc w:val="both"/>
        <w:rPr>
          <w:rFonts w:ascii="Times New Roman" w:hAnsi="Times New Roman" w:cs="Times New Roman"/>
        </w:rPr>
      </w:pPr>
      <w:r w:rsidRPr="003A6B17">
        <w:rPr>
          <w:rFonts w:ascii="Times New Roman" w:hAnsi="Times New Roman" w:cs="Times New Roman"/>
        </w:rPr>
        <w:t xml:space="preserve">Policy and Regulation </w:t>
      </w:r>
      <w:r w:rsidRPr="00A044C1">
        <w:rPr>
          <w:rFonts w:ascii="Times New Roman" w:hAnsi="Times New Roman" w:cs="Times New Roman"/>
        </w:rPr>
        <w:t xml:space="preserve">– </w:t>
      </w:r>
      <w:r w:rsidR="00C81845" w:rsidRPr="00453CA0">
        <w:rPr>
          <w:rFonts w:ascii="Times New Roman" w:hAnsi="Times New Roman" w:cs="Times New Roman"/>
        </w:rPr>
        <w:t xml:space="preserve">Reflecting the USD </w:t>
      </w:r>
      <w:r w:rsidRPr="00A044C1">
        <w:rPr>
          <w:rFonts w:ascii="Times New Roman" w:hAnsi="Times New Roman" w:cs="Times New Roman"/>
        </w:rPr>
        <w:t xml:space="preserve">cost per user to contribute to policy and regulatory activities. </w:t>
      </w:r>
    </w:p>
    <w:p w14:paraId="4136DA1B" w14:textId="73DA9AD9" w:rsidR="00A044C1" w:rsidRPr="00A044C1" w:rsidRDefault="00A044C1" w:rsidP="003A6B17">
      <w:pPr>
        <w:pStyle w:val="ListParagraph"/>
        <w:numPr>
          <w:ilvl w:val="0"/>
          <w:numId w:val="10"/>
        </w:numPr>
        <w:jc w:val="both"/>
        <w:rPr>
          <w:rFonts w:ascii="Times New Roman" w:hAnsi="Times New Roman" w:cs="Times New Roman"/>
        </w:rPr>
      </w:pPr>
      <w:r w:rsidRPr="003A6B17">
        <w:rPr>
          <w:rFonts w:ascii="Times New Roman" w:hAnsi="Times New Roman" w:cs="Times New Roman"/>
        </w:rPr>
        <w:t xml:space="preserve">ICT Skills / Content </w:t>
      </w:r>
      <w:r w:rsidRPr="00A044C1">
        <w:rPr>
          <w:rFonts w:ascii="Times New Roman" w:hAnsi="Times New Roman" w:cs="Times New Roman"/>
        </w:rPr>
        <w:t xml:space="preserve">– </w:t>
      </w:r>
      <w:r w:rsidR="00C81845" w:rsidRPr="00453CA0">
        <w:rPr>
          <w:rFonts w:ascii="Times New Roman" w:hAnsi="Times New Roman" w:cs="Times New Roman"/>
        </w:rPr>
        <w:t xml:space="preserve">Reflecting the USD </w:t>
      </w:r>
      <w:r w:rsidRPr="00A044C1">
        <w:rPr>
          <w:rFonts w:ascii="Times New Roman" w:hAnsi="Times New Roman" w:cs="Times New Roman"/>
        </w:rPr>
        <w:t xml:space="preserve">cost per user to contribute to ICT skill training and content. </w:t>
      </w:r>
    </w:p>
    <w:p w14:paraId="30AC02B1" w14:textId="3EF65F49" w:rsidR="004F1C33" w:rsidRPr="00453CA0" w:rsidRDefault="004F1C33" w:rsidP="0027194D">
      <w:pPr>
        <w:jc w:val="both"/>
        <w:rPr>
          <w:rFonts w:ascii="Times New Roman" w:hAnsi="Times New Roman" w:cs="Times New Roman"/>
        </w:rPr>
      </w:pPr>
      <w:r w:rsidRPr="00453CA0">
        <w:rPr>
          <w:rFonts w:ascii="Times New Roman" w:hAnsi="Times New Roman" w:cs="Times New Roman"/>
        </w:rPr>
        <w:t>Finally, the “Labor Effort” box consists of the following parameters related to building or upgrading any assets:</w:t>
      </w:r>
    </w:p>
    <w:p w14:paraId="279E41F9" w14:textId="7F4485C8" w:rsidR="004F1C33" w:rsidRPr="00453CA0" w:rsidRDefault="004F1C33" w:rsidP="004F1C33">
      <w:pPr>
        <w:pStyle w:val="ListParagraph"/>
        <w:numPr>
          <w:ilvl w:val="0"/>
          <w:numId w:val="10"/>
        </w:numPr>
        <w:jc w:val="both"/>
        <w:rPr>
          <w:rFonts w:ascii="Times New Roman" w:hAnsi="Times New Roman" w:cs="Times New Roman"/>
        </w:rPr>
      </w:pPr>
      <w:r w:rsidRPr="00453CA0">
        <w:rPr>
          <w:rFonts w:ascii="Times New Roman" w:hAnsi="Times New Roman" w:cs="Times New Roman"/>
        </w:rPr>
        <w:t xml:space="preserve">Planning &amp; Surveying – Reflecting the number of days and employees allocated to planning and surveying a site location for a greenfield site construction. </w:t>
      </w:r>
    </w:p>
    <w:p w14:paraId="3416317F" w14:textId="72929180" w:rsidR="004F1C33" w:rsidRPr="00453CA0" w:rsidRDefault="004F1C33" w:rsidP="004F1C33">
      <w:pPr>
        <w:pStyle w:val="ListParagraph"/>
        <w:numPr>
          <w:ilvl w:val="0"/>
          <w:numId w:val="10"/>
        </w:numPr>
        <w:jc w:val="both"/>
        <w:rPr>
          <w:rFonts w:ascii="Times New Roman" w:hAnsi="Times New Roman" w:cs="Times New Roman"/>
        </w:rPr>
      </w:pPr>
      <w:r w:rsidRPr="00453CA0">
        <w:rPr>
          <w:rFonts w:ascii="Times New Roman" w:hAnsi="Times New Roman" w:cs="Times New Roman"/>
        </w:rPr>
        <w:t xml:space="preserve">Logistics – Reflecting the number of days and employees involved in moving equipment and resources to a site location for a greenfield site construction. </w:t>
      </w:r>
    </w:p>
    <w:p w14:paraId="6742A9CD" w14:textId="31438A94" w:rsidR="004F1C33" w:rsidRPr="00453CA0" w:rsidRDefault="00C81845" w:rsidP="004F1C33">
      <w:pPr>
        <w:pStyle w:val="ListParagraph"/>
        <w:numPr>
          <w:ilvl w:val="0"/>
          <w:numId w:val="10"/>
        </w:numPr>
        <w:jc w:val="both"/>
        <w:rPr>
          <w:rFonts w:ascii="Times New Roman" w:hAnsi="Times New Roman" w:cs="Times New Roman"/>
        </w:rPr>
      </w:pPr>
      <w:r>
        <w:rPr>
          <w:rFonts w:ascii="Times New Roman" w:hAnsi="Times New Roman" w:cs="Times New Roman"/>
        </w:rPr>
        <w:t>Construction</w:t>
      </w:r>
      <w:r w:rsidRPr="00453CA0">
        <w:rPr>
          <w:rFonts w:ascii="Times New Roman" w:hAnsi="Times New Roman" w:cs="Times New Roman"/>
        </w:rPr>
        <w:t xml:space="preserve"> </w:t>
      </w:r>
      <w:r w:rsidR="004F1C33" w:rsidRPr="00453CA0">
        <w:rPr>
          <w:rFonts w:ascii="Times New Roman" w:hAnsi="Times New Roman" w:cs="Times New Roman"/>
        </w:rPr>
        <w:t xml:space="preserve">– Reflecting the number of days and employees involved in building a civil engineering cell site structure at a new cell site location for a greenfield site construction. </w:t>
      </w:r>
    </w:p>
    <w:p w14:paraId="0469278F" w14:textId="02CD4B96" w:rsidR="00E57194" w:rsidRPr="00453CA0" w:rsidRDefault="004F1C33" w:rsidP="004F1C33">
      <w:pPr>
        <w:pStyle w:val="ListParagraph"/>
        <w:numPr>
          <w:ilvl w:val="0"/>
          <w:numId w:val="10"/>
        </w:numPr>
        <w:jc w:val="both"/>
        <w:rPr>
          <w:rFonts w:ascii="Times New Roman" w:hAnsi="Times New Roman" w:cs="Times New Roman"/>
        </w:rPr>
      </w:pPr>
      <w:r w:rsidRPr="00453CA0">
        <w:rPr>
          <w:rFonts w:ascii="Times New Roman" w:hAnsi="Times New Roman" w:cs="Times New Roman"/>
        </w:rPr>
        <w:t xml:space="preserve">Installation - Reflecting the number of days and employees involved in </w:t>
      </w:r>
      <w:r w:rsidR="00E57194" w:rsidRPr="00453CA0">
        <w:rPr>
          <w:rFonts w:ascii="Times New Roman" w:hAnsi="Times New Roman" w:cs="Times New Roman"/>
        </w:rPr>
        <w:t xml:space="preserve">installing new RAN equipment at either a new greenfield site construction or upgrading an existing site. </w:t>
      </w:r>
    </w:p>
    <w:p w14:paraId="08E0ABF7" w14:textId="638F335B" w:rsidR="00EE09E0" w:rsidRPr="00453CA0" w:rsidRDefault="00EE09E0" w:rsidP="00631F23">
      <w:pPr>
        <w:jc w:val="both"/>
        <w:rPr>
          <w:rFonts w:ascii="Times New Roman" w:hAnsi="Times New Roman" w:cs="Times New Roman"/>
        </w:rPr>
      </w:pPr>
      <w:r w:rsidRPr="00453CA0">
        <w:rPr>
          <w:rFonts w:ascii="Times New Roman" w:hAnsi="Times New Roman" w:cs="Times New Roman"/>
        </w:rPr>
        <w:t>Once these parameters have been set, the number of “Hours of Work” is estimated, consisting of the number of days of effort (with 8 hours per day) multiplied by the number of employees. This hourly total is then converted to a cost based on the estimated labor cost for each country.</w:t>
      </w:r>
    </w:p>
    <w:p w14:paraId="0C37E495" w14:textId="62371E13" w:rsidR="009E1330" w:rsidRPr="00453CA0" w:rsidRDefault="009E1330" w:rsidP="003A6B17">
      <w:pPr>
        <w:pStyle w:val="ListParagraph"/>
        <w:numPr>
          <w:ilvl w:val="0"/>
          <w:numId w:val="15"/>
        </w:numPr>
        <w:jc w:val="both"/>
        <w:rPr>
          <w:rFonts w:ascii="Times New Roman" w:hAnsi="Times New Roman" w:cs="Times New Roman"/>
          <w:u w:val="single"/>
        </w:rPr>
      </w:pPr>
      <w:r w:rsidRPr="00453CA0">
        <w:rPr>
          <w:rFonts w:ascii="Times New Roman" w:hAnsi="Times New Roman" w:cs="Times New Roman"/>
          <w:u w:val="single"/>
        </w:rPr>
        <w:t>Results</w:t>
      </w:r>
    </w:p>
    <w:p w14:paraId="7789B117" w14:textId="77777777" w:rsidR="009E1330" w:rsidRPr="00453CA0" w:rsidRDefault="009E1330" w:rsidP="009E1330">
      <w:pPr>
        <w:pStyle w:val="ListParagraph"/>
        <w:ind w:left="360"/>
        <w:jc w:val="both"/>
        <w:rPr>
          <w:rFonts w:ascii="Times New Roman" w:hAnsi="Times New Roman" w:cs="Times New Roman"/>
          <w:u w:val="single"/>
        </w:rPr>
      </w:pPr>
    </w:p>
    <w:p w14:paraId="129F26CB" w14:textId="718315C9" w:rsidR="00121686" w:rsidRPr="00453CA0" w:rsidRDefault="00BD51DB" w:rsidP="003A6B17">
      <w:pPr>
        <w:pStyle w:val="ListParagraph"/>
        <w:numPr>
          <w:ilvl w:val="1"/>
          <w:numId w:val="15"/>
        </w:numPr>
        <w:jc w:val="both"/>
        <w:rPr>
          <w:rFonts w:ascii="Times New Roman" w:hAnsi="Times New Roman" w:cs="Times New Roman"/>
          <w:u w:val="single"/>
        </w:rPr>
      </w:pPr>
      <w:r w:rsidRPr="00453CA0">
        <w:rPr>
          <w:rFonts w:ascii="Times New Roman" w:hAnsi="Times New Roman" w:cs="Times New Roman"/>
          <w:u w:val="single"/>
        </w:rPr>
        <w:t>Country Context</w:t>
      </w:r>
    </w:p>
    <w:p w14:paraId="75001AA0" w14:textId="7BE915A0" w:rsidR="00BD51DB" w:rsidRPr="00453CA0" w:rsidRDefault="00BD51DB" w:rsidP="00BD51DB">
      <w:pPr>
        <w:jc w:val="both"/>
        <w:rPr>
          <w:rFonts w:ascii="Times New Roman" w:hAnsi="Times New Roman" w:cs="Times New Roman"/>
        </w:rPr>
      </w:pPr>
      <w:r w:rsidRPr="00453CA0">
        <w:rPr>
          <w:rFonts w:ascii="Times New Roman" w:hAnsi="Times New Roman" w:cs="Times New Roman"/>
        </w:rPr>
        <w:t xml:space="preserve">The </w:t>
      </w:r>
      <w:r w:rsidR="009E1330" w:rsidRPr="00453CA0">
        <w:rPr>
          <w:rFonts w:ascii="Times New Roman" w:hAnsi="Times New Roman" w:cs="Times New Roman"/>
        </w:rPr>
        <w:t>“</w:t>
      </w:r>
      <w:proofErr w:type="spellStart"/>
      <w:r w:rsidRPr="00453CA0">
        <w:rPr>
          <w:rFonts w:ascii="Times New Roman" w:hAnsi="Times New Roman" w:cs="Times New Roman"/>
        </w:rPr>
        <w:t>Country</w:t>
      </w:r>
      <w:r w:rsidR="009E1330" w:rsidRPr="00453CA0">
        <w:rPr>
          <w:rFonts w:ascii="Times New Roman" w:hAnsi="Times New Roman" w:cs="Times New Roman"/>
        </w:rPr>
        <w:t>_</w:t>
      </w:r>
      <w:r w:rsidRPr="00453CA0">
        <w:rPr>
          <w:rFonts w:ascii="Times New Roman" w:hAnsi="Times New Roman" w:cs="Times New Roman"/>
        </w:rPr>
        <w:t>Context</w:t>
      </w:r>
      <w:proofErr w:type="spellEnd"/>
      <w:r w:rsidR="009E1330" w:rsidRPr="00453CA0">
        <w:rPr>
          <w:rFonts w:ascii="Times New Roman" w:hAnsi="Times New Roman" w:cs="Times New Roman"/>
        </w:rPr>
        <w:t>”</w:t>
      </w:r>
      <w:r w:rsidRPr="00453CA0">
        <w:rPr>
          <w:rFonts w:ascii="Times New Roman" w:hAnsi="Times New Roman" w:cs="Times New Roman"/>
        </w:rPr>
        <w:t xml:space="preserve"> tab provides an overview of various key metrics which affect the costs of deploying universal mobile broadband by country.</w:t>
      </w:r>
    </w:p>
    <w:p w14:paraId="200A6489" w14:textId="77777777" w:rsidR="00BD51DB" w:rsidRPr="00453CA0" w:rsidRDefault="00BD51DB" w:rsidP="00BD51DB">
      <w:pPr>
        <w:jc w:val="both"/>
        <w:rPr>
          <w:rFonts w:ascii="Times New Roman" w:hAnsi="Times New Roman" w:cs="Times New Roman"/>
        </w:rPr>
      </w:pPr>
      <w:r w:rsidRPr="00453CA0">
        <w:rPr>
          <w:rFonts w:ascii="Times New Roman" w:hAnsi="Times New Roman" w:cs="Times New Roman"/>
        </w:rPr>
        <w:t>Four key graphics are presented which include:</w:t>
      </w:r>
    </w:p>
    <w:p w14:paraId="49BFB1B6" w14:textId="2D0B2B8F" w:rsidR="00BD51DB" w:rsidRPr="00453CA0" w:rsidRDefault="00BD51DB" w:rsidP="00BD51DB">
      <w:pPr>
        <w:pStyle w:val="ListParagraph"/>
        <w:numPr>
          <w:ilvl w:val="0"/>
          <w:numId w:val="7"/>
        </w:numPr>
        <w:jc w:val="both"/>
        <w:rPr>
          <w:rFonts w:ascii="Times New Roman" w:hAnsi="Times New Roman" w:cs="Times New Roman"/>
        </w:rPr>
      </w:pPr>
      <w:r w:rsidRPr="00453CA0">
        <w:rPr>
          <w:rFonts w:ascii="Times New Roman" w:hAnsi="Times New Roman" w:cs="Times New Roman"/>
        </w:rPr>
        <w:lastRenderedPageBreak/>
        <w:t>Population by Density Decile – Representing the total population of each of the ten population density deciles.</w:t>
      </w:r>
      <w:r w:rsidR="00BE426A" w:rsidRPr="00453CA0">
        <w:rPr>
          <w:rFonts w:ascii="Times New Roman" w:hAnsi="Times New Roman" w:cs="Times New Roman"/>
        </w:rPr>
        <w:t xml:space="preserve"> The largest population </w:t>
      </w:r>
      <w:r w:rsidR="00921CE6">
        <w:rPr>
          <w:rFonts w:ascii="Times New Roman" w:hAnsi="Times New Roman" w:cs="Times New Roman"/>
        </w:rPr>
        <w:t xml:space="preserve">is </w:t>
      </w:r>
      <w:r w:rsidR="00BE426A" w:rsidRPr="00453CA0">
        <w:rPr>
          <w:rFonts w:ascii="Times New Roman" w:hAnsi="Times New Roman" w:cs="Times New Roman"/>
        </w:rPr>
        <w:t xml:space="preserve">in the first decile, whereas the smallest population </w:t>
      </w:r>
      <w:r w:rsidR="00921CE6">
        <w:rPr>
          <w:rFonts w:ascii="Times New Roman" w:hAnsi="Times New Roman" w:cs="Times New Roman"/>
        </w:rPr>
        <w:t xml:space="preserve">is </w:t>
      </w:r>
      <w:r w:rsidR="00BE426A" w:rsidRPr="00453CA0">
        <w:rPr>
          <w:rFonts w:ascii="Times New Roman" w:hAnsi="Times New Roman" w:cs="Times New Roman"/>
        </w:rPr>
        <w:t xml:space="preserve">in the last decile. </w:t>
      </w:r>
    </w:p>
    <w:p w14:paraId="5A117A11" w14:textId="39FBCDEC" w:rsidR="00BD51DB" w:rsidRPr="00453CA0" w:rsidRDefault="00BD51DB" w:rsidP="00BD51DB">
      <w:pPr>
        <w:pStyle w:val="ListParagraph"/>
        <w:numPr>
          <w:ilvl w:val="0"/>
          <w:numId w:val="7"/>
        </w:numPr>
        <w:jc w:val="both"/>
        <w:rPr>
          <w:rFonts w:ascii="Times New Roman" w:hAnsi="Times New Roman" w:cs="Times New Roman"/>
        </w:rPr>
      </w:pPr>
      <w:r w:rsidRPr="00453CA0">
        <w:rPr>
          <w:rFonts w:ascii="Times New Roman" w:hAnsi="Times New Roman" w:cs="Times New Roman"/>
        </w:rPr>
        <w:t>Area by Density Decile</w:t>
      </w:r>
      <w:r w:rsidR="008D34FA" w:rsidRPr="00453CA0">
        <w:rPr>
          <w:rFonts w:ascii="Times New Roman" w:hAnsi="Times New Roman" w:cs="Times New Roman"/>
        </w:rPr>
        <w:t xml:space="preserve"> (km</w:t>
      </w:r>
      <w:r w:rsidR="008D34FA" w:rsidRPr="00453CA0">
        <w:rPr>
          <w:rFonts w:ascii="Times New Roman" w:hAnsi="Times New Roman" w:cs="Times New Roman"/>
          <w:vertAlign w:val="superscript"/>
        </w:rPr>
        <w:t>2</w:t>
      </w:r>
      <w:r w:rsidR="008D34FA" w:rsidRPr="00453CA0">
        <w:rPr>
          <w:rFonts w:ascii="Times New Roman" w:hAnsi="Times New Roman" w:cs="Times New Roman"/>
        </w:rPr>
        <w:t>)</w:t>
      </w:r>
      <w:r w:rsidRPr="00453CA0">
        <w:rPr>
          <w:rFonts w:ascii="Times New Roman" w:hAnsi="Times New Roman" w:cs="Times New Roman"/>
        </w:rPr>
        <w:t xml:space="preserve"> – Representing the geographic area </w:t>
      </w:r>
      <w:r w:rsidR="00BE426A" w:rsidRPr="00453CA0">
        <w:rPr>
          <w:rFonts w:ascii="Times New Roman" w:hAnsi="Times New Roman" w:cs="Times New Roman"/>
        </w:rPr>
        <w:t xml:space="preserve">in square kilometers </w:t>
      </w:r>
      <w:r w:rsidRPr="00453CA0">
        <w:rPr>
          <w:rFonts w:ascii="Times New Roman" w:hAnsi="Times New Roman" w:cs="Times New Roman"/>
        </w:rPr>
        <w:t>of each of the ten population density deciles.</w:t>
      </w:r>
      <w:r w:rsidR="00BE426A" w:rsidRPr="00453CA0">
        <w:rPr>
          <w:rFonts w:ascii="Times New Roman" w:hAnsi="Times New Roman" w:cs="Times New Roman"/>
        </w:rPr>
        <w:t xml:space="preserve"> The smallest area </w:t>
      </w:r>
      <w:r w:rsidR="00921CE6">
        <w:rPr>
          <w:rFonts w:ascii="Times New Roman" w:hAnsi="Times New Roman" w:cs="Times New Roman"/>
        </w:rPr>
        <w:t>is</w:t>
      </w:r>
      <w:r w:rsidR="00BE426A" w:rsidRPr="00453CA0">
        <w:rPr>
          <w:rFonts w:ascii="Times New Roman" w:hAnsi="Times New Roman" w:cs="Times New Roman"/>
        </w:rPr>
        <w:t xml:space="preserve"> in the first decile, and the largest area </w:t>
      </w:r>
      <w:r w:rsidR="00921CE6">
        <w:rPr>
          <w:rFonts w:ascii="Times New Roman" w:hAnsi="Times New Roman" w:cs="Times New Roman"/>
        </w:rPr>
        <w:t>is</w:t>
      </w:r>
      <w:r w:rsidR="00BE426A" w:rsidRPr="00453CA0">
        <w:rPr>
          <w:rFonts w:ascii="Times New Roman" w:hAnsi="Times New Roman" w:cs="Times New Roman"/>
        </w:rPr>
        <w:t xml:space="preserve"> in the last decile (</w:t>
      </w:r>
      <w:r w:rsidR="008F7A3A" w:rsidRPr="00453CA0">
        <w:rPr>
          <w:rFonts w:ascii="Times New Roman" w:hAnsi="Times New Roman" w:cs="Times New Roman"/>
        </w:rPr>
        <w:t>so the inverse pattern to the population by decile</w:t>
      </w:r>
      <w:r w:rsidR="00BE426A" w:rsidRPr="00453CA0">
        <w:rPr>
          <w:rFonts w:ascii="Times New Roman" w:hAnsi="Times New Roman" w:cs="Times New Roman"/>
        </w:rPr>
        <w:t>)</w:t>
      </w:r>
      <w:r w:rsidR="008F7A3A" w:rsidRPr="00453CA0">
        <w:rPr>
          <w:rFonts w:ascii="Times New Roman" w:hAnsi="Times New Roman" w:cs="Times New Roman"/>
        </w:rPr>
        <w:t xml:space="preserve">. Some countries may </w:t>
      </w:r>
      <w:r w:rsidR="00DC4B77">
        <w:rPr>
          <w:rFonts w:ascii="Times New Roman" w:hAnsi="Times New Roman" w:cs="Times New Roman"/>
        </w:rPr>
        <w:t xml:space="preserve">slightly </w:t>
      </w:r>
      <w:r w:rsidR="008F7A3A" w:rsidRPr="00453CA0">
        <w:rPr>
          <w:rFonts w:ascii="Times New Roman" w:hAnsi="Times New Roman" w:cs="Times New Roman"/>
        </w:rPr>
        <w:t xml:space="preserve">diverge from this pattern if the local statistical areas available are </w:t>
      </w:r>
      <w:r w:rsidR="00921CE6">
        <w:rPr>
          <w:rFonts w:ascii="Times New Roman" w:hAnsi="Times New Roman" w:cs="Times New Roman"/>
        </w:rPr>
        <w:t>coarse</w:t>
      </w:r>
      <w:r w:rsidR="008F7A3A" w:rsidRPr="00453CA0">
        <w:rPr>
          <w:rFonts w:ascii="Times New Roman" w:hAnsi="Times New Roman" w:cs="Times New Roman"/>
        </w:rPr>
        <w:t>.</w:t>
      </w:r>
      <w:r w:rsidR="00921CE6">
        <w:rPr>
          <w:rFonts w:ascii="Times New Roman" w:hAnsi="Times New Roman" w:cs="Times New Roman"/>
        </w:rPr>
        <w:t xml:space="preserve"> </w:t>
      </w:r>
      <w:r w:rsidR="008F7A3A" w:rsidRPr="00453CA0">
        <w:rPr>
          <w:rFonts w:ascii="Times New Roman" w:hAnsi="Times New Roman" w:cs="Times New Roman"/>
        </w:rPr>
        <w:t xml:space="preserve"> </w:t>
      </w:r>
    </w:p>
    <w:p w14:paraId="6B84CE0B" w14:textId="51CB4285" w:rsidR="00BD51DB" w:rsidRPr="00453CA0" w:rsidRDefault="00BD51DB" w:rsidP="00BD51DB">
      <w:pPr>
        <w:pStyle w:val="ListParagraph"/>
        <w:numPr>
          <w:ilvl w:val="0"/>
          <w:numId w:val="7"/>
        </w:numPr>
        <w:jc w:val="both"/>
        <w:rPr>
          <w:rFonts w:ascii="Times New Roman" w:hAnsi="Times New Roman" w:cs="Times New Roman"/>
        </w:rPr>
      </w:pPr>
      <w:r w:rsidRPr="00453CA0">
        <w:rPr>
          <w:rFonts w:ascii="Times New Roman" w:hAnsi="Times New Roman" w:cs="Times New Roman"/>
        </w:rPr>
        <w:t xml:space="preserve">Population Density by Density Decile </w:t>
      </w:r>
      <w:r w:rsidR="008D34FA" w:rsidRPr="00453CA0">
        <w:rPr>
          <w:rFonts w:ascii="Times New Roman" w:hAnsi="Times New Roman" w:cs="Times New Roman"/>
        </w:rPr>
        <w:t>(Pop/km</w:t>
      </w:r>
      <w:r w:rsidR="008D34FA" w:rsidRPr="00453CA0">
        <w:rPr>
          <w:rFonts w:ascii="Times New Roman" w:hAnsi="Times New Roman" w:cs="Times New Roman"/>
          <w:vertAlign w:val="superscript"/>
        </w:rPr>
        <w:t>2</w:t>
      </w:r>
      <w:r w:rsidR="008D34FA" w:rsidRPr="00453CA0">
        <w:rPr>
          <w:rFonts w:ascii="Times New Roman" w:hAnsi="Times New Roman" w:cs="Times New Roman"/>
        </w:rPr>
        <w:t xml:space="preserve">) </w:t>
      </w:r>
      <w:r w:rsidRPr="00453CA0">
        <w:rPr>
          <w:rFonts w:ascii="Times New Roman" w:hAnsi="Times New Roman" w:cs="Times New Roman"/>
        </w:rPr>
        <w:t>– Representing the population density of each of the ten population density deciles.</w:t>
      </w:r>
      <w:r w:rsidR="00A16030" w:rsidRPr="00453CA0">
        <w:rPr>
          <w:rFonts w:ascii="Times New Roman" w:hAnsi="Times New Roman" w:cs="Times New Roman"/>
        </w:rPr>
        <w:t xml:space="preserve"> The first decile </w:t>
      </w:r>
      <w:r w:rsidR="00921CE6">
        <w:rPr>
          <w:rFonts w:ascii="Times New Roman" w:hAnsi="Times New Roman" w:cs="Times New Roman"/>
        </w:rPr>
        <w:t xml:space="preserve">has </w:t>
      </w:r>
      <w:r w:rsidR="00A16030" w:rsidRPr="00453CA0">
        <w:rPr>
          <w:rFonts w:ascii="Times New Roman" w:hAnsi="Times New Roman" w:cs="Times New Roman"/>
        </w:rPr>
        <w:t xml:space="preserve">the highest population density. </w:t>
      </w:r>
    </w:p>
    <w:p w14:paraId="08909A84" w14:textId="57164FA5" w:rsidR="009E1330" w:rsidRPr="00453CA0" w:rsidRDefault="00BD51DB" w:rsidP="009E1330">
      <w:pPr>
        <w:pStyle w:val="ListParagraph"/>
        <w:numPr>
          <w:ilvl w:val="0"/>
          <w:numId w:val="7"/>
        </w:numPr>
        <w:jc w:val="both"/>
        <w:rPr>
          <w:rFonts w:ascii="Times New Roman" w:hAnsi="Times New Roman" w:cs="Times New Roman"/>
        </w:rPr>
      </w:pPr>
      <w:r w:rsidRPr="00453CA0">
        <w:rPr>
          <w:rFonts w:ascii="Times New Roman" w:hAnsi="Times New Roman" w:cs="Times New Roman"/>
        </w:rPr>
        <w:t>Population Growth Forecast</w:t>
      </w:r>
      <w:r w:rsidR="008D34FA" w:rsidRPr="00453CA0">
        <w:rPr>
          <w:rFonts w:ascii="Times New Roman" w:hAnsi="Times New Roman" w:cs="Times New Roman"/>
        </w:rPr>
        <w:t xml:space="preserve"> (%)</w:t>
      </w:r>
      <w:r w:rsidRPr="00453CA0">
        <w:rPr>
          <w:rFonts w:ascii="Times New Roman" w:hAnsi="Times New Roman" w:cs="Times New Roman"/>
        </w:rPr>
        <w:t xml:space="preserve"> – Representing the </w:t>
      </w:r>
      <w:r w:rsidR="00921CE6">
        <w:rPr>
          <w:rFonts w:ascii="Times New Roman" w:hAnsi="Times New Roman" w:cs="Times New Roman"/>
        </w:rPr>
        <w:t xml:space="preserve">UN </w:t>
      </w:r>
      <w:r w:rsidRPr="00453CA0">
        <w:rPr>
          <w:rFonts w:ascii="Times New Roman" w:hAnsi="Times New Roman" w:cs="Times New Roman"/>
        </w:rPr>
        <w:t>estimated population growth forecast over the next decade</w:t>
      </w:r>
      <w:r w:rsidR="00A16030" w:rsidRPr="00453CA0">
        <w:rPr>
          <w:rFonts w:ascii="Times New Roman" w:hAnsi="Times New Roman" w:cs="Times New Roman"/>
        </w:rPr>
        <w:t xml:space="preserve"> for each country</w:t>
      </w:r>
      <w:r w:rsidRPr="00453CA0">
        <w:rPr>
          <w:rFonts w:ascii="Times New Roman" w:hAnsi="Times New Roman" w:cs="Times New Roman"/>
        </w:rPr>
        <w:t>.</w:t>
      </w:r>
    </w:p>
    <w:p w14:paraId="2671E079" w14:textId="77777777" w:rsidR="009E1330" w:rsidRPr="00453CA0" w:rsidRDefault="009E1330" w:rsidP="009E1330">
      <w:pPr>
        <w:pStyle w:val="ListParagraph"/>
        <w:jc w:val="both"/>
        <w:rPr>
          <w:rFonts w:ascii="Times New Roman" w:hAnsi="Times New Roman" w:cs="Times New Roman"/>
        </w:rPr>
      </w:pPr>
    </w:p>
    <w:p w14:paraId="02A746AE" w14:textId="388F423F" w:rsidR="00BD51DB" w:rsidRPr="00453CA0" w:rsidRDefault="00BD51DB" w:rsidP="003A6B17">
      <w:pPr>
        <w:pStyle w:val="ListParagraph"/>
        <w:numPr>
          <w:ilvl w:val="1"/>
          <w:numId w:val="15"/>
        </w:numPr>
        <w:jc w:val="both"/>
        <w:rPr>
          <w:rFonts w:ascii="Times New Roman" w:hAnsi="Times New Roman" w:cs="Times New Roman"/>
          <w:u w:val="single"/>
        </w:rPr>
      </w:pPr>
      <w:r w:rsidRPr="00453CA0">
        <w:rPr>
          <w:rFonts w:ascii="Times New Roman" w:hAnsi="Times New Roman" w:cs="Times New Roman"/>
          <w:u w:val="single"/>
        </w:rPr>
        <w:t>Country Demand</w:t>
      </w:r>
    </w:p>
    <w:p w14:paraId="404A8A78" w14:textId="46E8C9BC" w:rsidR="009E1330" w:rsidRPr="00453CA0" w:rsidRDefault="009E1330" w:rsidP="009E1330">
      <w:pPr>
        <w:jc w:val="both"/>
        <w:rPr>
          <w:rFonts w:ascii="Times New Roman" w:hAnsi="Times New Roman" w:cs="Times New Roman"/>
        </w:rPr>
      </w:pPr>
      <w:r w:rsidRPr="00453CA0">
        <w:rPr>
          <w:rFonts w:ascii="Times New Roman" w:hAnsi="Times New Roman" w:cs="Times New Roman"/>
        </w:rPr>
        <w:t xml:space="preserve">The “Country Demand” tab enables users to explore the data demand for </w:t>
      </w:r>
      <w:r w:rsidR="00481A46">
        <w:rPr>
          <w:rFonts w:ascii="Times New Roman" w:hAnsi="Times New Roman" w:cs="Times New Roman"/>
        </w:rPr>
        <w:t>three</w:t>
      </w:r>
      <w:r w:rsidRPr="00453CA0">
        <w:rPr>
          <w:rFonts w:ascii="Times New Roman" w:hAnsi="Times New Roman" w:cs="Times New Roman"/>
        </w:rPr>
        <w:t xml:space="preserve"> related metrics based on the given population deciles:</w:t>
      </w:r>
    </w:p>
    <w:p w14:paraId="38A9264A" w14:textId="4AC01FF8" w:rsidR="00921CE6" w:rsidRPr="003A6B17" w:rsidRDefault="00921CE6" w:rsidP="003A6B17">
      <w:pPr>
        <w:pStyle w:val="ListParagraph"/>
        <w:numPr>
          <w:ilvl w:val="0"/>
          <w:numId w:val="7"/>
        </w:numPr>
        <w:jc w:val="both"/>
        <w:rPr>
          <w:rFonts w:ascii="Times New Roman" w:hAnsi="Times New Roman" w:cs="Times New Roman"/>
        </w:rPr>
      </w:pPr>
      <w:r w:rsidRPr="003A6B17">
        <w:rPr>
          <w:rFonts w:ascii="Times New Roman" w:hAnsi="Times New Roman" w:cs="Times New Roman"/>
        </w:rPr>
        <w:t xml:space="preserve">Total Smartphone Users by Density Decile – </w:t>
      </w:r>
      <w:r w:rsidRPr="00921CE6">
        <w:rPr>
          <w:rFonts w:ascii="Times New Roman" w:hAnsi="Times New Roman" w:cs="Times New Roman"/>
        </w:rPr>
        <w:t xml:space="preserve">The total </w:t>
      </w:r>
      <w:r w:rsidR="00481A46">
        <w:rPr>
          <w:rFonts w:ascii="Times New Roman" w:hAnsi="Times New Roman" w:cs="Times New Roman"/>
        </w:rPr>
        <w:t xml:space="preserve">estimated </w:t>
      </w:r>
      <w:r w:rsidRPr="00921CE6">
        <w:rPr>
          <w:rFonts w:ascii="Times New Roman" w:hAnsi="Times New Roman" w:cs="Times New Roman"/>
        </w:rPr>
        <w:t xml:space="preserve">smartphone users by density decile. </w:t>
      </w:r>
      <w:r w:rsidRPr="003A6B17">
        <w:rPr>
          <w:rFonts w:ascii="Times New Roman" w:hAnsi="Times New Roman" w:cs="Times New Roman"/>
        </w:rPr>
        <w:t xml:space="preserve"> </w:t>
      </w:r>
    </w:p>
    <w:p w14:paraId="4C2EB821" w14:textId="6B619DAD" w:rsidR="00921CE6" w:rsidRPr="003A6B17" w:rsidRDefault="00921CE6" w:rsidP="003A6B17">
      <w:pPr>
        <w:pStyle w:val="ListParagraph"/>
        <w:numPr>
          <w:ilvl w:val="0"/>
          <w:numId w:val="7"/>
        </w:numPr>
        <w:jc w:val="both"/>
        <w:rPr>
          <w:rFonts w:ascii="Times New Roman" w:hAnsi="Times New Roman" w:cs="Times New Roman"/>
        </w:rPr>
      </w:pPr>
      <w:r w:rsidRPr="003A6B17">
        <w:rPr>
          <w:rFonts w:ascii="Times New Roman" w:hAnsi="Times New Roman" w:cs="Times New Roman"/>
        </w:rPr>
        <w:t xml:space="preserve">MNO Active User Density by Density Decile – </w:t>
      </w:r>
      <w:r w:rsidRPr="00921CE6">
        <w:rPr>
          <w:rFonts w:ascii="Times New Roman" w:hAnsi="Times New Roman" w:cs="Times New Roman"/>
        </w:rPr>
        <w:t xml:space="preserve">The </w:t>
      </w:r>
      <w:r w:rsidR="00481A46">
        <w:rPr>
          <w:rFonts w:ascii="Times New Roman" w:hAnsi="Times New Roman" w:cs="Times New Roman"/>
        </w:rPr>
        <w:t xml:space="preserve">estimated </w:t>
      </w:r>
      <w:r w:rsidRPr="00921CE6">
        <w:rPr>
          <w:rFonts w:ascii="Times New Roman" w:hAnsi="Times New Roman" w:cs="Times New Roman"/>
        </w:rPr>
        <w:t xml:space="preserve">number of active users in each density decile for the hypothetical modeled Mobile Network Operator. </w:t>
      </w:r>
      <w:r w:rsidRPr="003A6B17">
        <w:rPr>
          <w:rFonts w:ascii="Times New Roman" w:hAnsi="Times New Roman" w:cs="Times New Roman"/>
        </w:rPr>
        <w:t xml:space="preserve"> </w:t>
      </w:r>
    </w:p>
    <w:p w14:paraId="12C65CB8" w14:textId="497EC4D9" w:rsidR="00F25F3F" w:rsidRPr="00481A46" w:rsidRDefault="00921CE6" w:rsidP="00481A46">
      <w:pPr>
        <w:pStyle w:val="ListParagraph"/>
        <w:numPr>
          <w:ilvl w:val="0"/>
          <w:numId w:val="7"/>
        </w:numPr>
        <w:jc w:val="both"/>
        <w:rPr>
          <w:rFonts w:ascii="Times New Roman" w:hAnsi="Times New Roman" w:cs="Times New Roman"/>
          <w:lang w:val="en-GB"/>
        </w:rPr>
      </w:pPr>
      <w:r w:rsidRPr="003A6B17">
        <w:rPr>
          <w:rFonts w:ascii="Times New Roman" w:hAnsi="Times New Roman" w:cs="Times New Roman"/>
        </w:rPr>
        <w:t xml:space="preserve">MNO Traffic Density by Density Decile– </w:t>
      </w:r>
      <w:r w:rsidRPr="00921CE6">
        <w:rPr>
          <w:rFonts w:ascii="Times New Roman" w:hAnsi="Times New Roman" w:cs="Times New Roman"/>
        </w:rPr>
        <w:t xml:space="preserve">The </w:t>
      </w:r>
      <w:r w:rsidR="00481A46">
        <w:rPr>
          <w:rFonts w:ascii="Times New Roman" w:hAnsi="Times New Roman" w:cs="Times New Roman"/>
        </w:rPr>
        <w:t xml:space="preserve">estimated </w:t>
      </w:r>
      <w:r w:rsidRPr="00921CE6">
        <w:rPr>
          <w:rFonts w:ascii="Times New Roman" w:hAnsi="Times New Roman" w:cs="Times New Roman"/>
        </w:rPr>
        <w:t xml:space="preserve">traffic density for each population density for the hypothetical modeled Mobile Network Operator. </w:t>
      </w:r>
      <w:r w:rsidRPr="00921CE6">
        <w:rPr>
          <w:rFonts w:ascii="Times New Roman" w:hAnsi="Times New Roman" w:cs="Times New Roman"/>
          <w:b/>
          <w:bCs/>
        </w:rPr>
        <w:t xml:space="preserve"> </w:t>
      </w:r>
    </w:p>
    <w:p w14:paraId="517DFB9A" w14:textId="77777777" w:rsidR="00481A46" w:rsidRPr="00481A46" w:rsidRDefault="00481A46" w:rsidP="00481A46">
      <w:pPr>
        <w:pStyle w:val="ListParagraph"/>
        <w:jc w:val="both"/>
        <w:rPr>
          <w:rFonts w:ascii="Times New Roman" w:hAnsi="Times New Roman" w:cs="Times New Roman"/>
          <w:lang w:val="en-GB"/>
        </w:rPr>
      </w:pPr>
    </w:p>
    <w:p w14:paraId="2AB91E5A" w14:textId="4A22D1A3" w:rsidR="00921CE6" w:rsidRPr="00453CA0" w:rsidRDefault="00921CE6" w:rsidP="00921CE6">
      <w:pPr>
        <w:pStyle w:val="ListParagraph"/>
        <w:numPr>
          <w:ilvl w:val="1"/>
          <w:numId w:val="15"/>
        </w:numPr>
        <w:jc w:val="both"/>
        <w:rPr>
          <w:rFonts w:ascii="Times New Roman" w:hAnsi="Times New Roman" w:cs="Times New Roman"/>
          <w:u w:val="single"/>
        </w:rPr>
      </w:pPr>
      <w:r w:rsidRPr="00453CA0">
        <w:rPr>
          <w:rFonts w:ascii="Times New Roman" w:hAnsi="Times New Roman" w:cs="Times New Roman"/>
          <w:u w:val="single"/>
        </w:rPr>
        <w:t>Cost</w:t>
      </w:r>
      <w:r>
        <w:rPr>
          <w:rFonts w:ascii="Times New Roman" w:hAnsi="Times New Roman" w:cs="Times New Roman"/>
          <w:u w:val="single"/>
        </w:rPr>
        <w:t xml:space="preserve"> Per User Per Country</w:t>
      </w:r>
    </w:p>
    <w:p w14:paraId="638B556B" w14:textId="38C8950D" w:rsidR="00921CE6" w:rsidRDefault="00921CE6" w:rsidP="00921CE6">
      <w:pPr>
        <w:jc w:val="both"/>
        <w:rPr>
          <w:rFonts w:ascii="Times New Roman" w:hAnsi="Times New Roman" w:cs="Times New Roman"/>
        </w:rPr>
      </w:pPr>
      <w:r w:rsidRPr="00453CA0">
        <w:rPr>
          <w:rFonts w:ascii="Times New Roman" w:hAnsi="Times New Roman" w:cs="Times New Roman"/>
        </w:rPr>
        <w:t>The “</w:t>
      </w:r>
      <w:proofErr w:type="spellStart"/>
      <w:r w:rsidRPr="00921CE6">
        <w:rPr>
          <w:rFonts w:ascii="Times New Roman" w:hAnsi="Times New Roman" w:cs="Times New Roman"/>
        </w:rPr>
        <w:t>Cost_Per_User_Per_Country</w:t>
      </w:r>
      <w:proofErr w:type="spellEnd"/>
      <w:r w:rsidRPr="00453CA0">
        <w:rPr>
          <w:rFonts w:ascii="Times New Roman" w:hAnsi="Times New Roman" w:cs="Times New Roman"/>
        </w:rPr>
        <w:t xml:space="preserve">” tab </w:t>
      </w:r>
      <w:r>
        <w:rPr>
          <w:rFonts w:ascii="Times New Roman" w:hAnsi="Times New Roman" w:cs="Times New Roman"/>
        </w:rPr>
        <w:t>reports the cost per user estimate for each selected country broken down by six cost segments, including:</w:t>
      </w:r>
    </w:p>
    <w:p w14:paraId="020AEADE" w14:textId="4BA7CBF1" w:rsidR="00921CE6" w:rsidRDefault="00921CE6" w:rsidP="00921CE6">
      <w:pPr>
        <w:pStyle w:val="ListParagraph"/>
        <w:numPr>
          <w:ilvl w:val="0"/>
          <w:numId w:val="7"/>
        </w:numPr>
        <w:jc w:val="both"/>
        <w:rPr>
          <w:rFonts w:ascii="Times New Roman" w:hAnsi="Times New Roman" w:cs="Times New Roman"/>
        </w:rPr>
      </w:pPr>
      <w:r>
        <w:rPr>
          <w:rFonts w:ascii="Times New Roman" w:hAnsi="Times New Roman" w:cs="Times New Roman"/>
        </w:rPr>
        <w:t>Mobile infrastructure capex – Reflecting the capital expenditure necessary to be spent on mobile infrastructure (e.g., RAN, towers, backhaul etc.).</w:t>
      </w:r>
    </w:p>
    <w:p w14:paraId="5E8BB7C9" w14:textId="19056AF7" w:rsidR="00921CE6" w:rsidRDefault="00921CE6" w:rsidP="00921CE6">
      <w:pPr>
        <w:pStyle w:val="ListParagraph"/>
        <w:numPr>
          <w:ilvl w:val="0"/>
          <w:numId w:val="7"/>
        </w:numPr>
        <w:jc w:val="both"/>
        <w:rPr>
          <w:rFonts w:ascii="Times New Roman" w:hAnsi="Times New Roman" w:cs="Times New Roman"/>
        </w:rPr>
      </w:pPr>
      <w:r>
        <w:rPr>
          <w:rFonts w:ascii="Times New Roman" w:hAnsi="Times New Roman" w:cs="Times New Roman"/>
        </w:rPr>
        <w:t>Metro and backbone fiber – Reflecting the capital expenditure necessary to be spent on fiber optic network assets for transporting large quantities of data, within urban areas and over long distances.</w:t>
      </w:r>
    </w:p>
    <w:p w14:paraId="04EFF65F" w14:textId="0EB25B31" w:rsidR="00921CE6" w:rsidRDefault="00921CE6" w:rsidP="00921CE6">
      <w:pPr>
        <w:pStyle w:val="ListParagraph"/>
        <w:numPr>
          <w:ilvl w:val="0"/>
          <w:numId w:val="7"/>
        </w:numPr>
        <w:jc w:val="both"/>
        <w:rPr>
          <w:rFonts w:ascii="Times New Roman" w:hAnsi="Times New Roman" w:cs="Times New Roman"/>
        </w:rPr>
      </w:pPr>
      <w:r>
        <w:rPr>
          <w:rFonts w:ascii="Times New Roman" w:hAnsi="Times New Roman" w:cs="Times New Roman"/>
        </w:rPr>
        <w:t xml:space="preserve">Mobile infrastructure </w:t>
      </w:r>
      <w:proofErr w:type="spellStart"/>
      <w:r>
        <w:rPr>
          <w:rFonts w:ascii="Times New Roman" w:hAnsi="Times New Roman" w:cs="Times New Roman"/>
        </w:rPr>
        <w:t>opex</w:t>
      </w:r>
      <w:proofErr w:type="spellEnd"/>
      <w:r>
        <w:rPr>
          <w:rFonts w:ascii="Times New Roman" w:hAnsi="Times New Roman" w:cs="Times New Roman"/>
        </w:rPr>
        <w:t xml:space="preserve"> –</w:t>
      </w:r>
      <w:r w:rsidRPr="00921CE6">
        <w:rPr>
          <w:rFonts w:ascii="Times New Roman" w:hAnsi="Times New Roman" w:cs="Times New Roman"/>
        </w:rPr>
        <w:t xml:space="preserve"> </w:t>
      </w:r>
      <w:r>
        <w:rPr>
          <w:rFonts w:ascii="Times New Roman" w:hAnsi="Times New Roman" w:cs="Times New Roman"/>
        </w:rPr>
        <w:t xml:space="preserve">Reflecting the operational expenditure necessary to be spent on mobile infrastructure (e.g., power, </w:t>
      </w:r>
      <w:proofErr w:type="gramStart"/>
      <w:r>
        <w:rPr>
          <w:rFonts w:ascii="Times New Roman" w:hAnsi="Times New Roman" w:cs="Times New Roman"/>
        </w:rPr>
        <w:t>operation</w:t>
      </w:r>
      <w:proofErr w:type="gramEnd"/>
      <w:r>
        <w:rPr>
          <w:rFonts w:ascii="Times New Roman" w:hAnsi="Times New Roman" w:cs="Times New Roman"/>
        </w:rPr>
        <w:t xml:space="preserve"> and maintenance etc.).</w:t>
      </w:r>
    </w:p>
    <w:p w14:paraId="1A1F04F0" w14:textId="21006846" w:rsidR="00921CE6" w:rsidRDefault="00921CE6" w:rsidP="00921CE6">
      <w:pPr>
        <w:pStyle w:val="ListParagraph"/>
        <w:numPr>
          <w:ilvl w:val="0"/>
          <w:numId w:val="7"/>
        </w:numPr>
        <w:jc w:val="both"/>
        <w:rPr>
          <w:rFonts w:ascii="Times New Roman" w:hAnsi="Times New Roman" w:cs="Times New Roman"/>
        </w:rPr>
      </w:pPr>
      <w:r>
        <w:rPr>
          <w:rFonts w:ascii="Times New Roman" w:hAnsi="Times New Roman" w:cs="Times New Roman"/>
        </w:rPr>
        <w:t xml:space="preserve">Remote coverage – Reflecting the cost of providing satellite broadband in remote areas. </w:t>
      </w:r>
    </w:p>
    <w:p w14:paraId="1E5353CD" w14:textId="749D3A98" w:rsidR="00921CE6" w:rsidRDefault="00921CE6" w:rsidP="00921CE6">
      <w:pPr>
        <w:pStyle w:val="ListParagraph"/>
        <w:numPr>
          <w:ilvl w:val="0"/>
          <w:numId w:val="7"/>
        </w:numPr>
        <w:jc w:val="both"/>
        <w:rPr>
          <w:rFonts w:ascii="Times New Roman" w:hAnsi="Times New Roman" w:cs="Times New Roman"/>
        </w:rPr>
      </w:pPr>
      <w:r>
        <w:rPr>
          <w:rFonts w:ascii="Times New Roman" w:hAnsi="Times New Roman" w:cs="Times New Roman"/>
        </w:rPr>
        <w:t xml:space="preserve">Policy and regulation – Reflecting the necessary investment per user to ensure effective policy and regulation. </w:t>
      </w:r>
    </w:p>
    <w:p w14:paraId="5F3FDD11" w14:textId="087B5DD7" w:rsidR="00855071" w:rsidRDefault="00921CE6" w:rsidP="00481A46">
      <w:pPr>
        <w:pStyle w:val="ListParagraph"/>
        <w:numPr>
          <w:ilvl w:val="0"/>
          <w:numId w:val="7"/>
        </w:numPr>
        <w:jc w:val="both"/>
        <w:rPr>
          <w:rFonts w:ascii="Times New Roman" w:hAnsi="Times New Roman" w:cs="Times New Roman"/>
        </w:rPr>
      </w:pPr>
      <w:r>
        <w:rPr>
          <w:rFonts w:ascii="Times New Roman" w:hAnsi="Times New Roman" w:cs="Times New Roman"/>
        </w:rPr>
        <w:t xml:space="preserve">ICT skills/content - Reflecting the necessary investment per user to ensure users have sufficient skills to utilize connectivity services, and that there is useful content available in local languages. </w:t>
      </w:r>
    </w:p>
    <w:p w14:paraId="7FCBA8E4" w14:textId="77777777" w:rsidR="00481A46" w:rsidRPr="00481A46" w:rsidRDefault="00481A46" w:rsidP="00C21634">
      <w:pPr>
        <w:pStyle w:val="ListParagraph"/>
        <w:jc w:val="both"/>
        <w:rPr>
          <w:rFonts w:ascii="Times New Roman" w:hAnsi="Times New Roman" w:cs="Times New Roman"/>
        </w:rPr>
      </w:pPr>
    </w:p>
    <w:p w14:paraId="64BEB0C7" w14:textId="33DCC15D" w:rsidR="00C83746" w:rsidRPr="00453CA0" w:rsidRDefault="00855071" w:rsidP="00C21634">
      <w:pPr>
        <w:pStyle w:val="ListParagraph"/>
        <w:numPr>
          <w:ilvl w:val="1"/>
          <w:numId w:val="15"/>
        </w:numPr>
        <w:jc w:val="both"/>
        <w:rPr>
          <w:rFonts w:ascii="Times New Roman" w:hAnsi="Times New Roman" w:cs="Times New Roman"/>
          <w:u w:val="single"/>
        </w:rPr>
      </w:pPr>
      <w:r>
        <w:rPr>
          <w:rFonts w:ascii="Times New Roman" w:hAnsi="Times New Roman" w:cs="Times New Roman"/>
          <w:u w:val="single"/>
        </w:rPr>
        <w:t xml:space="preserve">Cost Per </w:t>
      </w:r>
      <w:r w:rsidR="00C83746" w:rsidRPr="00453CA0">
        <w:rPr>
          <w:rFonts w:ascii="Times New Roman" w:hAnsi="Times New Roman" w:cs="Times New Roman"/>
          <w:u w:val="single"/>
        </w:rPr>
        <w:t>Country</w:t>
      </w:r>
    </w:p>
    <w:p w14:paraId="45380C75" w14:textId="28FFA426" w:rsidR="00CF24E4" w:rsidRPr="00453CA0" w:rsidRDefault="00855071" w:rsidP="00C21634">
      <w:pPr>
        <w:jc w:val="both"/>
      </w:pPr>
      <w:r w:rsidRPr="003A6B17">
        <w:rPr>
          <w:rFonts w:ascii="Times New Roman" w:hAnsi="Times New Roman" w:cs="Times New Roman"/>
        </w:rPr>
        <w:t>The “</w:t>
      </w:r>
      <w:proofErr w:type="spellStart"/>
      <w:r w:rsidRPr="003A6B17">
        <w:rPr>
          <w:rFonts w:ascii="Times New Roman" w:hAnsi="Times New Roman" w:cs="Times New Roman"/>
        </w:rPr>
        <w:t>Cost_Per_User_Per_Country</w:t>
      </w:r>
      <w:proofErr w:type="spellEnd"/>
      <w:r w:rsidRPr="003A6B17">
        <w:rPr>
          <w:rFonts w:ascii="Times New Roman" w:hAnsi="Times New Roman" w:cs="Times New Roman"/>
        </w:rPr>
        <w:t xml:space="preserve">” tab reports the </w:t>
      </w:r>
      <w:r>
        <w:rPr>
          <w:rFonts w:ascii="Times New Roman" w:hAnsi="Times New Roman" w:cs="Times New Roman"/>
        </w:rPr>
        <w:t xml:space="preserve">total </w:t>
      </w:r>
      <w:r w:rsidRPr="003A6B17">
        <w:rPr>
          <w:rFonts w:ascii="Times New Roman" w:hAnsi="Times New Roman" w:cs="Times New Roman"/>
        </w:rPr>
        <w:t>cost estimate for each selected country</w:t>
      </w:r>
      <w:r>
        <w:rPr>
          <w:rFonts w:ascii="Times New Roman" w:hAnsi="Times New Roman" w:cs="Times New Roman"/>
        </w:rPr>
        <w:t>,</w:t>
      </w:r>
      <w:r w:rsidRPr="003A6B17">
        <w:rPr>
          <w:rFonts w:ascii="Times New Roman" w:hAnsi="Times New Roman" w:cs="Times New Roman"/>
        </w:rPr>
        <w:t xml:space="preserve"> broken down by </w:t>
      </w:r>
      <w:r>
        <w:rPr>
          <w:rFonts w:ascii="Times New Roman" w:hAnsi="Times New Roman" w:cs="Times New Roman"/>
        </w:rPr>
        <w:t xml:space="preserve">the </w:t>
      </w:r>
      <w:r w:rsidRPr="003A6B17">
        <w:rPr>
          <w:rFonts w:ascii="Times New Roman" w:hAnsi="Times New Roman" w:cs="Times New Roman"/>
        </w:rPr>
        <w:t xml:space="preserve">six </w:t>
      </w:r>
      <w:r>
        <w:rPr>
          <w:rFonts w:ascii="Times New Roman" w:hAnsi="Times New Roman" w:cs="Times New Roman"/>
        </w:rPr>
        <w:t xml:space="preserve">major </w:t>
      </w:r>
      <w:r w:rsidRPr="003A6B17">
        <w:rPr>
          <w:rFonts w:ascii="Times New Roman" w:hAnsi="Times New Roman" w:cs="Times New Roman"/>
        </w:rPr>
        <w:t>cost segments</w:t>
      </w:r>
      <w:r w:rsidRPr="003A6B17" w:rsidDel="00855071">
        <w:rPr>
          <w:rFonts w:ascii="Times New Roman" w:hAnsi="Times New Roman" w:cs="Times New Roman"/>
        </w:rPr>
        <w:t xml:space="preserve"> </w:t>
      </w:r>
      <w:r>
        <w:rPr>
          <w:rFonts w:ascii="Times New Roman" w:hAnsi="Times New Roman" w:cs="Times New Roman"/>
        </w:rPr>
        <w:t xml:space="preserve">highlighted in the cost per user per country section. </w:t>
      </w:r>
    </w:p>
    <w:p w14:paraId="27B7F951" w14:textId="37693FE3" w:rsidR="00C83746" w:rsidRPr="00453CA0" w:rsidRDefault="00855071" w:rsidP="00C21634">
      <w:pPr>
        <w:pStyle w:val="ListParagraph"/>
        <w:numPr>
          <w:ilvl w:val="1"/>
          <w:numId w:val="15"/>
        </w:numPr>
        <w:jc w:val="both"/>
        <w:rPr>
          <w:rFonts w:ascii="Times New Roman" w:hAnsi="Times New Roman" w:cs="Times New Roman"/>
          <w:u w:val="single"/>
        </w:rPr>
      </w:pPr>
      <w:r>
        <w:rPr>
          <w:rFonts w:ascii="Times New Roman" w:hAnsi="Times New Roman" w:cs="Times New Roman"/>
          <w:u w:val="single"/>
        </w:rPr>
        <w:t xml:space="preserve">Cost by IMF </w:t>
      </w:r>
      <w:r w:rsidR="00C83746" w:rsidRPr="00453CA0">
        <w:rPr>
          <w:rFonts w:ascii="Times New Roman" w:hAnsi="Times New Roman" w:cs="Times New Roman"/>
          <w:u w:val="single"/>
        </w:rPr>
        <w:t xml:space="preserve">Income Group </w:t>
      </w:r>
    </w:p>
    <w:p w14:paraId="501AEB50" w14:textId="76FB2C71" w:rsidR="00855071" w:rsidRDefault="00D23EDA" w:rsidP="00C21634">
      <w:pPr>
        <w:jc w:val="both"/>
        <w:rPr>
          <w:rFonts w:ascii="Times New Roman" w:hAnsi="Times New Roman" w:cs="Times New Roman"/>
        </w:rPr>
      </w:pPr>
      <w:r w:rsidRPr="00453CA0">
        <w:rPr>
          <w:rFonts w:ascii="Times New Roman" w:hAnsi="Times New Roman" w:cs="Times New Roman"/>
        </w:rPr>
        <w:t>The “</w:t>
      </w:r>
      <w:proofErr w:type="spellStart"/>
      <w:r w:rsidR="00855071" w:rsidRPr="00855071">
        <w:rPr>
          <w:rFonts w:ascii="Times New Roman" w:hAnsi="Times New Roman" w:cs="Times New Roman"/>
        </w:rPr>
        <w:t>Cost_by_IMF_Income_Group</w:t>
      </w:r>
      <w:proofErr w:type="spellEnd"/>
      <w:r w:rsidRPr="00453CA0">
        <w:rPr>
          <w:rFonts w:ascii="Times New Roman" w:hAnsi="Times New Roman" w:cs="Times New Roman"/>
        </w:rPr>
        <w:t xml:space="preserve">” tab </w:t>
      </w:r>
      <w:r w:rsidR="00855071" w:rsidRPr="009A5010">
        <w:rPr>
          <w:rFonts w:ascii="Times New Roman" w:hAnsi="Times New Roman" w:cs="Times New Roman"/>
        </w:rPr>
        <w:t xml:space="preserve">reports the </w:t>
      </w:r>
      <w:r w:rsidR="00855071">
        <w:rPr>
          <w:rFonts w:ascii="Times New Roman" w:hAnsi="Times New Roman" w:cs="Times New Roman"/>
        </w:rPr>
        <w:t xml:space="preserve">total </w:t>
      </w:r>
      <w:r w:rsidR="00855071" w:rsidRPr="009A5010">
        <w:rPr>
          <w:rFonts w:ascii="Times New Roman" w:hAnsi="Times New Roman" w:cs="Times New Roman"/>
        </w:rPr>
        <w:t xml:space="preserve">cost estimate for </w:t>
      </w:r>
      <w:r w:rsidR="00855071">
        <w:rPr>
          <w:rFonts w:ascii="Times New Roman" w:hAnsi="Times New Roman" w:cs="Times New Roman"/>
        </w:rPr>
        <w:t>IMF income groups,</w:t>
      </w:r>
      <w:r w:rsidR="00855071" w:rsidRPr="009A5010">
        <w:rPr>
          <w:rFonts w:ascii="Times New Roman" w:hAnsi="Times New Roman" w:cs="Times New Roman"/>
        </w:rPr>
        <w:t xml:space="preserve"> broken down by </w:t>
      </w:r>
      <w:r w:rsidR="00855071">
        <w:rPr>
          <w:rFonts w:ascii="Times New Roman" w:hAnsi="Times New Roman" w:cs="Times New Roman"/>
        </w:rPr>
        <w:t xml:space="preserve">the </w:t>
      </w:r>
      <w:r w:rsidR="00855071" w:rsidRPr="009A5010">
        <w:rPr>
          <w:rFonts w:ascii="Times New Roman" w:hAnsi="Times New Roman" w:cs="Times New Roman"/>
        </w:rPr>
        <w:t xml:space="preserve">six </w:t>
      </w:r>
      <w:r w:rsidR="00855071">
        <w:rPr>
          <w:rFonts w:ascii="Times New Roman" w:hAnsi="Times New Roman" w:cs="Times New Roman"/>
        </w:rPr>
        <w:t xml:space="preserve">major </w:t>
      </w:r>
      <w:r w:rsidR="00855071" w:rsidRPr="009A5010">
        <w:rPr>
          <w:rFonts w:ascii="Times New Roman" w:hAnsi="Times New Roman" w:cs="Times New Roman"/>
        </w:rPr>
        <w:t>cost segments</w:t>
      </w:r>
      <w:r w:rsidR="00855071" w:rsidRPr="009A5010" w:rsidDel="00855071">
        <w:rPr>
          <w:rFonts w:ascii="Times New Roman" w:hAnsi="Times New Roman" w:cs="Times New Roman"/>
        </w:rPr>
        <w:t xml:space="preserve"> </w:t>
      </w:r>
      <w:r w:rsidR="00855071">
        <w:rPr>
          <w:rFonts w:ascii="Times New Roman" w:hAnsi="Times New Roman" w:cs="Times New Roman"/>
        </w:rPr>
        <w:t xml:space="preserve">highlighted in the cost per user per country section. </w:t>
      </w:r>
    </w:p>
    <w:p w14:paraId="7E83652B" w14:textId="5297869E" w:rsidR="00855071" w:rsidRPr="00453CA0" w:rsidRDefault="00855071" w:rsidP="00C21634">
      <w:pPr>
        <w:pStyle w:val="ListParagraph"/>
        <w:numPr>
          <w:ilvl w:val="1"/>
          <w:numId w:val="15"/>
        </w:numPr>
        <w:jc w:val="both"/>
        <w:rPr>
          <w:rFonts w:ascii="Times New Roman" w:hAnsi="Times New Roman" w:cs="Times New Roman"/>
          <w:u w:val="single"/>
        </w:rPr>
      </w:pPr>
      <w:r>
        <w:rPr>
          <w:rFonts w:ascii="Times New Roman" w:hAnsi="Times New Roman" w:cs="Times New Roman"/>
          <w:u w:val="single"/>
        </w:rPr>
        <w:t>Cost by IMF Regions</w:t>
      </w:r>
      <w:r w:rsidRPr="00453CA0">
        <w:rPr>
          <w:rFonts w:ascii="Times New Roman" w:hAnsi="Times New Roman" w:cs="Times New Roman"/>
          <w:u w:val="single"/>
        </w:rPr>
        <w:t xml:space="preserve"> </w:t>
      </w:r>
    </w:p>
    <w:p w14:paraId="11CD2021" w14:textId="67200FBC" w:rsidR="00855071" w:rsidRPr="00453CA0" w:rsidRDefault="00855071" w:rsidP="00C21634">
      <w:pPr>
        <w:jc w:val="both"/>
      </w:pPr>
      <w:r w:rsidRPr="00453CA0">
        <w:rPr>
          <w:rFonts w:ascii="Times New Roman" w:hAnsi="Times New Roman" w:cs="Times New Roman"/>
        </w:rPr>
        <w:lastRenderedPageBreak/>
        <w:t>The “</w:t>
      </w:r>
      <w:proofErr w:type="spellStart"/>
      <w:r w:rsidRPr="00855071">
        <w:rPr>
          <w:rFonts w:ascii="Times New Roman" w:hAnsi="Times New Roman" w:cs="Times New Roman"/>
        </w:rPr>
        <w:t>Cost_by_IMF_Regions</w:t>
      </w:r>
      <w:proofErr w:type="spellEnd"/>
      <w:r w:rsidRPr="00453CA0">
        <w:rPr>
          <w:rFonts w:ascii="Times New Roman" w:hAnsi="Times New Roman" w:cs="Times New Roman"/>
        </w:rPr>
        <w:t xml:space="preserve">” tab </w:t>
      </w:r>
      <w:r w:rsidRPr="009A5010">
        <w:rPr>
          <w:rFonts w:ascii="Times New Roman" w:hAnsi="Times New Roman" w:cs="Times New Roman"/>
        </w:rPr>
        <w:t xml:space="preserve">reports the </w:t>
      </w:r>
      <w:r>
        <w:rPr>
          <w:rFonts w:ascii="Times New Roman" w:hAnsi="Times New Roman" w:cs="Times New Roman"/>
        </w:rPr>
        <w:t xml:space="preserve">total </w:t>
      </w:r>
      <w:r w:rsidRPr="009A5010">
        <w:rPr>
          <w:rFonts w:ascii="Times New Roman" w:hAnsi="Times New Roman" w:cs="Times New Roman"/>
        </w:rPr>
        <w:t xml:space="preserve">cost estimate for </w:t>
      </w:r>
      <w:r>
        <w:rPr>
          <w:rFonts w:ascii="Times New Roman" w:hAnsi="Times New Roman" w:cs="Times New Roman"/>
        </w:rPr>
        <w:t>all IMF regions,</w:t>
      </w:r>
      <w:r w:rsidRPr="009A5010">
        <w:rPr>
          <w:rFonts w:ascii="Times New Roman" w:hAnsi="Times New Roman" w:cs="Times New Roman"/>
        </w:rPr>
        <w:t xml:space="preserve"> </w:t>
      </w:r>
      <w:r>
        <w:rPr>
          <w:rFonts w:ascii="Times New Roman" w:hAnsi="Times New Roman" w:cs="Times New Roman"/>
        </w:rPr>
        <w:t xml:space="preserve">broken </w:t>
      </w:r>
      <w:r w:rsidRPr="009A5010">
        <w:rPr>
          <w:rFonts w:ascii="Times New Roman" w:hAnsi="Times New Roman" w:cs="Times New Roman"/>
        </w:rPr>
        <w:t xml:space="preserve">down by </w:t>
      </w:r>
      <w:r>
        <w:rPr>
          <w:rFonts w:ascii="Times New Roman" w:hAnsi="Times New Roman" w:cs="Times New Roman"/>
        </w:rPr>
        <w:t xml:space="preserve">the </w:t>
      </w:r>
      <w:r w:rsidRPr="009A5010">
        <w:rPr>
          <w:rFonts w:ascii="Times New Roman" w:hAnsi="Times New Roman" w:cs="Times New Roman"/>
        </w:rPr>
        <w:t xml:space="preserve">six </w:t>
      </w:r>
      <w:r>
        <w:rPr>
          <w:rFonts w:ascii="Times New Roman" w:hAnsi="Times New Roman" w:cs="Times New Roman"/>
        </w:rPr>
        <w:t xml:space="preserve">major </w:t>
      </w:r>
      <w:r w:rsidRPr="009A5010">
        <w:rPr>
          <w:rFonts w:ascii="Times New Roman" w:hAnsi="Times New Roman" w:cs="Times New Roman"/>
        </w:rPr>
        <w:t>cost segments</w:t>
      </w:r>
      <w:r w:rsidRPr="009A5010" w:rsidDel="00855071">
        <w:rPr>
          <w:rFonts w:ascii="Times New Roman" w:hAnsi="Times New Roman" w:cs="Times New Roman"/>
        </w:rPr>
        <w:t xml:space="preserve"> </w:t>
      </w:r>
      <w:r>
        <w:rPr>
          <w:rFonts w:ascii="Times New Roman" w:hAnsi="Times New Roman" w:cs="Times New Roman"/>
        </w:rPr>
        <w:t xml:space="preserve">highlighted in the cost per user per country section. </w:t>
      </w:r>
    </w:p>
    <w:p w14:paraId="727C6313" w14:textId="3B9174A7" w:rsidR="00855071" w:rsidRPr="00453CA0" w:rsidRDefault="00855071" w:rsidP="00C21634">
      <w:pPr>
        <w:pStyle w:val="ListParagraph"/>
        <w:numPr>
          <w:ilvl w:val="1"/>
          <w:numId w:val="15"/>
        </w:numPr>
        <w:jc w:val="both"/>
        <w:rPr>
          <w:rFonts w:ascii="Times New Roman" w:hAnsi="Times New Roman" w:cs="Times New Roman"/>
          <w:u w:val="single"/>
        </w:rPr>
      </w:pPr>
      <w:r>
        <w:rPr>
          <w:rFonts w:ascii="Times New Roman" w:hAnsi="Times New Roman" w:cs="Times New Roman"/>
          <w:u w:val="single"/>
        </w:rPr>
        <w:t>Validation</w:t>
      </w:r>
    </w:p>
    <w:p w14:paraId="28F1C192" w14:textId="2BB50508" w:rsidR="00855071" w:rsidRPr="00453CA0" w:rsidRDefault="00855071" w:rsidP="00C21634">
      <w:pPr>
        <w:jc w:val="both"/>
      </w:pPr>
      <w:r w:rsidRPr="00453CA0">
        <w:rPr>
          <w:rFonts w:ascii="Times New Roman" w:hAnsi="Times New Roman" w:cs="Times New Roman"/>
        </w:rPr>
        <w:t>The “</w:t>
      </w:r>
      <w:r>
        <w:rPr>
          <w:rFonts w:ascii="Times New Roman" w:hAnsi="Times New Roman" w:cs="Times New Roman"/>
        </w:rPr>
        <w:t>Validation</w:t>
      </w:r>
      <w:r w:rsidRPr="00453CA0">
        <w:rPr>
          <w:rFonts w:ascii="Times New Roman" w:hAnsi="Times New Roman" w:cs="Times New Roman"/>
        </w:rPr>
        <w:t xml:space="preserve">” tab </w:t>
      </w:r>
      <w:r w:rsidRPr="009A5010">
        <w:rPr>
          <w:rFonts w:ascii="Times New Roman" w:hAnsi="Times New Roman" w:cs="Times New Roman"/>
        </w:rPr>
        <w:t xml:space="preserve">reports the </w:t>
      </w:r>
      <w:r>
        <w:rPr>
          <w:rFonts w:ascii="Times New Roman" w:hAnsi="Times New Roman" w:cs="Times New Roman"/>
        </w:rPr>
        <w:t xml:space="preserve">total </w:t>
      </w:r>
      <w:r w:rsidRPr="009A5010">
        <w:rPr>
          <w:rFonts w:ascii="Times New Roman" w:hAnsi="Times New Roman" w:cs="Times New Roman"/>
        </w:rPr>
        <w:t>estimate</w:t>
      </w:r>
      <w:r>
        <w:rPr>
          <w:rFonts w:ascii="Times New Roman" w:hAnsi="Times New Roman" w:cs="Times New Roman"/>
        </w:rPr>
        <w:t xml:space="preserve">d investment by cost segment, International Telecommunication Union regions, and World Bank income groups, </w:t>
      </w:r>
      <w:r w:rsidR="00C21634">
        <w:rPr>
          <w:rFonts w:ascii="Times New Roman" w:hAnsi="Times New Roman" w:cs="Times New Roman"/>
        </w:rPr>
        <w:t>to</w:t>
      </w:r>
      <w:r>
        <w:rPr>
          <w:rFonts w:ascii="Times New Roman" w:hAnsi="Times New Roman" w:cs="Times New Roman"/>
        </w:rPr>
        <w:t xml:space="preserve"> provide a comparison to the ITU Connecting Humanity study. </w:t>
      </w:r>
    </w:p>
    <w:p w14:paraId="1FD90C8B" w14:textId="3E490F71" w:rsidR="008459B8" w:rsidRPr="00453CA0" w:rsidRDefault="008459B8" w:rsidP="00C21634">
      <w:pPr>
        <w:jc w:val="both"/>
        <w:rPr>
          <w:rFonts w:ascii="Times New Roman" w:hAnsi="Times New Roman" w:cs="Times New Roman"/>
        </w:rPr>
      </w:pPr>
    </w:p>
    <w:bookmarkEnd w:id="0"/>
    <w:p w14:paraId="4B88102A" w14:textId="77777777" w:rsidR="008459B8" w:rsidRPr="00453CA0" w:rsidRDefault="008459B8" w:rsidP="0027194D">
      <w:pPr>
        <w:jc w:val="both"/>
        <w:rPr>
          <w:rFonts w:ascii="Times New Roman" w:hAnsi="Times New Roman" w:cs="Times New Roman"/>
        </w:rPr>
      </w:pPr>
    </w:p>
    <w:sectPr w:rsidR="008459B8" w:rsidRPr="00453CA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43A6" w14:textId="77777777" w:rsidR="00C362D3" w:rsidRDefault="00C362D3" w:rsidP="00A43DD1">
      <w:pPr>
        <w:spacing w:after="0" w:line="240" w:lineRule="auto"/>
      </w:pPr>
      <w:r>
        <w:separator/>
      </w:r>
    </w:p>
  </w:endnote>
  <w:endnote w:type="continuationSeparator" w:id="0">
    <w:p w14:paraId="20318A1E" w14:textId="77777777" w:rsidR="00C362D3" w:rsidRDefault="00C362D3" w:rsidP="00A4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379676847"/>
      <w:docPartObj>
        <w:docPartGallery w:val="Page Numbers (Bottom of Page)"/>
        <w:docPartUnique/>
      </w:docPartObj>
    </w:sdtPr>
    <w:sdtEndPr>
      <w:rPr>
        <w:noProof/>
      </w:rPr>
    </w:sdtEndPr>
    <w:sdtContent>
      <w:p w14:paraId="3253AB75" w14:textId="19F6A6DE" w:rsidR="00BA020D" w:rsidRPr="00BA020D" w:rsidRDefault="00BA020D">
        <w:pPr>
          <w:pStyle w:val="Footer"/>
          <w:jc w:val="center"/>
          <w:rPr>
            <w:rFonts w:ascii="Times New Roman" w:hAnsi="Times New Roman" w:cs="Times New Roman"/>
            <w:sz w:val="18"/>
            <w:szCs w:val="18"/>
          </w:rPr>
        </w:pPr>
        <w:r w:rsidRPr="00BA020D">
          <w:rPr>
            <w:rFonts w:ascii="Times New Roman" w:hAnsi="Times New Roman" w:cs="Times New Roman"/>
            <w:sz w:val="18"/>
            <w:szCs w:val="18"/>
          </w:rPr>
          <w:fldChar w:fldCharType="begin"/>
        </w:r>
        <w:r w:rsidRPr="00BA020D">
          <w:rPr>
            <w:rFonts w:ascii="Times New Roman" w:hAnsi="Times New Roman" w:cs="Times New Roman"/>
            <w:sz w:val="18"/>
            <w:szCs w:val="18"/>
          </w:rPr>
          <w:instrText xml:space="preserve"> PAGE   \* MERGEFORMAT </w:instrText>
        </w:r>
        <w:r w:rsidRPr="00BA020D">
          <w:rPr>
            <w:rFonts w:ascii="Times New Roman" w:hAnsi="Times New Roman" w:cs="Times New Roman"/>
            <w:sz w:val="18"/>
            <w:szCs w:val="18"/>
          </w:rPr>
          <w:fldChar w:fldCharType="separate"/>
        </w:r>
        <w:r w:rsidRPr="00BA020D">
          <w:rPr>
            <w:rFonts w:ascii="Times New Roman" w:hAnsi="Times New Roman" w:cs="Times New Roman"/>
            <w:noProof/>
            <w:sz w:val="18"/>
            <w:szCs w:val="18"/>
          </w:rPr>
          <w:t>2</w:t>
        </w:r>
        <w:r w:rsidRPr="00BA020D">
          <w:rPr>
            <w:rFonts w:ascii="Times New Roman" w:hAnsi="Times New Roman" w:cs="Times New Roman"/>
            <w:noProof/>
            <w:sz w:val="18"/>
            <w:szCs w:val="18"/>
          </w:rPr>
          <w:fldChar w:fldCharType="end"/>
        </w:r>
      </w:p>
    </w:sdtContent>
  </w:sdt>
  <w:p w14:paraId="7EA4BE87" w14:textId="77777777" w:rsidR="00BA020D" w:rsidRPr="00BA020D" w:rsidRDefault="00BA020D">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F6B1" w14:textId="77777777" w:rsidR="00C362D3" w:rsidRDefault="00C362D3" w:rsidP="00A43DD1">
      <w:pPr>
        <w:spacing w:after="0" w:line="240" w:lineRule="auto"/>
      </w:pPr>
      <w:r>
        <w:separator/>
      </w:r>
    </w:p>
  </w:footnote>
  <w:footnote w:type="continuationSeparator" w:id="0">
    <w:p w14:paraId="5ADA04B6" w14:textId="77777777" w:rsidR="00C362D3" w:rsidRDefault="00C362D3" w:rsidP="00A43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4099" w14:textId="008965DF" w:rsidR="00A43DD1" w:rsidRPr="0027194D" w:rsidRDefault="0027194D" w:rsidP="00A43DD1">
    <w:pPr>
      <w:pStyle w:val="Header"/>
      <w:jc w:val="right"/>
      <w:rPr>
        <w:rFonts w:ascii="Times New Roman" w:hAnsi="Times New Roman" w:cs="Times New Roman"/>
        <w:i/>
        <w:iCs/>
        <w:sz w:val="16"/>
        <w:szCs w:val="16"/>
      </w:rPr>
    </w:pPr>
    <w:r w:rsidRPr="0027194D">
      <w:rPr>
        <w:rFonts w:ascii="Times New Roman" w:hAnsi="Times New Roman" w:cs="Times New Roman"/>
        <w:i/>
        <w:iCs/>
        <w:sz w:val="16"/>
        <w:szCs w:val="16"/>
      </w:rPr>
      <w:t>IMF DICE Documentation (v1.0</w:t>
    </w:r>
    <w:r>
      <w:rPr>
        <w:rFonts w:ascii="Times New Roman" w:hAnsi="Times New Roman" w:cs="Times New Roman"/>
        <w:i/>
        <w:iCs/>
        <w:sz w:val="16"/>
        <w:szCs w:val="16"/>
      </w:rPr>
      <w:t>.0</w:t>
    </w:r>
    <w:r w:rsidRPr="0027194D">
      <w:rPr>
        <w:rFonts w:ascii="Times New Roman" w:hAnsi="Times New Roman" w:cs="Times New Roman"/>
        <w:i/>
        <w:iCs/>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D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D1A09"/>
    <w:multiLevelType w:val="hybridMultilevel"/>
    <w:tmpl w:val="F99EE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365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857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05256E"/>
    <w:multiLevelType w:val="hybridMultilevel"/>
    <w:tmpl w:val="4CF0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843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D31402"/>
    <w:multiLevelType w:val="hybridMultilevel"/>
    <w:tmpl w:val="78CA5D1C"/>
    <w:lvl w:ilvl="0" w:tplc="705E5F1A">
      <w:start w:val="1"/>
      <w:numFmt w:val="bullet"/>
      <w:lvlText w:val="-"/>
      <w:lvlJc w:val="left"/>
      <w:pPr>
        <w:tabs>
          <w:tab w:val="num" w:pos="720"/>
        </w:tabs>
        <w:ind w:left="720" w:hanging="360"/>
      </w:pPr>
      <w:rPr>
        <w:rFonts w:ascii="Times New Roman" w:hAnsi="Times New Roman" w:hint="default"/>
      </w:rPr>
    </w:lvl>
    <w:lvl w:ilvl="1" w:tplc="FE8248AC" w:tentative="1">
      <w:start w:val="1"/>
      <w:numFmt w:val="bullet"/>
      <w:lvlText w:val="-"/>
      <w:lvlJc w:val="left"/>
      <w:pPr>
        <w:tabs>
          <w:tab w:val="num" w:pos="1440"/>
        </w:tabs>
        <w:ind w:left="1440" w:hanging="360"/>
      </w:pPr>
      <w:rPr>
        <w:rFonts w:ascii="Times New Roman" w:hAnsi="Times New Roman" w:hint="default"/>
      </w:rPr>
    </w:lvl>
    <w:lvl w:ilvl="2" w:tplc="7B76DE66" w:tentative="1">
      <w:start w:val="1"/>
      <w:numFmt w:val="bullet"/>
      <w:lvlText w:val="-"/>
      <w:lvlJc w:val="left"/>
      <w:pPr>
        <w:tabs>
          <w:tab w:val="num" w:pos="2160"/>
        </w:tabs>
        <w:ind w:left="2160" w:hanging="360"/>
      </w:pPr>
      <w:rPr>
        <w:rFonts w:ascii="Times New Roman" w:hAnsi="Times New Roman" w:hint="default"/>
      </w:rPr>
    </w:lvl>
    <w:lvl w:ilvl="3" w:tplc="8E4C6E40" w:tentative="1">
      <w:start w:val="1"/>
      <w:numFmt w:val="bullet"/>
      <w:lvlText w:val="-"/>
      <w:lvlJc w:val="left"/>
      <w:pPr>
        <w:tabs>
          <w:tab w:val="num" w:pos="2880"/>
        </w:tabs>
        <w:ind w:left="2880" w:hanging="360"/>
      </w:pPr>
      <w:rPr>
        <w:rFonts w:ascii="Times New Roman" w:hAnsi="Times New Roman" w:hint="default"/>
      </w:rPr>
    </w:lvl>
    <w:lvl w:ilvl="4" w:tplc="10EEFF34" w:tentative="1">
      <w:start w:val="1"/>
      <w:numFmt w:val="bullet"/>
      <w:lvlText w:val="-"/>
      <w:lvlJc w:val="left"/>
      <w:pPr>
        <w:tabs>
          <w:tab w:val="num" w:pos="3600"/>
        </w:tabs>
        <w:ind w:left="3600" w:hanging="360"/>
      </w:pPr>
      <w:rPr>
        <w:rFonts w:ascii="Times New Roman" w:hAnsi="Times New Roman" w:hint="default"/>
      </w:rPr>
    </w:lvl>
    <w:lvl w:ilvl="5" w:tplc="F73EA4D0" w:tentative="1">
      <w:start w:val="1"/>
      <w:numFmt w:val="bullet"/>
      <w:lvlText w:val="-"/>
      <w:lvlJc w:val="left"/>
      <w:pPr>
        <w:tabs>
          <w:tab w:val="num" w:pos="4320"/>
        </w:tabs>
        <w:ind w:left="4320" w:hanging="360"/>
      </w:pPr>
      <w:rPr>
        <w:rFonts w:ascii="Times New Roman" w:hAnsi="Times New Roman" w:hint="default"/>
      </w:rPr>
    </w:lvl>
    <w:lvl w:ilvl="6" w:tplc="4F1EA55C" w:tentative="1">
      <w:start w:val="1"/>
      <w:numFmt w:val="bullet"/>
      <w:lvlText w:val="-"/>
      <w:lvlJc w:val="left"/>
      <w:pPr>
        <w:tabs>
          <w:tab w:val="num" w:pos="5040"/>
        </w:tabs>
        <w:ind w:left="5040" w:hanging="360"/>
      </w:pPr>
      <w:rPr>
        <w:rFonts w:ascii="Times New Roman" w:hAnsi="Times New Roman" w:hint="default"/>
      </w:rPr>
    </w:lvl>
    <w:lvl w:ilvl="7" w:tplc="43D83054" w:tentative="1">
      <w:start w:val="1"/>
      <w:numFmt w:val="bullet"/>
      <w:lvlText w:val="-"/>
      <w:lvlJc w:val="left"/>
      <w:pPr>
        <w:tabs>
          <w:tab w:val="num" w:pos="5760"/>
        </w:tabs>
        <w:ind w:left="5760" w:hanging="360"/>
      </w:pPr>
      <w:rPr>
        <w:rFonts w:ascii="Times New Roman" w:hAnsi="Times New Roman" w:hint="default"/>
      </w:rPr>
    </w:lvl>
    <w:lvl w:ilvl="8" w:tplc="68CE2A5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F33E13"/>
    <w:multiLevelType w:val="hybridMultilevel"/>
    <w:tmpl w:val="5BE4B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C0553"/>
    <w:multiLevelType w:val="hybridMultilevel"/>
    <w:tmpl w:val="F9AE3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717B0B"/>
    <w:multiLevelType w:val="hybridMultilevel"/>
    <w:tmpl w:val="250249F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3B1A92"/>
    <w:multiLevelType w:val="hybridMultilevel"/>
    <w:tmpl w:val="EC843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9A23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9E1B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09723A"/>
    <w:multiLevelType w:val="hybridMultilevel"/>
    <w:tmpl w:val="E886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CC0630"/>
    <w:multiLevelType w:val="hybridMultilevel"/>
    <w:tmpl w:val="FC144A1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E7477DC"/>
    <w:multiLevelType w:val="hybridMultilevel"/>
    <w:tmpl w:val="11DEAE14"/>
    <w:lvl w:ilvl="0" w:tplc="AD062CA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1266029"/>
    <w:multiLevelType w:val="hybridMultilevel"/>
    <w:tmpl w:val="756875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566481"/>
    <w:multiLevelType w:val="hybridMultilevel"/>
    <w:tmpl w:val="0A4C58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D53B98"/>
    <w:multiLevelType w:val="hybridMultilevel"/>
    <w:tmpl w:val="D6B44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DA17D6"/>
    <w:multiLevelType w:val="hybridMultilevel"/>
    <w:tmpl w:val="57829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C102E1"/>
    <w:multiLevelType w:val="hybridMultilevel"/>
    <w:tmpl w:val="4754F804"/>
    <w:lvl w:ilvl="0" w:tplc="48A8A4FE">
      <w:start w:val="1"/>
      <w:numFmt w:val="bullet"/>
      <w:lvlText w:val=""/>
      <w:lvlJc w:val="left"/>
      <w:pPr>
        <w:tabs>
          <w:tab w:val="num" w:pos="720"/>
        </w:tabs>
        <w:ind w:left="720" w:hanging="360"/>
      </w:pPr>
      <w:rPr>
        <w:rFonts w:ascii="Wingdings" w:hAnsi="Wingdings" w:hint="default"/>
      </w:rPr>
    </w:lvl>
    <w:lvl w:ilvl="1" w:tplc="3B1ACF00" w:tentative="1">
      <w:start w:val="1"/>
      <w:numFmt w:val="bullet"/>
      <w:lvlText w:val=""/>
      <w:lvlJc w:val="left"/>
      <w:pPr>
        <w:tabs>
          <w:tab w:val="num" w:pos="1440"/>
        </w:tabs>
        <w:ind w:left="1440" w:hanging="360"/>
      </w:pPr>
      <w:rPr>
        <w:rFonts w:ascii="Wingdings" w:hAnsi="Wingdings" w:hint="default"/>
      </w:rPr>
    </w:lvl>
    <w:lvl w:ilvl="2" w:tplc="E7AA2862" w:tentative="1">
      <w:start w:val="1"/>
      <w:numFmt w:val="bullet"/>
      <w:lvlText w:val=""/>
      <w:lvlJc w:val="left"/>
      <w:pPr>
        <w:tabs>
          <w:tab w:val="num" w:pos="2160"/>
        </w:tabs>
        <w:ind w:left="2160" w:hanging="360"/>
      </w:pPr>
      <w:rPr>
        <w:rFonts w:ascii="Wingdings" w:hAnsi="Wingdings" w:hint="default"/>
      </w:rPr>
    </w:lvl>
    <w:lvl w:ilvl="3" w:tplc="7B84F1E2" w:tentative="1">
      <w:start w:val="1"/>
      <w:numFmt w:val="bullet"/>
      <w:lvlText w:val=""/>
      <w:lvlJc w:val="left"/>
      <w:pPr>
        <w:tabs>
          <w:tab w:val="num" w:pos="2880"/>
        </w:tabs>
        <w:ind w:left="2880" w:hanging="360"/>
      </w:pPr>
      <w:rPr>
        <w:rFonts w:ascii="Wingdings" w:hAnsi="Wingdings" w:hint="default"/>
      </w:rPr>
    </w:lvl>
    <w:lvl w:ilvl="4" w:tplc="EE48C1D4" w:tentative="1">
      <w:start w:val="1"/>
      <w:numFmt w:val="bullet"/>
      <w:lvlText w:val=""/>
      <w:lvlJc w:val="left"/>
      <w:pPr>
        <w:tabs>
          <w:tab w:val="num" w:pos="3600"/>
        </w:tabs>
        <w:ind w:left="3600" w:hanging="360"/>
      </w:pPr>
      <w:rPr>
        <w:rFonts w:ascii="Wingdings" w:hAnsi="Wingdings" w:hint="default"/>
      </w:rPr>
    </w:lvl>
    <w:lvl w:ilvl="5" w:tplc="8AAC7D34" w:tentative="1">
      <w:start w:val="1"/>
      <w:numFmt w:val="bullet"/>
      <w:lvlText w:val=""/>
      <w:lvlJc w:val="left"/>
      <w:pPr>
        <w:tabs>
          <w:tab w:val="num" w:pos="4320"/>
        </w:tabs>
        <w:ind w:left="4320" w:hanging="360"/>
      </w:pPr>
      <w:rPr>
        <w:rFonts w:ascii="Wingdings" w:hAnsi="Wingdings" w:hint="default"/>
      </w:rPr>
    </w:lvl>
    <w:lvl w:ilvl="6" w:tplc="DA6038B6" w:tentative="1">
      <w:start w:val="1"/>
      <w:numFmt w:val="bullet"/>
      <w:lvlText w:val=""/>
      <w:lvlJc w:val="left"/>
      <w:pPr>
        <w:tabs>
          <w:tab w:val="num" w:pos="5040"/>
        </w:tabs>
        <w:ind w:left="5040" w:hanging="360"/>
      </w:pPr>
      <w:rPr>
        <w:rFonts w:ascii="Wingdings" w:hAnsi="Wingdings" w:hint="default"/>
      </w:rPr>
    </w:lvl>
    <w:lvl w:ilvl="7" w:tplc="0A0CD9F2" w:tentative="1">
      <w:start w:val="1"/>
      <w:numFmt w:val="bullet"/>
      <w:lvlText w:val=""/>
      <w:lvlJc w:val="left"/>
      <w:pPr>
        <w:tabs>
          <w:tab w:val="num" w:pos="5760"/>
        </w:tabs>
        <w:ind w:left="5760" w:hanging="360"/>
      </w:pPr>
      <w:rPr>
        <w:rFonts w:ascii="Wingdings" w:hAnsi="Wingdings" w:hint="default"/>
      </w:rPr>
    </w:lvl>
    <w:lvl w:ilvl="8" w:tplc="D93EC5F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9E0CF5"/>
    <w:multiLevelType w:val="hybridMultilevel"/>
    <w:tmpl w:val="5210C034"/>
    <w:lvl w:ilvl="0" w:tplc="AD062CA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A49D3"/>
    <w:multiLevelType w:val="hybridMultilevel"/>
    <w:tmpl w:val="CA408C3A"/>
    <w:lvl w:ilvl="0" w:tplc="AD062CA6">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6393816"/>
    <w:multiLevelType w:val="hybridMultilevel"/>
    <w:tmpl w:val="80F2333A"/>
    <w:lvl w:ilvl="0" w:tplc="AD062CA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E140CBA"/>
    <w:multiLevelType w:val="hybridMultilevel"/>
    <w:tmpl w:val="97065D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0499211">
    <w:abstractNumId w:val="17"/>
  </w:num>
  <w:num w:numId="2" w16cid:durableId="593513945">
    <w:abstractNumId w:val="10"/>
  </w:num>
  <w:num w:numId="3" w16cid:durableId="1331830853">
    <w:abstractNumId w:val="8"/>
  </w:num>
  <w:num w:numId="4" w16cid:durableId="245768124">
    <w:abstractNumId w:val="4"/>
  </w:num>
  <w:num w:numId="5" w16cid:durableId="116922378">
    <w:abstractNumId w:val="19"/>
  </w:num>
  <w:num w:numId="6" w16cid:durableId="1387221289">
    <w:abstractNumId w:val="13"/>
  </w:num>
  <w:num w:numId="7" w16cid:durableId="840312275">
    <w:abstractNumId w:val="21"/>
  </w:num>
  <w:num w:numId="8" w16cid:durableId="1657494802">
    <w:abstractNumId w:val="23"/>
  </w:num>
  <w:num w:numId="9" w16cid:durableId="126901020">
    <w:abstractNumId w:val="15"/>
  </w:num>
  <w:num w:numId="10" w16cid:durableId="2012951717">
    <w:abstractNumId w:val="22"/>
  </w:num>
  <w:num w:numId="11" w16cid:durableId="658076454">
    <w:abstractNumId w:val="18"/>
  </w:num>
  <w:num w:numId="12" w16cid:durableId="552233507">
    <w:abstractNumId w:val="14"/>
  </w:num>
  <w:num w:numId="13" w16cid:durableId="926772151">
    <w:abstractNumId w:val="1"/>
  </w:num>
  <w:num w:numId="14" w16cid:durableId="1661032939">
    <w:abstractNumId w:val="16"/>
  </w:num>
  <w:num w:numId="15" w16cid:durableId="2098283529">
    <w:abstractNumId w:val="11"/>
  </w:num>
  <w:num w:numId="16" w16cid:durableId="2096201724">
    <w:abstractNumId w:val="24"/>
  </w:num>
  <w:num w:numId="17" w16cid:durableId="147593381">
    <w:abstractNumId w:val="2"/>
  </w:num>
  <w:num w:numId="18" w16cid:durableId="1802191663">
    <w:abstractNumId w:val="7"/>
  </w:num>
  <w:num w:numId="19" w16cid:durableId="623275058">
    <w:abstractNumId w:val="9"/>
  </w:num>
  <w:num w:numId="20" w16cid:durableId="562713527">
    <w:abstractNumId w:val="0"/>
  </w:num>
  <w:num w:numId="21" w16cid:durableId="1885560928">
    <w:abstractNumId w:val="12"/>
  </w:num>
  <w:num w:numId="22" w16cid:durableId="1224563583">
    <w:abstractNumId w:val="20"/>
  </w:num>
  <w:num w:numId="23" w16cid:durableId="605501238">
    <w:abstractNumId w:val="6"/>
  </w:num>
  <w:num w:numId="24" w16cid:durableId="1277904575">
    <w:abstractNumId w:val="3"/>
  </w:num>
  <w:num w:numId="25" w16cid:durableId="161360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95"/>
    <w:rsid w:val="00003F93"/>
    <w:rsid w:val="0000769B"/>
    <w:rsid w:val="00032FCD"/>
    <w:rsid w:val="000410B1"/>
    <w:rsid w:val="00055F9C"/>
    <w:rsid w:val="00066F8E"/>
    <w:rsid w:val="0007564D"/>
    <w:rsid w:val="00095730"/>
    <w:rsid w:val="000B5C94"/>
    <w:rsid w:val="000B6384"/>
    <w:rsid w:val="000B6CAA"/>
    <w:rsid w:val="000E06BD"/>
    <w:rsid w:val="000E280A"/>
    <w:rsid w:val="000E4190"/>
    <w:rsid w:val="000F7825"/>
    <w:rsid w:val="00115C15"/>
    <w:rsid w:val="00117046"/>
    <w:rsid w:val="00121686"/>
    <w:rsid w:val="00155AFE"/>
    <w:rsid w:val="00157CA6"/>
    <w:rsid w:val="00163DE7"/>
    <w:rsid w:val="00187F72"/>
    <w:rsid w:val="00190B14"/>
    <w:rsid w:val="001956F2"/>
    <w:rsid w:val="001A3A6F"/>
    <w:rsid w:val="001C13A7"/>
    <w:rsid w:val="001E7DC1"/>
    <w:rsid w:val="00216245"/>
    <w:rsid w:val="002270AB"/>
    <w:rsid w:val="0023088E"/>
    <w:rsid w:val="002315CE"/>
    <w:rsid w:val="0023203B"/>
    <w:rsid w:val="00240320"/>
    <w:rsid w:val="00244A24"/>
    <w:rsid w:val="00265084"/>
    <w:rsid w:val="002677C1"/>
    <w:rsid w:val="0027194D"/>
    <w:rsid w:val="002911C2"/>
    <w:rsid w:val="00293BD8"/>
    <w:rsid w:val="002A055C"/>
    <w:rsid w:val="002B1D69"/>
    <w:rsid w:val="002D4571"/>
    <w:rsid w:val="002D6DA8"/>
    <w:rsid w:val="002E2CC1"/>
    <w:rsid w:val="00304E17"/>
    <w:rsid w:val="0031024F"/>
    <w:rsid w:val="0034672B"/>
    <w:rsid w:val="003469C3"/>
    <w:rsid w:val="0036739B"/>
    <w:rsid w:val="00377C32"/>
    <w:rsid w:val="0038308B"/>
    <w:rsid w:val="00387F55"/>
    <w:rsid w:val="00390230"/>
    <w:rsid w:val="003A4E43"/>
    <w:rsid w:val="003A6B17"/>
    <w:rsid w:val="003A7C40"/>
    <w:rsid w:val="003B6682"/>
    <w:rsid w:val="003C4A3F"/>
    <w:rsid w:val="003D03DD"/>
    <w:rsid w:val="003E1489"/>
    <w:rsid w:val="003F4C6A"/>
    <w:rsid w:val="003F6A22"/>
    <w:rsid w:val="00400905"/>
    <w:rsid w:val="00412810"/>
    <w:rsid w:val="0042139A"/>
    <w:rsid w:val="00440D37"/>
    <w:rsid w:val="00445D33"/>
    <w:rsid w:val="00450340"/>
    <w:rsid w:val="00453CA0"/>
    <w:rsid w:val="004562A1"/>
    <w:rsid w:val="00465367"/>
    <w:rsid w:val="00465F96"/>
    <w:rsid w:val="00472FB8"/>
    <w:rsid w:val="00480A56"/>
    <w:rsid w:val="00481A46"/>
    <w:rsid w:val="00496CD3"/>
    <w:rsid w:val="004A0E8E"/>
    <w:rsid w:val="004A53B7"/>
    <w:rsid w:val="004B6286"/>
    <w:rsid w:val="004F1C33"/>
    <w:rsid w:val="00502BBE"/>
    <w:rsid w:val="00520060"/>
    <w:rsid w:val="005277BD"/>
    <w:rsid w:val="0055759F"/>
    <w:rsid w:val="00595609"/>
    <w:rsid w:val="005B1764"/>
    <w:rsid w:val="005D3242"/>
    <w:rsid w:val="00631F23"/>
    <w:rsid w:val="006325B1"/>
    <w:rsid w:val="006351A1"/>
    <w:rsid w:val="006415BF"/>
    <w:rsid w:val="00651611"/>
    <w:rsid w:val="006521E6"/>
    <w:rsid w:val="00663A89"/>
    <w:rsid w:val="00674002"/>
    <w:rsid w:val="00694B54"/>
    <w:rsid w:val="00694EFC"/>
    <w:rsid w:val="00697D68"/>
    <w:rsid w:val="006B023E"/>
    <w:rsid w:val="006B08A5"/>
    <w:rsid w:val="006E0D03"/>
    <w:rsid w:val="0071005E"/>
    <w:rsid w:val="00715124"/>
    <w:rsid w:val="007220AB"/>
    <w:rsid w:val="00722EC9"/>
    <w:rsid w:val="0073552E"/>
    <w:rsid w:val="00737DA9"/>
    <w:rsid w:val="007503FA"/>
    <w:rsid w:val="007C15DE"/>
    <w:rsid w:val="007D10A6"/>
    <w:rsid w:val="007D6472"/>
    <w:rsid w:val="007D6AB4"/>
    <w:rsid w:val="00803711"/>
    <w:rsid w:val="00804BB5"/>
    <w:rsid w:val="0081679C"/>
    <w:rsid w:val="008331E2"/>
    <w:rsid w:val="008459B8"/>
    <w:rsid w:val="00855071"/>
    <w:rsid w:val="00871D11"/>
    <w:rsid w:val="00884E94"/>
    <w:rsid w:val="008858EE"/>
    <w:rsid w:val="008903D5"/>
    <w:rsid w:val="008942AA"/>
    <w:rsid w:val="00896108"/>
    <w:rsid w:val="008A7980"/>
    <w:rsid w:val="008B65A7"/>
    <w:rsid w:val="008D049F"/>
    <w:rsid w:val="008D34FA"/>
    <w:rsid w:val="008F7A3A"/>
    <w:rsid w:val="009061BD"/>
    <w:rsid w:val="00907676"/>
    <w:rsid w:val="00921CE6"/>
    <w:rsid w:val="00940FB6"/>
    <w:rsid w:val="009563DE"/>
    <w:rsid w:val="0096529E"/>
    <w:rsid w:val="00990883"/>
    <w:rsid w:val="00990B25"/>
    <w:rsid w:val="00991062"/>
    <w:rsid w:val="00993C21"/>
    <w:rsid w:val="009A3DAB"/>
    <w:rsid w:val="009A6BB4"/>
    <w:rsid w:val="009C6D43"/>
    <w:rsid w:val="009D3F14"/>
    <w:rsid w:val="009D5A77"/>
    <w:rsid w:val="009D768B"/>
    <w:rsid w:val="009E1330"/>
    <w:rsid w:val="009F6C51"/>
    <w:rsid w:val="009F7395"/>
    <w:rsid w:val="00A0352D"/>
    <w:rsid w:val="00A044C1"/>
    <w:rsid w:val="00A10636"/>
    <w:rsid w:val="00A127D2"/>
    <w:rsid w:val="00A16030"/>
    <w:rsid w:val="00A3495D"/>
    <w:rsid w:val="00A36F7A"/>
    <w:rsid w:val="00A43DD1"/>
    <w:rsid w:val="00A51E78"/>
    <w:rsid w:val="00A559EF"/>
    <w:rsid w:val="00A705CB"/>
    <w:rsid w:val="00A731ED"/>
    <w:rsid w:val="00A75511"/>
    <w:rsid w:val="00A97374"/>
    <w:rsid w:val="00A97F72"/>
    <w:rsid w:val="00AA1F9C"/>
    <w:rsid w:val="00AF7CE3"/>
    <w:rsid w:val="00B158B6"/>
    <w:rsid w:val="00B253EC"/>
    <w:rsid w:val="00B27812"/>
    <w:rsid w:val="00B36544"/>
    <w:rsid w:val="00B368C0"/>
    <w:rsid w:val="00B641E1"/>
    <w:rsid w:val="00B6551B"/>
    <w:rsid w:val="00B678AC"/>
    <w:rsid w:val="00B80888"/>
    <w:rsid w:val="00B84659"/>
    <w:rsid w:val="00BA020D"/>
    <w:rsid w:val="00BA11DD"/>
    <w:rsid w:val="00BA78FB"/>
    <w:rsid w:val="00BC35D5"/>
    <w:rsid w:val="00BD51DB"/>
    <w:rsid w:val="00BE1076"/>
    <w:rsid w:val="00BE2DA6"/>
    <w:rsid w:val="00BE3293"/>
    <w:rsid w:val="00BE426A"/>
    <w:rsid w:val="00BF2D61"/>
    <w:rsid w:val="00BF325F"/>
    <w:rsid w:val="00BF66F8"/>
    <w:rsid w:val="00C01393"/>
    <w:rsid w:val="00C07AC1"/>
    <w:rsid w:val="00C178E4"/>
    <w:rsid w:val="00C21634"/>
    <w:rsid w:val="00C237A0"/>
    <w:rsid w:val="00C362D3"/>
    <w:rsid w:val="00C4353E"/>
    <w:rsid w:val="00C45522"/>
    <w:rsid w:val="00C458F0"/>
    <w:rsid w:val="00C60EC8"/>
    <w:rsid w:val="00C61DE3"/>
    <w:rsid w:val="00C746BC"/>
    <w:rsid w:val="00C81845"/>
    <w:rsid w:val="00C83746"/>
    <w:rsid w:val="00C855F7"/>
    <w:rsid w:val="00C92684"/>
    <w:rsid w:val="00C972FD"/>
    <w:rsid w:val="00CA78F4"/>
    <w:rsid w:val="00CB41B2"/>
    <w:rsid w:val="00CC0BA8"/>
    <w:rsid w:val="00CD2B31"/>
    <w:rsid w:val="00CD6EF1"/>
    <w:rsid w:val="00CF24E4"/>
    <w:rsid w:val="00CF606D"/>
    <w:rsid w:val="00D15EF6"/>
    <w:rsid w:val="00D16D35"/>
    <w:rsid w:val="00D23EDA"/>
    <w:rsid w:val="00D27AD7"/>
    <w:rsid w:val="00D47470"/>
    <w:rsid w:val="00D538ED"/>
    <w:rsid w:val="00D60B48"/>
    <w:rsid w:val="00D818EF"/>
    <w:rsid w:val="00D933BD"/>
    <w:rsid w:val="00DB64C2"/>
    <w:rsid w:val="00DC4B77"/>
    <w:rsid w:val="00DD5FF4"/>
    <w:rsid w:val="00DD7E9B"/>
    <w:rsid w:val="00DE2C59"/>
    <w:rsid w:val="00E078CF"/>
    <w:rsid w:val="00E114C7"/>
    <w:rsid w:val="00E1324C"/>
    <w:rsid w:val="00E22DD1"/>
    <w:rsid w:val="00E47A1A"/>
    <w:rsid w:val="00E535B2"/>
    <w:rsid w:val="00E57194"/>
    <w:rsid w:val="00E628F6"/>
    <w:rsid w:val="00E677F0"/>
    <w:rsid w:val="00E74570"/>
    <w:rsid w:val="00E759EE"/>
    <w:rsid w:val="00E767BF"/>
    <w:rsid w:val="00E86ABA"/>
    <w:rsid w:val="00E94AFA"/>
    <w:rsid w:val="00EC3B6B"/>
    <w:rsid w:val="00ED69BE"/>
    <w:rsid w:val="00ED7459"/>
    <w:rsid w:val="00EE09E0"/>
    <w:rsid w:val="00EE671D"/>
    <w:rsid w:val="00EF4067"/>
    <w:rsid w:val="00F0125B"/>
    <w:rsid w:val="00F06F60"/>
    <w:rsid w:val="00F120F9"/>
    <w:rsid w:val="00F125D9"/>
    <w:rsid w:val="00F2119B"/>
    <w:rsid w:val="00F2125A"/>
    <w:rsid w:val="00F244AC"/>
    <w:rsid w:val="00F25F3F"/>
    <w:rsid w:val="00F41617"/>
    <w:rsid w:val="00F52426"/>
    <w:rsid w:val="00F65162"/>
    <w:rsid w:val="00F668C2"/>
    <w:rsid w:val="00F74425"/>
    <w:rsid w:val="00F81013"/>
    <w:rsid w:val="00F87FBB"/>
    <w:rsid w:val="00F94F0E"/>
    <w:rsid w:val="00FA1823"/>
    <w:rsid w:val="00FA2F54"/>
    <w:rsid w:val="00FA5CB5"/>
    <w:rsid w:val="00FD6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9DF3"/>
  <w15:chartTrackingRefBased/>
  <w15:docId w15:val="{236B5A81-6DD7-4FED-8BE9-04E35806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95"/>
    <w:pPr>
      <w:ind w:left="720"/>
      <w:contextualSpacing/>
    </w:pPr>
  </w:style>
  <w:style w:type="paragraph" w:styleId="Header">
    <w:name w:val="header"/>
    <w:basedOn w:val="Normal"/>
    <w:link w:val="HeaderChar"/>
    <w:uiPriority w:val="99"/>
    <w:unhideWhenUsed/>
    <w:rsid w:val="00A43D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DD1"/>
    <w:rPr>
      <w:lang w:val="en-US"/>
    </w:rPr>
  </w:style>
  <w:style w:type="paragraph" w:styleId="Footer">
    <w:name w:val="footer"/>
    <w:basedOn w:val="Normal"/>
    <w:link w:val="FooterChar"/>
    <w:uiPriority w:val="99"/>
    <w:unhideWhenUsed/>
    <w:rsid w:val="00A43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DD1"/>
    <w:rPr>
      <w:lang w:val="en-US"/>
    </w:rPr>
  </w:style>
  <w:style w:type="character" w:styleId="CommentReference">
    <w:name w:val="annotation reference"/>
    <w:basedOn w:val="DefaultParagraphFont"/>
    <w:uiPriority w:val="99"/>
    <w:semiHidden/>
    <w:unhideWhenUsed/>
    <w:rsid w:val="00595609"/>
    <w:rPr>
      <w:sz w:val="16"/>
      <w:szCs w:val="16"/>
    </w:rPr>
  </w:style>
  <w:style w:type="paragraph" w:styleId="CommentText">
    <w:name w:val="annotation text"/>
    <w:basedOn w:val="Normal"/>
    <w:link w:val="CommentTextChar"/>
    <w:uiPriority w:val="99"/>
    <w:unhideWhenUsed/>
    <w:rsid w:val="00595609"/>
    <w:pPr>
      <w:spacing w:line="240" w:lineRule="auto"/>
    </w:pPr>
    <w:rPr>
      <w:sz w:val="20"/>
      <w:szCs w:val="20"/>
    </w:rPr>
  </w:style>
  <w:style w:type="character" w:customStyle="1" w:styleId="CommentTextChar">
    <w:name w:val="Comment Text Char"/>
    <w:basedOn w:val="DefaultParagraphFont"/>
    <w:link w:val="CommentText"/>
    <w:uiPriority w:val="99"/>
    <w:rsid w:val="00595609"/>
    <w:rPr>
      <w:sz w:val="20"/>
      <w:szCs w:val="20"/>
      <w:lang w:val="en-US"/>
    </w:rPr>
  </w:style>
  <w:style w:type="paragraph" w:styleId="CommentSubject">
    <w:name w:val="annotation subject"/>
    <w:basedOn w:val="CommentText"/>
    <w:next w:val="CommentText"/>
    <w:link w:val="CommentSubjectChar"/>
    <w:uiPriority w:val="99"/>
    <w:semiHidden/>
    <w:unhideWhenUsed/>
    <w:rsid w:val="000F7825"/>
    <w:rPr>
      <w:b/>
      <w:bCs/>
    </w:rPr>
  </w:style>
  <w:style w:type="character" w:customStyle="1" w:styleId="CommentSubjectChar">
    <w:name w:val="Comment Subject Char"/>
    <w:basedOn w:val="CommentTextChar"/>
    <w:link w:val="CommentSubject"/>
    <w:uiPriority w:val="99"/>
    <w:semiHidden/>
    <w:rsid w:val="000F7825"/>
    <w:rPr>
      <w:b/>
      <w:bCs/>
      <w:sz w:val="20"/>
      <w:szCs w:val="20"/>
      <w:lang w:val="en-US"/>
    </w:rPr>
  </w:style>
  <w:style w:type="paragraph" w:styleId="Revision">
    <w:name w:val="Revision"/>
    <w:hidden/>
    <w:uiPriority w:val="99"/>
    <w:semiHidden/>
    <w:rsid w:val="00694B54"/>
    <w:pPr>
      <w:spacing w:after="0" w:line="240" w:lineRule="auto"/>
    </w:pPr>
    <w:rPr>
      <w:lang w:val="en-US"/>
    </w:rPr>
  </w:style>
  <w:style w:type="character" w:styleId="Hyperlink">
    <w:name w:val="Hyperlink"/>
    <w:basedOn w:val="DefaultParagraphFont"/>
    <w:uiPriority w:val="99"/>
    <w:unhideWhenUsed/>
    <w:rsid w:val="00804BB5"/>
    <w:rPr>
      <w:color w:val="0563C1" w:themeColor="hyperlink"/>
      <w:u w:val="single"/>
    </w:rPr>
  </w:style>
  <w:style w:type="character" w:styleId="UnresolvedMention">
    <w:name w:val="Unresolved Mention"/>
    <w:basedOn w:val="DefaultParagraphFont"/>
    <w:uiPriority w:val="99"/>
    <w:semiHidden/>
    <w:unhideWhenUsed/>
    <w:rsid w:val="00804BB5"/>
    <w:rPr>
      <w:color w:val="605E5C"/>
      <w:shd w:val="clear" w:color="auto" w:fill="E1DFDD"/>
    </w:rPr>
  </w:style>
  <w:style w:type="character" w:styleId="FollowedHyperlink">
    <w:name w:val="FollowedHyperlink"/>
    <w:basedOn w:val="DefaultParagraphFont"/>
    <w:uiPriority w:val="99"/>
    <w:semiHidden/>
    <w:unhideWhenUsed/>
    <w:rsid w:val="00804B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77991">
      <w:bodyDiv w:val="1"/>
      <w:marLeft w:val="0"/>
      <w:marRight w:val="0"/>
      <w:marTop w:val="0"/>
      <w:marBottom w:val="0"/>
      <w:divBdr>
        <w:top w:val="none" w:sz="0" w:space="0" w:color="auto"/>
        <w:left w:val="none" w:sz="0" w:space="0" w:color="auto"/>
        <w:bottom w:val="none" w:sz="0" w:space="0" w:color="auto"/>
        <w:right w:val="none" w:sz="0" w:space="0" w:color="auto"/>
      </w:divBdr>
    </w:div>
    <w:div w:id="1382902866">
      <w:bodyDiv w:val="1"/>
      <w:marLeft w:val="0"/>
      <w:marRight w:val="0"/>
      <w:marTop w:val="0"/>
      <w:marBottom w:val="0"/>
      <w:divBdr>
        <w:top w:val="none" w:sz="0" w:space="0" w:color="auto"/>
        <w:left w:val="none" w:sz="0" w:space="0" w:color="auto"/>
        <w:bottom w:val="none" w:sz="0" w:space="0" w:color="auto"/>
        <w:right w:val="none" w:sz="0" w:space="0" w:color="auto"/>
      </w:divBdr>
      <w:divsChild>
        <w:div w:id="399013845">
          <w:marLeft w:val="547"/>
          <w:marRight w:val="0"/>
          <w:marTop w:val="0"/>
          <w:marBottom w:val="0"/>
          <w:divBdr>
            <w:top w:val="none" w:sz="0" w:space="0" w:color="auto"/>
            <w:left w:val="none" w:sz="0" w:space="0" w:color="auto"/>
            <w:bottom w:val="none" w:sz="0" w:space="0" w:color="auto"/>
            <w:right w:val="none" w:sz="0" w:space="0" w:color="auto"/>
          </w:divBdr>
        </w:div>
        <w:div w:id="908610390">
          <w:marLeft w:val="547"/>
          <w:marRight w:val="0"/>
          <w:marTop w:val="0"/>
          <w:marBottom w:val="0"/>
          <w:divBdr>
            <w:top w:val="none" w:sz="0" w:space="0" w:color="auto"/>
            <w:left w:val="none" w:sz="0" w:space="0" w:color="auto"/>
            <w:bottom w:val="none" w:sz="0" w:space="0" w:color="auto"/>
            <w:right w:val="none" w:sz="0" w:space="0" w:color="auto"/>
          </w:divBdr>
        </w:div>
        <w:div w:id="1831483758">
          <w:marLeft w:val="547"/>
          <w:marRight w:val="0"/>
          <w:marTop w:val="0"/>
          <w:marBottom w:val="0"/>
          <w:divBdr>
            <w:top w:val="none" w:sz="0" w:space="0" w:color="auto"/>
            <w:left w:val="none" w:sz="0" w:space="0" w:color="auto"/>
            <w:bottom w:val="none" w:sz="0" w:space="0" w:color="auto"/>
            <w:right w:val="none" w:sz="0" w:space="0" w:color="auto"/>
          </w:divBdr>
        </w:div>
        <w:div w:id="1486318990">
          <w:marLeft w:val="547"/>
          <w:marRight w:val="0"/>
          <w:marTop w:val="0"/>
          <w:marBottom w:val="0"/>
          <w:divBdr>
            <w:top w:val="none" w:sz="0" w:space="0" w:color="auto"/>
            <w:left w:val="none" w:sz="0" w:space="0" w:color="auto"/>
            <w:bottom w:val="none" w:sz="0" w:space="0" w:color="auto"/>
            <w:right w:val="none" w:sz="0" w:space="0" w:color="auto"/>
          </w:divBdr>
        </w:div>
        <w:div w:id="1924954581">
          <w:marLeft w:val="547"/>
          <w:marRight w:val="0"/>
          <w:marTop w:val="0"/>
          <w:marBottom w:val="0"/>
          <w:divBdr>
            <w:top w:val="none" w:sz="0" w:space="0" w:color="auto"/>
            <w:left w:val="none" w:sz="0" w:space="0" w:color="auto"/>
            <w:bottom w:val="none" w:sz="0" w:space="0" w:color="auto"/>
            <w:right w:val="none" w:sz="0" w:space="0" w:color="auto"/>
          </w:divBdr>
        </w:div>
        <w:div w:id="1528835810">
          <w:marLeft w:val="547"/>
          <w:marRight w:val="0"/>
          <w:marTop w:val="0"/>
          <w:marBottom w:val="0"/>
          <w:divBdr>
            <w:top w:val="none" w:sz="0" w:space="0" w:color="auto"/>
            <w:left w:val="none" w:sz="0" w:space="0" w:color="auto"/>
            <w:bottom w:val="none" w:sz="0" w:space="0" w:color="auto"/>
            <w:right w:val="none" w:sz="0" w:space="0" w:color="auto"/>
          </w:divBdr>
        </w:div>
        <w:div w:id="1212764905">
          <w:marLeft w:val="547"/>
          <w:marRight w:val="0"/>
          <w:marTop w:val="0"/>
          <w:marBottom w:val="0"/>
          <w:divBdr>
            <w:top w:val="none" w:sz="0" w:space="0" w:color="auto"/>
            <w:left w:val="none" w:sz="0" w:space="0" w:color="auto"/>
            <w:bottom w:val="none" w:sz="0" w:space="0" w:color="auto"/>
            <w:right w:val="none" w:sz="0" w:space="0" w:color="auto"/>
          </w:divBdr>
        </w:div>
        <w:div w:id="224416521">
          <w:marLeft w:val="547"/>
          <w:marRight w:val="0"/>
          <w:marTop w:val="0"/>
          <w:marBottom w:val="0"/>
          <w:divBdr>
            <w:top w:val="none" w:sz="0" w:space="0" w:color="auto"/>
            <w:left w:val="none" w:sz="0" w:space="0" w:color="auto"/>
            <w:bottom w:val="none" w:sz="0" w:space="0" w:color="auto"/>
            <w:right w:val="none" w:sz="0" w:space="0" w:color="auto"/>
          </w:divBdr>
        </w:div>
        <w:div w:id="179121724">
          <w:marLeft w:val="547"/>
          <w:marRight w:val="0"/>
          <w:marTop w:val="0"/>
          <w:marBottom w:val="0"/>
          <w:divBdr>
            <w:top w:val="none" w:sz="0" w:space="0" w:color="auto"/>
            <w:left w:val="none" w:sz="0" w:space="0" w:color="auto"/>
            <w:bottom w:val="none" w:sz="0" w:space="0" w:color="auto"/>
            <w:right w:val="none" w:sz="0" w:space="0" w:color="auto"/>
          </w:divBdr>
        </w:div>
        <w:div w:id="421754539">
          <w:marLeft w:val="547"/>
          <w:marRight w:val="0"/>
          <w:marTop w:val="0"/>
          <w:marBottom w:val="0"/>
          <w:divBdr>
            <w:top w:val="none" w:sz="0" w:space="0" w:color="auto"/>
            <w:left w:val="none" w:sz="0" w:space="0" w:color="auto"/>
            <w:bottom w:val="none" w:sz="0" w:space="0" w:color="auto"/>
            <w:right w:val="none" w:sz="0" w:space="0" w:color="auto"/>
          </w:divBdr>
        </w:div>
        <w:div w:id="1144540139">
          <w:marLeft w:val="547"/>
          <w:marRight w:val="0"/>
          <w:marTop w:val="0"/>
          <w:marBottom w:val="0"/>
          <w:divBdr>
            <w:top w:val="none" w:sz="0" w:space="0" w:color="auto"/>
            <w:left w:val="none" w:sz="0" w:space="0" w:color="auto"/>
            <w:bottom w:val="none" w:sz="0" w:space="0" w:color="auto"/>
            <w:right w:val="none" w:sz="0" w:space="0" w:color="auto"/>
          </w:divBdr>
        </w:div>
        <w:div w:id="459613809">
          <w:marLeft w:val="547"/>
          <w:marRight w:val="0"/>
          <w:marTop w:val="0"/>
          <w:marBottom w:val="0"/>
          <w:divBdr>
            <w:top w:val="none" w:sz="0" w:space="0" w:color="auto"/>
            <w:left w:val="none" w:sz="0" w:space="0" w:color="auto"/>
            <w:bottom w:val="none" w:sz="0" w:space="0" w:color="auto"/>
            <w:right w:val="none" w:sz="0" w:space="0" w:color="auto"/>
          </w:divBdr>
        </w:div>
      </w:divsChild>
    </w:div>
    <w:div w:id="2027826463">
      <w:bodyDiv w:val="1"/>
      <w:marLeft w:val="0"/>
      <w:marRight w:val="0"/>
      <w:marTop w:val="0"/>
      <w:marBottom w:val="0"/>
      <w:divBdr>
        <w:top w:val="none" w:sz="0" w:space="0" w:color="auto"/>
        <w:left w:val="none" w:sz="0" w:space="0" w:color="auto"/>
        <w:bottom w:val="none" w:sz="0" w:space="0" w:color="auto"/>
        <w:right w:val="none" w:sz="0" w:space="0" w:color="auto"/>
      </w:divBdr>
      <w:divsChild>
        <w:div w:id="1294016576">
          <w:marLeft w:val="547"/>
          <w:marRight w:val="0"/>
          <w:marTop w:val="0"/>
          <w:marBottom w:val="0"/>
          <w:divBdr>
            <w:top w:val="none" w:sz="0" w:space="0" w:color="auto"/>
            <w:left w:val="none" w:sz="0" w:space="0" w:color="auto"/>
            <w:bottom w:val="none" w:sz="0" w:space="0" w:color="auto"/>
            <w:right w:val="none" w:sz="0" w:space="0" w:color="auto"/>
          </w:divBdr>
        </w:div>
        <w:div w:id="54089831">
          <w:marLeft w:val="547"/>
          <w:marRight w:val="0"/>
          <w:marTop w:val="0"/>
          <w:marBottom w:val="0"/>
          <w:divBdr>
            <w:top w:val="none" w:sz="0" w:space="0" w:color="auto"/>
            <w:left w:val="none" w:sz="0" w:space="0" w:color="auto"/>
            <w:bottom w:val="none" w:sz="0" w:space="0" w:color="auto"/>
            <w:right w:val="none" w:sz="0" w:space="0" w:color="auto"/>
          </w:divBdr>
        </w:div>
        <w:div w:id="11560666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hnYJKqkel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BgOH8_m_YSA" TargetMode="External"/><Relationship Id="rId4" Type="http://schemas.openxmlformats.org/officeDocument/2006/relationships/settings" Target="settings.xml"/><Relationship Id="rId9" Type="http://schemas.openxmlformats.org/officeDocument/2006/relationships/hyperlink" Target="https://www.youtube.com/watch?v=SEZ4FTHx7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64500-B03A-4F5E-8D1F-FE177D6C4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18</cp:revision>
  <cp:lastPrinted>2023-01-26T16:44:00Z</cp:lastPrinted>
  <dcterms:created xsi:type="dcterms:W3CDTF">2023-01-26T16:19:00Z</dcterms:created>
  <dcterms:modified xsi:type="dcterms:W3CDTF">2023-01-26T16:45:00Z</dcterms:modified>
</cp:coreProperties>
</file>