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Calibri" w:hAnsi="Calibri" w:eastAsia="宋体"/>
          <w:b/>
          <w:color w:val="0B2545"/>
          <w:sz w:val="40"/>
        </w:rPr>
        <w:t>AI智能客服售前跟进系统技术服务合同</w:t>
      </w:r>
    </w:p>
    <w:p>
      <w:pPr>
        <w:spacing w:before="0" w:after="360" w:line="276" w:lineRule="auto"/>
        <w:jc w:val="center"/>
      </w:pPr>
      <w:r>
        <w:rPr>
          <w:rFonts w:ascii="Calibri" w:hAnsi="Calibri" w:eastAsia="宋体"/>
          <w:b w:val="0"/>
          <w:color w:val="555555"/>
          <w:sz w:val="22"/>
        </w:rPr>
        <w:t>车金项目 / MVP验证及内部试运行版</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before="0" w:after="0" w:line="264" w:lineRule="auto"/>
              <w:jc w:val="left"/>
            </w:pPr>
            <w:r>
              <w:rPr>
                <w:rFonts w:ascii="Calibri" w:hAnsi="Calibri" w:eastAsia="宋体"/>
                <w:b/>
                <w:sz w:val="21"/>
              </w:rPr>
              <w:t>甲方</w:t>
            </w:r>
          </w:p>
        </w:tc>
        <w:tc>
          <w:tcPr>
            <w:tcW w:type="dxa" w:w="4680"/>
            <w:vAlign w:val="center"/>
          </w:tcPr>
          <w:p>
            <w:pPr>
              <w:spacing w:before="0" w:after="0" w:line="264" w:lineRule="auto"/>
              <w:jc w:val="left"/>
            </w:pPr>
            <w:r>
              <w:rPr>
                <w:rFonts w:ascii="Calibri" w:hAnsi="Calibri" w:eastAsia="宋体"/>
                <w:b w:val="0"/>
                <w:sz w:val="21"/>
              </w:rPr>
              <w:t>【】</w:t>
            </w:r>
          </w:p>
        </w:tc>
      </w:tr>
      <w:tr>
        <w:tc>
          <w:tcPr>
            <w:tcW w:type="dxa" w:w="4680"/>
            <w:vAlign w:val="center"/>
            <w:shd w:fill="F2F4F7"/>
          </w:tcPr>
          <w:p>
            <w:pPr>
              <w:spacing w:before="0" w:after="0" w:line="264" w:lineRule="auto"/>
              <w:jc w:val="left"/>
            </w:pPr>
            <w:r>
              <w:rPr>
                <w:rFonts w:ascii="Calibri" w:hAnsi="Calibri" w:eastAsia="宋体"/>
                <w:b/>
                <w:sz w:val="21"/>
              </w:rPr>
              <w:t>统一社会信用代码</w:t>
            </w:r>
          </w:p>
        </w:tc>
        <w:tc>
          <w:tcPr>
            <w:tcW w:type="dxa" w:w="4680"/>
            <w:vAlign w:val="center"/>
          </w:tcPr>
          <w:p>
            <w:pPr>
              <w:spacing w:before="0" w:after="0" w:line="264" w:lineRule="auto"/>
              <w:jc w:val="left"/>
            </w:pPr>
            <w:r>
              <w:rPr>
                <w:rFonts w:ascii="Calibri" w:hAnsi="Calibri" w:eastAsia="宋体"/>
                <w:b w:val="0"/>
                <w:sz w:val="21"/>
              </w:rPr>
              <w:t>【】</w:t>
            </w:r>
          </w:p>
        </w:tc>
      </w:tr>
      <w:tr>
        <w:tc>
          <w:tcPr>
            <w:tcW w:type="dxa" w:w="4680"/>
            <w:vAlign w:val="center"/>
            <w:shd w:fill="F2F4F7"/>
          </w:tcPr>
          <w:p>
            <w:pPr>
              <w:spacing w:before="0" w:after="0" w:line="264" w:lineRule="auto"/>
              <w:jc w:val="left"/>
            </w:pPr>
            <w:r>
              <w:rPr>
                <w:rFonts w:ascii="Calibri" w:hAnsi="Calibri" w:eastAsia="宋体"/>
                <w:b/>
                <w:sz w:val="21"/>
              </w:rPr>
              <w:t>地址</w:t>
            </w:r>
          </w:p>
        </w:tc>
        <w:tc>
          <w:tcPr>
            <w:tcW w:type="dxa" w:w="4680"/>
            <w:vAlign w:val="center"/>
          </w:tcPr>
          <w:p>
            <w:pPr>
              <w:spacing w:before="0" w:after="0" w:line="264" w:lineRule="auto"/>
              <w:jc w:val="left"/>
            </w:pPr>
            <w:r>
              <w:rPr>
                <w:rFonts w:ascii="Calibri" w:hAnsi="Calibri" w:eastAsia="宋体"/>
                <w:b w:val="0"/>
                <w:sz w:val="21"/>
              </w:rPr>
              <w:t>【】</w:t>
            </w:r>
          </w:p>
        </w:tc>
      </w:tr>
      <w:tr>
        <w:tc>
          <w:tcPr>
            <w:tcW w:type="dxa" w:w="4680"/>
            <w:vAlign w:val="center"/>
            <w:shd w:fill="F2F4F7"/>
          </w:tcPr>
          <w:p>
            <w:pPr>
              <w:spacing w:before="0" w:after="0" w:line="264" w:lineRule="auto"/>
              <w:jc w:val="left"/>
            </w:pPr>
            <w:r>
              <w:rPr>
                <w:rFonts w:ascii="Calibri" w:hAnsi="Calibri" w:eastAsia="宋体"/>
                <w:b/>
                <w:sz w:val="21"/>
              </w:rPr>
              <w:t>联系人</w:t>
            </w:r>
          </w:p>
        </w:tc>
        <w:tc>
          <w:tcPr>
            <w:tcW w:type="dxa" w:w="4680"/>
            <w:vAlign w:val="center"/>
          </w:tcPr>
          <w:p>
            <w:pPr>
              <w:spacing w:before="0" w:after="0" w:line="264" w:lineRule="auto"/>
              <w:jc w:val="left"/>
            </w:pPr>
            <w:r>
              <w:rPr>
                <w:rFonts w:ascii="Calibri" w:hAnsi="Calibri" w:eastAsia="宋体"/>
                <w:b w:val="0"/>
                <w:sz w:val="21"/>
              </w:rPr>
              <w:t>【】</w:t>
            </w:r>
          </w:p>
        </w:tc>
      </w:tr>
      <w:tr>
        <w:tc>
          <w:tcPr>
            <w:tcW w:type="dxa" w:w="4680"/>
            <w:vAlign w:val="center"/>
            <w:shd w:fill="F2F4F7"/>
          </w:tcPr>
          <w:p>
            <w:pPr>
              <w:spacing w:before="0" w:after="0" w:line="264" w:lineRule="auto"/>
              <w:jc w:val="left"/>
            </w:pPr>
            <w:r>
              <w:rPr>
                <w:rFonts w:ascii="Calibri" w:hAnsi="Calibri" w:eastAsia="宋体"/>
                <w:b/>
                <w:sz w:val="21"/>
              </w:rPr>
              <w:t>乙方</w:t>
            </w:r>
          </w:p>
        </w:tc>
        <w:tc>
          <w:tcPr>
            <w:tcW w:type="dxa" w:w="4680"/>
            <w:vAlign w:val="center"/>
          </w:tcPr>
          <w:p>
            <w:pPr>
              <w:spacing w:before="0" w:after="0" w:line="264" w:lineRule="auto"/>
              <w:jc w:val="left"/>
            </w:pPr>
            <w:r>
              <w:rPr>
                <w:rFonts w:ascii="Calibri" w:hAnsi="Calibri" w:eastAsia="宋体"/>
                <w:b w:val="0"/>
                <w:sz w:val="21"/>
              </w:rPr>
              <w:t>【】</w:t>
            </w:r>
          </w:p>
        </w:tc>
      </w:tr>
      <w:tr>
        <w:tc>
          <w:tcPr>
            <w:tcW w:type="dxa" w:w="4680"/>
            <w:vAlign w:val="center"/>
            <w:shd w:fill="F2F4F7"/>
          </w:tcPr>
          <w:p>
            <w:pPr>
              <w:spacing w:before="0" w:after="0" w:line="264" w:lineRule="auto"/>
              <w:jc w:val="left"/>
            </w:pPr>
            <w:r>
              <w:rPr>
                <w:rFonts w:ascii="Calibri" w:hAnsi="Calibri" w:eastAsia="宋体"/>
                <w:b/>
                <w:sz w:val="21"/>
              </w:rPr>
              <w:t>统一社会信用代码</w:t>
            </w:r>
          </w:p>
        </w:tc>
        <w:tc>
          <w:tcPr>
            <w:tcW w:type="dxa" w:w="4680"/>
            <w:vAlign w:val="center"/>
          </w:tcPr>
          <w:p>
            <w:pPr>
              <w:spacing w:before="0" w:after="0" w:line="264" w:lineRule="auto"/>
              <w:jc w:val="left"/>
            </w:pPr>
            <w:r>
              <w:rPr>
                <w:rFonts w:ascii="Calibri" w:hAnsi="Calibri" w:eastAsia="宋体"/>
                <w:b w:val="0"/>
                <w:sz w:val="21"/>
              </w:rPr>
              <w:t>【】</w:t>
            </w:r>
          </w:p>
        </w:tc>
      </w:tr>
      <w:tr>
        <w:tc>
          <w:tcPr>
            <w:tcW w:type="dxa" w:w="4680"/>
            <w:vAlign w:val="center"/>
            <w:shd w:fill="F2F4F7"/>
          </w:tcPr>
          <w:p>
            <w:pPr>
              <w:spacing w:before="0" w:after="0" w:line="264" w:lineRule="auto"/>
              <w:jc w:val="left"/>
            </w:pPr>
            <w:r>
              <w:rPr>
                <w:rFonts w:ascii="Calibri" w:hAnsi="Calibri" w:eastAsia="宋体"/>
                <w:b/>
                <w:sz w:val="21"/>
              </w:rPr>
              <w:t>地址</w:t>
            </w:r>
          </w:p>
        </w:tc>
        <w:tc>
          <w:tcPr>
            <w:tcW w:type="dxa" w:w="4680"/>
            <w:vAlign w:val="center"/>
          </w:tcPr>
          <w:p>
            <w:pPr>
              <w:spacing w:before="0" w:after="0" w:line="264" w:lineRule="auto"/>
              <w:jc w:val="left"/>
            </w:pPr>
            <w:r>
              <w:rPr>
                <w:rFonts w:ascii="Calibri" w:hAnsi="Calibri" w:eastAsia="宋体"/>
                <w:b w:val="0"/>
                <w:sz w:val="21"/>
              </w:rPr>
              <w:t>【】</w:t>
            </w:r>
          </w:p>
        </w:tc>
      </w:tr>
      <w:tr>
        <w:tc>
          <w:tcPr>
            <w:tcW w:type="dxa" w:w="4680"/>
            <w:vAlign w:val="center"/>
            <w:shd w:fill="F2F4F7"/>
          </w:tcPr>
          <w:p>
            <w:pPr>
              <w:spacing w:before="0" w:after="0" w:line="264" w:lineRule="auto"/>
              <w:jc w:val="left"/>
            </w:pPr>
            <w:r>
              <w:rPr>
                <w:rFonts w:ascii="Calibri" w:hAnsi="Calibri" w:eastAsia="宋体"/>
                <w:b/>
                <w:sz w:val="21"/>
              </w:rPr>
              <w:t>联系人</w:t>
            </w:r>
          </w:p>
        </w:tc>
        <w:tc>
          <w:tcPr>
            <w:tcW w:type="dxa" w:w="4680"/>
            <w:vAlign w:val="center"/>
          </w:tcPr>
          <w:p>
            <w:pPr>
              <w:spacing w:before="0" w:after="0" w:line="264" w:lineRule="auto"/>
              <w:jc w:val="left"/>
            </w:pPr>
            <w:r>
              <w:rPr>
                <w:rFonts w:ascii="Calibri" w:hAnsi="Calibri" w:eastAsia="宋体"/>
                <w:b w:val="0"/>
                <w:sz w:val="21"/>
              </w:rPr>
              <w:t>【】</w:t>
            </w:r>
          </w:p>
        </w:tc>
      </w:tr>
    </w:tbl>
    <w:p>
      <w:pPr>
        <w:spacing w:before="0" w:after="40" w:line="276" w:lineRule="auto"/>
      </w:pPr>
      <w:r>
        <w:rPr>
          <w:rFonts w:ascii="Calibri" w:hAnsi="Calibri" w:eastAsia="宋体"/>
          <w:b w:val="0"/>
          <w:sz w:val="22"/>
        </w:rPr>
      </w:r>
    </w:p>
    <w:p>
      <w:pPr>
        <w:spacing w:before="0" w:after="120" w:line="276" w:lineRule="auto"/>
      </w:pPr>
      <w:r>
        <w:rPr>
          <w:rFonts w:ascii="Calibri" w:hAnsi="Calibri" w:eastAsia="宋体"/>
          <w:b w:val="0"/>
          <w:sz w:val="22"/>
        </w:rPr>
        <w:t>鉴于甲方拟建设面向抖音小风车手机号线索的 AI 售前跟进系统，乙方接受甲方委托提供软件开发、RPA 自动化、AI 回复编排、接口适配、部署测试及相关技术服务。双方订立本合同。</w:t>
      </w:r>
    </w:p>
    <w:p>
      <w:pPr>
        <w:spacing w:before="0" w:after="120" w:line="276" w:lineRule="auto"/>
      </w:pPr>
      <w:r>
        <w:rPr>
          <w:rFonts w:ascii="Calibri" w:hAnsi="Calibri" w:eastAsia="宋体"/>
          <w:b/>
          <w:sz w:val="22"/>
        </w:rPr>
        <w:t>本合同为商务谈判稿，具体签署前建议由执业律师结合双方主体、税务、数据合规和当地争议解决安排复核。</w:t>
      </w:r>
    </w:p>
    <w:p>
      <w:pPr>
        <w:spacing w:before="320" w:after="160" w:line="276" w:lineRule="auto"/>
      </w:pPr>
      <w:r>
        <w:rPr>
          <w:rFonts w:ascii="Calibri" w:hAnsi="Calibri" w:eastAsia="宋体"/>
          <w:b/>
          <w:color w:val="1F4D78"/>
          <w:sz w:val="30"/>
        </w:rPr>
        <w:t>第一条 项目定义</w:t>
      </w:r>
    </w:p>
    <w:p>
      <w:pPr>
        <w:spacing w:before="0" w:after="120" w:line="276" w:lineRule="auto"/>
      </w:pPr>
      <w:r>
        <w:rPr>
          <w:rFonts w:ascii="Calibri" w:hAnsi="Calibri" w:eastAsia="宋体"/>
          <w:b w:val="0"/>
          <w:sz w:val="22"/>
        </w:rPr>
        <w:t>1. 本项目名称为“AI智能客服售前跟进系统”，一期定位为 MVP 验证及内部试运行版本，不当然构成完整可销售产品。</w:t>
      </w:r>
    </w:p>
    <w:p>
      <w:pPr>
        <w:spacing w:before="0" w:after="120" w:line="276" w:lineRule="auto"/>
      </w:pPr>
      <w:r>
        <w:rPr>
          <w:rFonts w:ascii="Calibri" w:hAnsi="Calibri" w:eastAsia="宋体"/>
          <w:b w:val="0"/>
          <w:sz w:val="22"/>
        </w:rPr>
        <w:t>2. 本项目涉及手机号线索导入、销售分配、微信 RPA 加好友、备注绑定、文字 AI 回复、图片采集、视觉理解、车源索引、大风车基础适配、风控接管、日志记录等功能。</w:t>
      </w:r>
    </w:p>
    <w:p>
      <w:pPr>
        <w:spacing w:before="0" w:after="120" w:line="276" w:lineRule="auto"/>
      </w:pPr>
      <w:r>
        <w:rPr>
          <w:rFonts w:ascii="Calibri" w:hAnsi="Calibri" w:eastAsia="宋体"/>
          <w:b w:val="0"/>
          <w:sz w:val="22"/>
        </w:rPr>
        <w:t>3. “第三方平台”包括腾讯/微信、大风车、模型服务商、云服务商、操作系统、开源组件及其他非乙方控制的产品或服务。</w:t>
      </w:r>
    </w:p>
    <w:p>
      <w:pPr>
        <w:spacing w:before="320" w:after="160" w:line="276" w:lineRule="auto"/>
      </w:pPr>
      <w:r>
        <w:rPr>
          <w:rFonts w:ascii="Calibri" w:hAnsi="Calibri" w:eastAsia="宋体"/>
          <w:b/>
          <w:color w:val="1F4D78"/>
          <w:sz w:val="30"/>
        </w:rPr>
        <w:t>第二条 服务范围</w:t>
      </w:r>
    </w:p>
    <w:p>
      <w:pPr>
        <w:spacing w:before="0" w:after="120" w:line="276" w:lineRule="auto"/>
      </w:pPr>
      <w:r>
        <w:rPr>
          <w:rFonts w:ascii="Calibri" w:hAnsi="Calibri" w:eastAsia="宋体"/>
          <w:b w:val="0"/>
          <w:sz w:val="22"/>
        </w:rPr>
        <w:t>1. 乙方负责在本合同约定范围内完成需求梳理、开发、部署、测试、联调、演示、交付文档及验收支持。</w:t>
      </w:r>
    </w:p>
    <w:p>
      <w:pPr>
        <w:spacing w:before="0" w:after="120" w:line="276" w:lineRule="auto"/>
      </w:pPr>
      <w:r>
        <w:rPr>
          <w:rFonts w:ascii="Calibri" w:hAnsi="Calibri" w:eastAsia="宋体"/>
          <w:b w:val="0"/>
          <w:sz w:val="22"/>
        </w:rPr>
        <w:t>2. 本期功能范围包括：手机号线索导入、销售分配、微信 RPA 加好友、微信备注绑定、文字 AI 回复、图片采集、视觉理解、车源索引、大风车基础适配、风控接管、日志记录。</w:t>
      </w:r>
    </w:p>
    <w:p>
      <w:pPr>
        <w:spacing w:before="0" w:after="120" w:line="276" w:lineRule="auto"/>
      </w:pPr>
      <w:r>
        <w:rPr>
          <w:rFonts w:ascii="Calibri" w:hAnsi="Calibri" w:eastAsia="宋体"/>
          <w:b w:val="0"/>
          <w:sz w:val="22"/>
        </w:rPr>
        <w:t>3. 下列事项不属于本期范围：完整 SaaS、多租户、复杂权限、计费系统、复杂 BI、模型微调、高可用集群、长期运维、微信封号解封、大风车商务开通、第三方平台官方授权申请、规模化账号运营。</w:t>
      </w:r>
    </w:p>
    <w:p>
      <w:pPr>
        <w:spacing w:before="0" w:after="120" w:line="276" w:lineRule="auto"/>
      </w:pPr>
      <w:r>
        <w:rPr>
          <w:rFonts w:ascii="Calibri" w:hAnsi="Calibri" w:eastAsia="宋体"/>
          <w:b w:val="0"/>
          <w:sz w:val="22"/>
        </w:rPr>
        <w:t>4. 本项目为软件开发及技术适配服务，不包含甲方电脑、服务器、操作系统、网络、路由器、防火墙、VPN、远程桌面、杀毒软件、浏览器、微信客户端安装环境、硬件采购、硬件维修、机房、宽带、云资源、账号注册、账号实名、账号养号、账号解封等基础设施、网络环境、终端环境和账号运营服务。上述事项由甲方自行负责。</w:t>
      </w:r>
    </w:p>
    <w:p>
      <w:pPr>
        <w:spacing w:before="320" w:after="160" w:line="276" w:lineRule="auto"/>
      </w:pPr>
      <w:r>
        <w:rPr>
          <w:rFonts w:ascii="Calibri" w:hAnsi="Calibri" w:eastAsia="宋体"/>
          <w:b/>
          <w:color w:val="1F4D78"/>
          <w:sz w:val="30"/>
        </w:rPr>
        <w:t>第三条 甲方配合义务</w:t>
      </w:r>
    </w:p>
    <w:p>
      <w:pPr>
        <w:spacing w:before="0" w:after="120" w:line="276" w:lineRule="auto"/>
      </w:pPr>
      <w:r>
        <w:rPr>
          <w:rFonts w:ascii="Calibri" w:hAnsi="Calibri" w:eastAsia="宋体"/>
          <w:b w:val="0"/>
          <w:sz w:val="22"/>
        </w:rPr>
        <w:t>1. 甲方应在合同签署后【】个工作日内指定项目负责人、业务/销售负责人、技术/接口负责人及测试人员。</w:t>
      </w:r>
    </w:p>
    <w:p>
      <w:pPr>
        <w:spacing w:before="0" w:after="120" w:line="276" w:lineRule="auto"/>
      </w:pPr>
      <w:r>
        <w:rPr>
          <w:rFonts w:ascii="Calibri" w:hAnsi="Calibri" w:eastAsia="宋体"/>
          <w:b w:val="0"/>
          <w:sz w:val="22"/>
        </w:rPr>
        <w:t>2. 本项目依赖甲方行业知识，包括车源字段、销售话术、价格边界、车况口径、金融规则、接管规则、客户异议处理、大风车数据口径等。甲方应确保相关人员在合理工作时间内优先配合乙方沟通、确认、测试和验收。</w:t>
      </w:r>
    </w:p>
    <w:p>
      <w:pPr>
        <w:spacing w:before="0" w:after="120" w:line="276" w:lineRule="auto"/>
      </w:pPr>
      <w:r>
        <w:rPr>
          <w:rFonts w:ascii="Calibri" w:hAnsi="Calibri" w:eastAsia="宋体"/>
          <w:b w:val="0"/>
          <w:sz w:val="22"/>
        </w:rPr>
        <w:t>3. 甲方对乙方提出的事项应按以下时限响应：普通问题【】个工作日内；影响当前开发或联调的问题【】小时内；阻塞项目的问题【】小时内协调处理或给出临时结论。</w:t>
      </w:r>
    </w:p>
    <w:p>
      <w:pPr>
        <w:spacing w:before="0" w:after="120" w:line="276" w:lineRule="auto"/>
      </w:pPr>
      <w:r>
        <w:rPr>
          <w:rFonts w:ascii="Calibri" w:hAnsi="Calibri" w:eastAsia="宋体"/>
          <w:b w:val="0"/>
          <w:sz w:val="22"/>
        </w:rPr>
        <w:t>4. 甲方应自行准备并维护项目运行所需的电脑、服务器、操作系统、网络、微信客户端、账号、权限、远程访问条件、防火墙策略、杀毒软件白名单、云资源、第三方接口账号及其他基础环境。</w:t>
      </w:r>
    </w:p>
    <w:p>
      <w:pPr>
        <w:spacing w:before="0" w:after="120" w:line="276" w:lineRule="auto"/>
      </w:pPr>
      <w:r>
        <w:rPr>
          <w:rFonts w:ascii="Calibri" w:hAnsi="Calibri" w:eastAsia="宋体"/>
          <w:b w:val="0"/>
          <w:sz w:val="22"/>
        </w:rPr>
        <w:t>5. 甲方未及时提供人员、资料、账号、密钥、接口、样本、环境、反馈或验收意见的，不视为乙方延期，项目周期相应顺延。</w:t>
      </w:r>
    </w:p>
    <w:p>
      <w:pPr>
        <w:spacing w:before="0" w:after="120" w:line="276" w:lineRule="auto"/>
      </w:pPr>
      <w:r>
        <w:rPr>
          <w:rFonts w:ascii="Calibri" w:hAnsi="Calibri" w:eastAsia="宋体"/>
          <w:b w:val="0"/>
          <w:sz w:val="22"/>
        </w:rPr>
        <w:t>6. 因甲方配合不足、口径反复、人员缺席、样本错误、接口不可用、反馈不可复现、基础环境异常等导致乙方额外投入的，乙方有权按人民币【】元/人天另行计费；不足半日按半日，超过半日按一日。</w:t>
      </w:r>
    </w:p>
    <w:p>
      <w:pPr>
        <w:spacing w:before="320" w:after="160" w:line="276" w:lineRule="auto"/>
      </w:pPr>
      <w:r>
        <w:rPr>
          <w:rFonts w:ascii="Calibri" w:hAnsi="Calibri" w:eastAsia="宋体"/>
          <w:b/>
          <w:color w:val="1F4D78"/>
          <w:sz w:val="30"/>
        </w:rPr>
        <w:t>第四条 项目周期</w:t>
      </w:r>
    </w:p>
    <w:p>
      <w:pPr>
        <w:spacing w:before="0" w:after="120" w:line="276" w:lineRule="auto"/>
      </w:pPr>
      <w:r>
        <w:rPr>
          <w:rFonts w:ascii="Calibri" w:hAnsi="Calibri" w:eastAsia="宋体"/>
          <w:b w:val="0"/>
          <w:sz w:val="22"/>
        </w:rPr>
        <w:t>1. 项目周期预计为【】周，自合同生效、首期款到账且甲方完成必要资料和环境提供之日起计算。</w:t>
      </w:r>
    </w:p>
    <w:p>
      <w:pPr>
        <w:spacing w:before="0" w:after="120" w:line="276" w:lineRule="auto"/>
      </w:pPr>
      <w:r>
        <w:rPr>
          <w:rFonts w:ascii="Calibri" w:hAnsi="Calibri" w:eastAsia="宋体"/>
          <w:b w:val="0"/>
          <w:sz w:val="22"/>
        </w:rPr>
        <w:t>2. 甲方等待、内部决策、资料补充、接口申请、账号准备、测试反馈、验收确认、基础环境准备所耗时间，不计入乙方交付周期。</w:t>
      </w:r>
    </w:p>
    <w:p>
      <w:pPr>
        <w:spacing w:before="320" w:after="160" w:line="276" w:lineRule="auto"/>
      </w:pPr>
      <w:r>
        <w:rPr>
          <w:rFonts w:ascii="Calibri" w:hAnsi="Calibri" w:eastAsia="宋体"/>
          <w:b/>
          <w:color w:val="1F4D78"/>
          <w:sz w:val="30"/>
        </w:rPr>
        <w:t>第五条 费用与付款</w:t>
      </w:r>
    </w:p>
    <w:p>
      <w:pPr>
        <w:spacing w:before="0" w:after="120" w:line="276" w:lineRule="auto"/>
      </w:pPr>
      <w:r>
        <w:rPr>
          <w:rFonts w:ascii="Calibri" w:hAnsi="Calibri" w:eastAsia="宋体"/>
          <w:b w:val="0"/>
          <w:sz w:val="22"/>
        </w:rPr>
        <w:t>1. 本项目总价为人民币 87,000 元，大写：人民币捌万柒仟元整。</w:t>
      </w:r>
    </w:p>
    <w:p>
      <w:pPr>
        <w:spacing w:before="0" w:after="120" w:line="276" w:lineRule="auto"/>
      </w:pPr>
      <w:r>
        <w:rPr>
          <w:rFonts w:ascii="Calibri" w:hAnsi="Calibri" w:eastAsia="宋体"/>
          <w:b w:val="0"/>
          <w:sz w:val="22"/>
        </w:rPr>
        <w:t>2. 甲方按以下方式付款：（1）首期款：人民币 30,000 元，合同签署后【】个工作日内支付，乙方收款后启动项目；（2）验收款：人民币 20,000 元，项目通过最终验收或视为验收通过后【】个工作日内支付；（3）递延款：人民币 37,000 元，属于合同总价组成部分，乙方未减免、赠与或放弃，也不构成投资、分成或风险共担。</w:t>
      </w:r>
    </w:p>
    <w:p>
      <w:pPr>
        <w:spacing w:before="0" w:after="120" w:line="276" w:lineRule="auto"/>
      </w:pPr>
      <w:r>
        <w:rPr>
          <w:rFonts w:ascii="Calibri" w:hAnsi="Calibri" w:eastAsia="宋体"/>
          <w:b w:val="0"/>
          <w:sz w:val="22"/>
        </w:rPr>
        <w:t>3. 递延款的具体支付节点由双方另行书面约定。在双方另行约定前，乙方暂不就递延款主张固定付款期限或逾期付款责任，但不视为乙方减免、赠与、豁免或放弃该递延款债权。</w:t>
      </w:r>
    </w:p>
    <w:p>
      <w:pPr>
        <w:spacing w:before="0" w:after="120" w:line="276" w:lineRule="auto"/>
      </w:pPr>
      <w:r>
        <w:rPr>
          <w:rFonts w:ascii="Calibri" w:hAnsi="Calibri" w:eastAsia="宋体"/>
          <w:b w:val="0"/>
          <w:sz w:val="22"/>
        </w:rPr>
        <w:t>4. 本合同费用不含大风车接口费、模型调用费、短信费、云资源费、硬件设备费、第三方平台收费、差旅费及变更费用。</w:t>
      </w:r>
    </w:p>
    <w:p>
      <w:pPr>
        <w:spacing w:before="0" w:after="120" w:line="276" w:lineRule="auto"/>
      </w:pPr>
      <w:r>
        <w:rPr>
          <w:rFonts w:ascii="Calibri" w:hAnsi="Calibri" w:eastAsia="宋体"/>
          <w:b w:val="0"/>
          <w:sz w:val="22"/>
        </w:rPr>
        <w:t>5. 甲方逾期支付首期款或验收款超过【】个工作日的，乙方有权暂停服务，项目周期顺延；逾期超过【】日的，乙方有权解除合同并要求结清已完成费用、到期款项及违约金。</w:t>
      </w:r>
    </w:p>
    <w:p>
      <w:pPr>
        <w:spacing w:before="320" w:after="160" w:line="276" w:lineRule="auto"/>
      </w:pPr>
      <w:r>
        <w:rPr>
          <w:rFonts w:ascii="Calibri" w:hAnsi="Calibri" w:eastAsia="宋体"/>
          <w:b/>
          <w:color w:val="1F4D78"/>
          <w:sz w:val="30"/>
        </w:rPr>
        <w:t>第六条 交付与验收</w:t>
      </w:r>
    </w:p>
    <w:p>
      <w:pPr>
        <w:spacing w:before="0" w:after="120" w:line="276" w:lineRule="auto"/>
      </w:pPr>
      <w:r>
        <w:rPr>
          <w:rFonts w:ascii="Calibri" w:hAnsi="Calibri" w:eastAsia="宋体"/>
          <w:b w:val="0"/>
          <w:sz w:val="22"/>
        </w:rPr>
        <w:t>1. 本项目验收目标为验证一期 MVP 范围内功能是否可运行、可演示、可记录、可追踪，不以商业化销售能力、长期稳定运营能力、客户转化率、微信好友通过率、AI 回复主观满意度、第三方平台持续可用性作为验收标准。</w:t>
      </w:r>
    </w:p>
    <w:p>
      <w:pPr>
        <w:spacing w:before="0" w:after="120" w:line="276" w:lineRule="auto"/>
      </w:pPr>
      <w:r>
        <w:rPr>
          <w:rFonts w:ascii="Calibri" w:hAnsi="Calibri" w:eastAsia="宋体"/>
          <w:b w:val="0"/>
          <w:sz w:val="22"/>
        </w:rPr>
        <w:t>2. 验收以双方确认的测试账号、测试线索、图片样本、大风车参数、模型 API Key 及本合同约定的功能范围为准。</w:t>
      </w:r>
    </w:p>
    <w:p>
      <w:pPr>
        <w:spacing w:before="0" w:after="120" w:line="276" w:lineRule="auto"/>
      </w:pPr>
      <w:r>
        <w:rPr>
          <w:rFonts w:ascii="Calibri" w:hAnsi="Calibri" w:eastAsia="宋体"/>
          <w:b w:val="0"/>
          <w:sz w:val="22"/>
        </w:rPr>
        <w:t>3. 在指定条件下完成以下事项即视为主要功能达标：可导入手机号线索；可将线索分配至销售；RPA 可执行手机号搜索、提交好友申请，或记录失败原因；可执行微信备注绑定，或记录失败原因；可生成文字 AI 回复；销售手动接管后，可停止 AI 自动回复；可识别、采集或保存图片，或记录失败原因；可调用视觉模型并输出图片理解结果；可建立或查询车源索引；可在甲方提供有效参数和权限的前提下完成大风车基础接口适配，或记录接口调用失败原因；高风险问题可触发转人工、停止回复或限制回复；关键操作可形成日志记录。</w:t>
      </w:r>
    </w:p>
    <w:p>
      <w:pPr>
        <w:spacing w:before="0" w:after="120" w:line="276" w:lineRule="auto"/>
      </w:pPr>
      <w:r>
        <w:rPr>
          <w:rFonts w:ascii="Calibri" w:hAnsi="Calibri" w:eastAsia="宋体"/>
          <w:b w:val="0"/>
          <w:sz w:val="22"/>
        </w:rPr>
        <w:t>4. 因微信账号风控、封禁、限制添加好友、客户未通过、微信版本变化、大风车接口异常、模型服务异常、甲方设备/网络/账号问题、样本错误、第三方平台规则变化导致的失败，不构成乙方缺陷。</w:t>
      </w:r>
    </w:p>
    <w:p>
      <w:pPr>
        <w:spacing w:before="0" w:after="120" w:line="276" w:lineRule="auto"/>
      </w:pPr>
      <w:r>
        <w:rPr>
          <w:rFonts w:ascii="Calibri" w:hAnsi="Calibri" w:eastAsia="宋体"/>
          <w:b w:val="0"/>
          <w:sz w:val="22"/>
        </w:rPr>
        <w:t>5. 乙方提交验收申请后，甲方应在【】个工作日内验收。甲方逾期未验收、未书面提出可复现缺陷，或实际使用系统处理真实线索、真实账号、真实客户会话超过【】个工作日的，视为验收通过。</w:t>
      </w:r>
    </w:p>
    <w:p>
      <w:pPr>
        <w:spacing w:before="0" w:after="120" w:line="276" w:lineRule="auto"/>
      </w:pPr>
      <w:r>
        <w:rPr>
          <w:rFonts w:ascii="Calibri" w:hAnsi="Calibri" w:eastAsia="宋体"/>
          <w:b w:val="0"/>
          <w:sz w:val="22"/>
        </w:rPr>
        <w:t>6. 甲方验收异议必须列明具体功能项、合同依据、复现步骤、测试数据、截图或日志。仅以“体验不好”“不符合预期”“AI 不够智能”“客户可能不买单”“微信不稳定”“大风车有风险”等理由提出异议的，不构成有效异议。</w:t>
      </w:r>
    </w:p>
    <w:p>
      <w:pPr>
        <w:spacing w:before="320" w:after="160" w:line="276" w:lineRule="auto"/>
      </w:pPr>
      <w:r>
        <w:rPr>
          <w:rFonts w:ascii="Calibri" w:hAnsi="Calibri" w:eastAsia="宋体"/>
          <w:b/>
          <w:color w:val="1F4D78"/>
          <w:sz w:val="30"/>
        </w:rPr>
        <w:t>第七条 需求变更</w:t>
      </w:r>
    </w:p>
    <w:p>
      <w:pPr>
        <w:spacing w:before="0" w:after="120" w:line="276" w:lineRule="auto"/>
      </w:pPr>
      <w:r>
        <w:rPr>
          <w:rFonts w:ascii="Calibri" w:hAnsi="Calibri" w:eastAsia="宋体"/>
          <w:b w:val="0"/>
          <w:sz w:val="22"/>
        </w:rPr>
        <w:t>1. 超出本合同及附件范围的功能、流程、账号规模、接口、部署方式、验收标准、二期产品化能力，均为需求变更。</w:t>
      </w:r>
    </w:p>
    <w:p>
      <w:pPr>
        <w:spacing w:before="0" w:after="120" w:line="276" w:lineRule="auto"/>
      </w:pPr>
      <w:r>
        <w:rPr>
          <w:rFonts w:ascii="Calibri" w:hAnsi="Calibri" w:eastAsia="宋体"/>
          <w:b w:val="0"/>
          <w:sz w:val="22"/>
        </w:rPr>
        <w:t>2. 因甲方行业知识、销售话术、车源字段、接管规则、接口参数或运营流程变化导致返工、重测、重部署的，按需求变更处理。</w:t>
      </w:r>
    </w:p>
    <w:p>
      <w:pPr>
        <w:spacing w:before="0" w:after="120" w:line="276" w:lineRule="auto"/>
      </w:pPr>
      <w:r>
        <w:rPr>
          <w:rFonts w:ascii="Calibri" w:hAnsi="Calibri" w:eastAsia="宋体"/>
          <w:b w:val="0"/>
          <w:sz w:val="22"/>
        </w:rPr>
        <w:t>3. 变更应经双方书面确认费用、工期和交付内容后实施。</w:t>
      </w:r>
    </w:p>
    <w:p>
      <w:pPr>
        <w:spacing w:before="320" w:after="160" w:line="276" w:lineRule="auto"/>
      </w:pPr>
      <w:r>
        <w:rPr>
          <w:rFonts w:ascii="Calibri" w:hAnsi="Calibri" w:eastAsia="宋体"/>
          <w:b/>
          <w:color w:val="1F4D78"/>
          <w:sz w:val="30"/>
        </w:rPr>
        <w:t>第八条 微信/RPA风险</w:t>
      </w:r>
    </w:p>
    <w:p>
      <w:pPr>
        <w:spacing w:before="0" w:after="120" w:line="276" w:lineRule="auto"/>
      </w:pPr>
      <w:r>
        <w:rPr>
          <w:rFonts w:ascii="Calibri" w:hAnsi="Calibri" w:eastAsia="宋体"/>
          <w:b w:val="0"/>
          <w:sz w:val="22"/>
        </w:rPr>
        <w:t>1. 甲方确认，本项目涉及通过 RPA 操作甲方指定电脑中的腾讯微信桌面客户端，可能包括搜索手机号、添加好友、备注、监听消息、保存图片、发送回复等。</w:t>
      </w:r>
    </w:p>
    <w:p>
      <w:pPr>
        <w:spacing w:before="0" w:after="120" w:line="276" w:lineRule="auto"/>
      </w:pPr>
      <w:r>
        <w:rPr>
          <w:rFonts w:ascii="Calibri" w:hAnsi="Calibri" w:eastAsia="宋体"/>
          <w:b w:val="0"/>
          <w:sz w:val="22"/>
        </w:rPr>
        <w:t>2. 乙方已明确告知甲方：该等操作可能触发腾讯/微信平台风控，导致账号限制、功能限制、短期封禁、长期封禁、永久封禁、消息失败、客户投诉、业务中断等风险。</w:t>
      </w:r>
    </w:p>
    <w:p>
      <w:pPr>
        <w:spacing w:before="0" w:after="120" w:line="276" w:lineRule="auto"/>
      </w:pPr>
      <w:r>
        <w:rPr>
          <w:rFonts w:ascii="Calibri" w:hAnsi="Calibri" w:eastAsia="宋体"/>
          <w:b w:val="0"/>
          <w:sz w:val="22"/>
        </w:rPr>
        <w:t>3. 甲方自愿决定使用本系统及相关微信账号，并自行承担账号运营、营销触达、客户沟通、平台规则合规和账号风控后果。</w:t>
      </w:r>
    </w:p>
    <w:p>
      <w:pPr>
        <w:spacing w:before="0" w:after="120" w:line="276" w:lineRule="auto"/>
      </w:pPr>
      <w:r>
        <w:rPr>
          <w:rFonts w:ascii="Calibri" w:hAnsi="Calibri" w:eastAsia="宋体"/>
          <w:b w:val="0"/>
          <w:sz w:val="22"/>
        </w:rPr>
        <w:t>4. 乙方仅为技术服务提供方，不承诺规避微信风控，不承诺账号安全，不承诺好友通过率，不承担微信账号限制、封禁、投诉、处罚、客户索赔、业务中断、预期收益损失等责任。</w:t>
      </w:r>
    </w:p>
    <w:p>
      <w:pPr>
        <w:spacing w:before="0" w:after="120" w:line="276" w:lineRule="auto"/>
      </w:pPr>
      <w:r>
        <w:rPr>
          <w:rFonts w:ascii="Calibri" w:hAnsi="Calibri" w:eastAsia="宋体"/>
          <w:b w:val="0"/>
          <w:sz w:val="22"/>
        </w:rPr>
        <w:t>5. 因甲方使用本系统或其业务行为导致第三方向乙方投诉、索赔、调查或追责的，甲方应负责处理并赔偿乙方全部损失。</w:t>
      </w:r>
    </w:p>
    <w:p>
      <w:pPr>
        <w:spacing w:before="320" w:after="160" w:line="276" w:lineRule="auto"/>
      </w:pPr>
      <w:r>
        <w:rPr>
          <w:rFonts w:ascii="Calibri" w:hAnsi="Calibri" w:eastAsia="宋体"/>
          <w:b/>
          <w:color w:val="1F4D78"/>
          <w:sz w:val="30"/>
        </w:rPr>
        <w:t>第九条 大风车接口风险</w:t>
      </w:r>
    </w:p>
    <w:p>
      <w:pPr>
        <w:spacing w:before="0" w:after="120" w:line="276" w:lineRule="auto"/>
      </w:pPr>
      <w:r>
        <w:rPr>
          <w:rFonts w:ascii="Calibri" w:hAnsi="Calibri" w:eastAsia="宋体"/>
          <w:b w:val="0"/>
          <w:sz w:val="22"/>
        </w:rPr>
        <w:t>1. 大风车接口权限、字段、数据、调用频率、鉴权、费用、风控、稳定性、开放范围及服务延续性，均由大风车平台或其运营方决定，不属于乙方控制范围。</w:t>
      </w:r>
    </w:p>
    <w:p>
      <w:pPr>
        <w:spacing w:before="0" w:after="120" w:line="276" w:lineRule="auto"/>
      </w:pPr>
      <w:r>
        <w:rPr>
          <w:rFonts w:ascii="Calibri" w:hAnsi="Calibri" w:eastAsia="宋体"/>
          <w:b w:val="0"/>
          <w:sz w:val="22"/>
        </w:rPr>
        <w:t>2. 乙方仅基于甲方提供的接口文档、账号权限、密钥、参数和测试数据进行技术适配。</w:t>
      </w:r>
    </w:p>
    <w:p>
      <w:pPr>
        <w:spacing w:before="0" w:after="120" w:line="276" w:lineRule="auto"/>
      </w:pPr>
      <w:r>
        <w:rPr>
          <w:rFonts w:ascii="Calibri" w:hAnsi="Calibri" w:eastAsia="宋体"/>
          <w:b w:val="0"/>
          <w:sz w:val="22"/>
        </w:rPr>
        <w:t>3. 因大风车接口权限不足、关闭、限流、封禁、字段变化、数据异常、平台规则变化、费用变化或甲方授权不足导致功能不可用、延期或需改造的，不构成乙方违约，甲方不得据此拒绝验收、拒付或要求退款。</w:t>
      </w:r>
    </w:p>
    <w:p>
      <w:pPr>
        <w:spacing w:before="0" w:after="120" w:line="276" w:lineRule="auto"/>
      </w:pPr>
      <w:r>
        <w:rPr>
          <w:rFonts w:ascii="Calibri" w:hAnsi="Calibri" w:eastAsia="宋体"/>
          <w:b w:val="0"/>
          <w:sz w:val="22"/>
        </w:rPr>
        <w:t>4. 因大风车变化产生的重新适配、重构、测试或替代方案开发，另行计费。</w:t>
      </w:r>
    </w:p>
    <w:p>
      <w:pPr>
        <w:spacing w:before="320" w:after="160" w:line="276" w:lineRule="auto"/>
      </w:pPr>
      <w:r>
        <w:rPr>
          <w:rFonts w:ascii="Calibri" w:hAnsi="Calibri" w:eastAsia="宋体"/>
          <w:b/>
          <w:color w:val="1F4D78"/>
          <w:sz w:val="30"/>
        </w:rPr>
        <w:t>第十条 数据与合规</w:t>
      </w:r>
    </w:p>
    <w:p>
      <w:pPr>
        <w:spacing w:before="0" w:after="120" w:line="276" w:lineRule="auto"/>
      </w:pPr>
      <w:r>
        <w:rPr>
          <w:rFonts w:ascii="Calibri" w:hAnsi="Calibri" w:eastAsia="宋体"/>
          <w:b w:val="0"/>
          <w:sz w:val="22"/>
        </w:rPr>
        <w:t>1. 甲方保证其提供的手机号线索、聊天记录、图片、车源数据、接口密钥、销售话术、客户资料均来源合法、授权充分。</w:t>
      </w:r>
    </w:p>
    <w:p>
      <w:pPr>
        <w:spacing w:before="0" w:after="120" w:line="276" w:lineRule="auto"/>
      </w:pPr>
      <w:r>
        <w:rPr>
          <w:rFonts w:ascii="Calibri" w:hAnsi="Calibri" w:eastAsia="宋体"/>
          <w:b w:val="0"/>
          <w:sz w:val="22"/>
        </w:rPr>
        <w:t>2. 乙方仅在履行本合同必要范围内处理甲方数据。</w:t>
      </w:r>
    </w:p>
    <w:p>
      <w:pPr>
        <w:spacing w:before="0" w:after="120" w:line="276" w:lineRule="auto"/>
      </w:pPr>
      <w:r>
        <w:rPr>
          <w:rFonts w:ascii="Calibri" w:hAnsi="Calibri" w:eastAsia="宋体"/>
          <w:b w:val="0"/>
          <w:sz w:val="22"/>
        </w:rPr>
        <w:t>3. 甲方自行负责个人信息收集、营销触达、客户授权、员工授权、销售承诺、车辆信息真实性及相关合规责任。</w:t>
      </w:r>
    </w:p>
    <w:p>
      <w:pPr>
        <w:spacing w:before="0" w:after="120" w:line="276" w:lineRule="auto"/>
      </w:pPr>
      <w:r>
        <w:rPr>
          <w:rFonts w:ascii="Calibri" w:hAnsi="Calibri" w:eastAsia="宋体"/>
          <w:b w:val="0"/>
          <w:sz w:val="22"/>
        </w:rPr>
        <w:t>4. 乙方应对甲方商业秘密和非公开数据保密，但因甲方原因、第三方平台原因或依法披露的除外。</w:t>
      </w:r>
    </w:p>
    <w:p>
      <w:pPr>
        <w:spacing w:before="320" w:after="160" w:line="276" w:lineRule="auto"/>
      </w:pPr>
      <w:r>
        <w:rPr>
          <w:rFonts w:ascii="Calibri" w:hAnsi="Calibri" w:eastAsia="宋体"/>
          <w:b/>
          <w:color w:val="1F4D78"/>
          <w:sz w:val="30"/>
        </w:rPr>
        <w:t>第十一条 知识产权</w:t>
      </w:r>
    </w:p>
    <w:p>
      <w:pPr>
        <w:spacing w:before="0" w:after="120" w:line="276" w:lineRule="auto"/>
      </w:pPr>
      <w:r>
        <w:rPr>
          <w:rFonts w:ascii="Calibri" w:hAnsi="Calibri" w:eastAsia="宋体"/>
          <w:b w:val="0"/>
          <w:sz w:val="22"/>
        </w:rPr>
        <w:t>1. 甲方资料、数据、品牌、业务规则归甲方或原权利人所有。</w:t>
      </w:r>
    </w:p>
    <w:p>
      <w:pPr>
        <w:spacing w:before="0" w:after="120" w:line="276" w:lineRule="auto"/>
      </w:pPr>
      <w:r>
        <w:rPr>
          <w:rFonts w:ascii="Calibri" w:hAnsi="Calibri" w:eastAsia="宋体"/>
          <w:b w:val="0"/>
          <w:sz w:val="22"/>
        </w:rPr>
        <w:t>2. 乙方既有或通用的软件框架、RPA 能力、OmniAuto 引擎、算法、Prompt 方法、Guard 规则、接口封装、工具链、组件和技术方法归乙方所有。</w:t>
      </w:r>
    </w:p>
    <w:p>
      <w:pPr>
        <w:spacing w:before="0" w:after="120" w:line="276" w:lineRule="auto"/>
      </w:pPr>
      <w:r>
        <w:rPr>
          <w:rFonts w:ascii="Calibri" w:hAnsi="Calibri" w:eastAsia="宋体"/>
          <w:b w:val="0"/>
          <w:sz w:val="22"/>
        </w:rPr>
        <w:t>3. 双方确认，本项目中由乙方为甲方定制开发且不属于乙方既有或通用技术资产的项目业务代码、配置代码及二次开发成果，在甲方付清到期款项后由甲乙双方共享知识产权；双方均可在自身业务范围内使用，具体源代码交付范围、交付方式及对外许可、转让、开源或商业化使用安排由双方另行书面确认。</w:t>
      </w:r>
    </w:p>
    <w:p>
      <w:pPr>
        <w:spacing w:before="0" w:after="120" w:line="276" w:lineRule="auto"/>
      </w:pPr>
      <w:r>
        <w:rPr>
          <w:rFonts w:ascii="Calibri" w:hAnsi="Calibri" w:eastAsia="宋体"/>
          <w:b w:val="0"/>
          <w:sz w:val="22"/>
        </w:rPr>
        <w:t>4. 除双方另行书面约定并另行计费外，乙方无义务交付底层框架、通用组件、算法源码、模型权重、Prompt 模板库或内部工具。</w:t>
      </w:r>
    </w:p>
    <w:p>
      <w:pPr>
        <w:spacing w:before="320" w:after="160" w:line="276" w:lineRule="auto"/>
      </w:pPr>
      <w:r>
        <w:rPr>
          <w:rFonts w:ascii="Calibri" w:hAnsi="Calibri" w:eastAsia="宋体"/>
          <w:b/>
          <w:color w:val="1F4D78"/>
          <w:sz w:val="30"/>
        </w:rPr>
        <w:t>第十二条 售后支持</w:t>
      </w:r>
    </w:p>
    <w:p>
      <w:pPr>
        <w:spacing w:before="0" w:after="120" w:line="276" w:lineRule="auto"/>
      </w:pPr>
      <w:r>
        <w:rPr>
          <w:rFonts w:ascii="Calibri" w:hAnsi="Calibri" w:eastAsia="宋体"/>
          <w:b w:val="0"/>
          <w:sz w:val="22"/>
        </w:rPr>
        <w:t>1. 最终验收通过后，乙方提供【】日免费缺陷修复支持，仅限本合同范围内、可复现、因乙方原因导致的软件缺陷。</w:t>
      </w:r>
    </w:p>
    <w:p>
      <w:pPr>
        <w:spacing w:before="0" w:after="120" w:line="276" w:lineRule="auto"/>
      </w:pPr>
      <w:r>
        <w:rPr>
          <w:rFonts w:ascii="Calibri" w:hAnsi="Calibri" w:eastAsia="宋体"/>
          <w:b w:val="0"/>
          <w:sz w:val="22"/>
        </w:rPr>
        <w:t>2. 微信升级、大风车变化、模型接口异常、云服务异常、甲方设备网络账号问题、新增需求、二期产品化、账号封禁处理、长期运维均不属于免费支持范围。</w:t>
      </w:r>
    </w:p>
    <w:p>
      <w:pPr>
        <w:spacing w:before="0" w:after="120" w:line="276" w:lineRule="auto"/>
      </w:pPr>
      <w:r>
        <w:rPr>
          <w:rFonts w:ascii="Calibri" w:hAnsi="Calibri" w:eastAsia="宋体"/>
          <w:b w:val="0"/>
          <w:sz w:val="22"/>
        </w:rPr>
        <w:t>3. 甲方电脑、服务器、操作系统、网络、远程桌面、防火墙、杀毒软件、微信客户端安装或登录、硬件故障、云资源、第三方账号、接口权限等基础环境问题，不属于乙方免费售后支持范围。乙方应甲方要求协助排查的，另行计费。</w:t>
      </w:r>
    </w:p>
    <w:p>
      <w:pPr>
        <w:spacing w:before="320" w:after="160" w:line="276" w:lineRule="auto"/>
      </w:pPr>
      <w:r>
        <w:rPr>
          <w:rFonts w:ascii="Calibri" w:hAnsi="Calibri" w:eastAsia="宋体"/>
          <w:b/>
          <w:color w:val="1F4D78"/>
          <w:sz w:val="30"/>
        </w:rPr>
        <w:t>第十三条 违约与责任限制</w:t>
      </w:r>
    </w:p>
    <w:p>
      <w:pPr>
        <w:spacing w:before="0" w:after="120" w:line="276" w:lineRule="auto"/>
      </w:pPr>
      <w:r>
        <w:rPr>
          <w:rFonts w:ascii="Calibri" w:hAnsi="Calibri" w:eastAsia="宋体"/>
          <w:b w:val="0"/>
          <w:sz w:val="22"/>
        </w:rPr>
        <w:t>1. 任一方违约，应赔偿守约方因此遭受的直接损失。</w:t>
      </w:r>
    </w:p>
    <w:p>
      <w:pPr>
        <w:spacing w:before="0" w:after="120" w:line="276" w:lineRule="auto"/>
      </w:pPr>
      <w:r>
        <w:rPr>
          <w:rFonts w:ascii="Calibri" w:hAnsi="Calibri" w:eastAsia="宋体"/>
          <w:b w:val="0"/>
          <w:sz w:val="22"/>
        </w:rPr>
        <w:t>2. 乙方对甲方承担的责任总额，以甲方已实际支付给乙方的款项为上限。</w:t>
      </w:r>
    </w:p>
    <w:p>
      <w:pPr>
        <w:spacing w:before="0" w:after="120" w:line="276" w:lineRule="auto"/>
      </w:pPr>
      <w:r>
        <w:rPr>
          <w:rFonts w:ascii="Calibri" w:hAnsi="Calibri" w:eastAsia="宋体"/>
          <w:b w:val="0"/>
          <w:sz w:val="22"/>
        </w:rPr>
        <w:t>3. 乙方不承担间接损失、预期利益损失、利润损失、营业中断、客户流失、商誉损失、数据丢失、平台处罚、账号封禁、客户投诉、第三方索赔等责任。</w:t>
      </w:r>
    </w:p>
    <w:p>
      <w:pPr>
        <w:spacing w:before="0" w:after="120" w:line="276" w:lineRule="auto"/>
      </w:pPr>
      <w:r>
        <w:rPr>
          <w:rFonts w:ascii="Calibri" w:hAnsi="Calibri" w:eastAsia="宋体"/>
          <w:b w:val="0"/>
          <w:sz w:val="22"/>
        </w:rPr>
        <w:t>4. 甲方违反数据合规、平台规则、账号使用、知识产权、保密或风险承责条款的，应赔偿乙方全部损失。</w:t>
      </w:r>
    </w:p>
    <w:p>
      <w:pPr>
        <w:spacing w:before="320" w:after="160" w:line="276" w:lineRule="auto"/>
      </w:pPr>
      <w:r>
        <w:rPr>
          <w:rFonts w:ascii="Calibri" w:hAnsi="Calibri" w:eastAsia="宋体"/>
          <w:b/>
          <w:color w:val="1F4D78"/>
          <w:sz w:val="30"/>
        </w:rPr>
        <w:t>第十四条 终止</w:t>
      </w:r>
    </w:p>
    <w:p>
      <w:pPr>
        <w:spacing w:before="0" w:after="120" w:line="276" w:lineRule="auto"/>
      </w:pPr>
      <w:r>
        <w:rPr>
          <w:rFonts w:ascii="Calibri" w:hAnsi="Calibri" w:eastAsia="宋体"/>
          <w:b w:val="0"/>
          <w:sz w:val="22"/>
        </w:rPr>
        <w:t>1. 双方协商一致可终止合同。</w:t>
      </w:r>
    </w:p>
    <w:p>
      <w:pPr>
        <w:spacing w:before="0" w:after="120" w:line="276" w:lineRule="auto"/>
      </w:pPr>
      <w:r>
        <w:rPr>
          <w:rFonts w:ascii="Calibri" w:hAnsi="Calibri" w:eastAsia="宋体"/>
          <w:b w:val="0"/>
          <w:sz w:val="22"/>
        </w:rPr>
        <w:t>2. 甲方逾期付款、拒不配合、要求乙方实施违法违规功能或严重违反本合同的，乙方有权暂停服务或解除合同。</w:t>
      </w:r>
    </w:p>
    <w:p>
      <w:pPr>
        <w:spacing w:before="0" w:after="120" w:line="276" w:lineRule="auto"/>
      </w:pPr>
      <w:r>
        <w:rPr>
          <w:rFonts w:ascii="Calibri" w:hAnsi="Calibri" w:eastAsia="宋体"/>
          <w:b w:val="0"/>
          <w:sz w:val="22"/>
        </w:rPr>
        <w:t>3. 合同终止时，甲方应结清乙方已完成工作对应费用及到期款项。</w:t>
      </w:r>
    </w:p>
    <w:p>
      <w:pPr>
        <w:spacing w:before="0" w:after="120" w:line="276" w:lineRule="auto"/>
      </w:pPr>
      <w:r>
        <w:rPr>
          <w:rFonts w:ascii="Calibri" w:hAnsi="Calibri" w:eastAsia="宋体"/>
          <w:b w:val="0"/>
          <w:sz w:val="22"/>
        </w:rPr>
        <w:t>4. 知识产权、保密、数据合规、风险承担、责任限制、争议解决条款在合同终止后继续有效。</w:t>
      </w:r>
    </w:p>
    <w:p>
      <w:pPr>
        <w:spacing w:before="320" w:after="160" w:line="276" w:lineRule="auto"/>
      </w:pPr>
      <w:r>
        <w:rPr>
          <w:rFonts w:ascii="Calibri" w:hAnsi="Calibri" w:eastAsia="宋体"/>
          <w:b/>
          <w:color w:val="1F4D78"/>
          <w:sz w:val="30"/>
        </w:rPr>
        <w:t>第十五条 不可抗力</w:t>
      </w:r>
    </w:p>
    <w:p>
      <w:pPr>
        <w:spacing w:before="0" w:after="120" w:line="276" w:lineRule="auto"/>
      </w:pPr>
      <w:r>
        <w:rPr>
          <w:rFonts w:ascii="Calibri" w:hAnsi="Calibri" w:eastAsia="宋体"/>
          <w:b w:val="0"/>
          <w:sz w:val="22"/>
        </w:rPr>
        <w:t>因自然灾害、政策变化、监管要求、网络攻击、公共云故障、第三方平台重大变更等不可抗力或不可归责于乙方的事件导致延期或无法履行的，乙方不承担违约责任，双方可协商变更或终止。</w:t>
      </w:r>
    </w:p>
    <w:p>
      <w:pPr>
        <w:spacing w:before="320" w:after="160" w:line="276" w:lineRule="auto"/>
      </w:pPr>
      <w:r>
        <w:rPr>
          <w:rFonts w:ascii="Calibri" w:hAnsi="Calibri" w:eastAsia="宋体"/>
          <w:b/>
          <w:color w:val="1F4D78"/>
          <w:sz w:val="30"/>
        </w:rPr>
        <w:t>第十六条 通知与争议解决</w:t>
      </w:r>
    </w:p>
    <w:p>
      <w:pPr>
        <w:spacing w:before="0" w:after="120" w:line="276" w:lineRule="auto"/>
      </w:pPr>
      <w:r>
        <w:rPr>
          <w:rFonts w:ascii="Calibri" w:hAnsi="Calibri" w:eastAsia="宋体"/>
          <w:b w:val="0"/>
          <w:sz w:val="22"/>
        </w:rPr>
        <w:t>1. 双方通过合同载明地址、电子邮件、微信、企业微信或项目群发送通知，均可作为有效通知方式。</w:t>
      </w:r>
    </w:p>
    <w:p>
      <w:pPr>
        <w:spacing w:before="0" w:after="120" w:line="276" w:lineRule="auto"/>
      </w:pPr>
      <w:r>
        <w:rPr>
          <w:rFonts w:ascii="Calibri" w:hAnsi="Calibri" w:eastAsia="宋体"/>
          <w:b w:val="0"/>
          <w:sz w:val="22"/>
        </w:rPr>
        <w:t>2. 本合同适用中华人民共和国大陆地区法律。</w:t>
      </w:r>
    </w:p>
    <w:p>
      <w:pPr>
        <w:spacing w:before="0" w:after="120" w:line="276" w:lineRule="auto"/>
      </w:pPr>
      <w:r>
        <w:rPr>
          <w:rFonts w:ascii="Calibri" w:hAnsi="Calibri" w:eastAsia="宋体"/>
          <w:b w:val="0"/>
          <w:sz w:val="22"/>
        </w:rPr>
        <w:t>3. 因本合同产生争议，双方应协商解决；协商不成的，提交【】有管辖权的人民法院诉讼解决。</w:t>
      </w:r>
    </w:p>
    <w:p>
      <w:pPr>
        <w:spacing w:before="320" w:after="160" w:line="276" w:lineRule="auto"/>
      </w:pPr>
      <w:r>
        <w:rPr>
          <w:rFonts w:ascii="Calibri" w:hAnsi="Calibri" w:eastAsia="宋体"/>
          <w:b/>
          <w:color w:val="1F4D78"/>
          <w:sz w:val="30"/>
        </w:rPr>
        <w:t>第十七条 附件</w:t>
      </w:r>
    </w:p>
    <w:p>
      <w:pPr>
        <w:spacing w:before="0" w:after="120" w:line="276" w:lineRule="auto"/>
      </w:pPr>
      <w:r>
        <w:rPr>
          <w:rFonts w:ascii="Calibri" w:hAnsi="Calibri" w:eastAsia="宋体"/>
          <w:b w:val="0"/>
          <w:sz w:val="22"/>
        </w:rPr>
        <w:t>附件一：《AI智能客服售前跟进系统技术方案手册》</w:t>
      </w:r>
    </w:p>
    <w:p>
      <w:pPr>
        <w:spacing w:before="0" w:after="120" w:line="276" w:lineRule="auto"/>
      </w:pPr>
      <w:r>
        <w:rPr>
          <w:rFonts w:ascii="Calibri" w:hAnsi="Calibri" w:eastAsia="宋体"/>
          <w:b w:val="0"/>
          <w:sz w:val="22"/>
        </w:rPr>
        <w:t>附件二：《项目验收清单》</w:t>
      </w:r>
    </w:p>
    <w:p>
      <w:pPr>
        <w:spacing w:before="0" w:after="120" w:line="276" w:lineRule="auto"/>
      </w:pPr>
      <w:r>
        <w:rPr>
          <w:rFonts w:ascii="Calibri" w:hAnsi="Calibri" w:eastAsia="宋体"/>
          <w:b w:val="0"/>
          <w:sz w:val="22"/>
        </w:rPr>
        <w:t>附件三：《微信/RPA账号风控风险确认书》</w:t>
      </w:r>
    </w:p>
    <w:p>
      <w:pPr>
        <w:spacing w:before="0" w:after="120" w:line="276" w:lineRule="auto"/>
      </w:pPr>
      <w:r>
        <w:rPr>
          <w:rFonts w:ascii="Calibri" w:hAnsi="Calibri" w:eastAsia="宋体"/>
          <w:b w:val="0"/>
          <w:sz w:val="22"/>
        </w:rPr>
        <w:t>附件四：《数据处理与保密补充协议》</w:t>
      </w:r>
    </w:p>
    <w:p>
      <w:pPr>
        <w:spacing w:before="0" w:after="120" w:line="276" w:lineRule="auto"/>
      </w:pPr>
      <w:r>
        <w:rPr>
          <w:rFonts w:ascii="Calibri" w:hAnsi="Calibri" w:eastAsia="宋体"/>
          <w:b w:val="0"/>
          <w:sz w:val="22"/>
        </w:rPr>
        <w:t>本合同正文与附件不一致的，涉及付款、验收、风险承担、知识产权、责任限制的内容以合同正文为准。</w:t>
      </w:r>
    </w:p>
    <w:p>
      <w:pPr>
        <w:spacing w:before="0" w:after="280" w:line="276" w:lineRule="auto"/>
      </w:pPr>
      <w:r>
        <w:rPr>
          <w:rFonts w:ascii="Calibri" w:hAnsi="Calibri" w:eastAsia="宋体"/>
          <w:b w:val="0"/>
          <w:sz w:val="22"/>
        </w:rPr>
        <w:br/>
        <w:t>甲方盖章：____________________        乙方盖章：____________________</w:t>
      </w:r>
    </w:p>
    <w:p>
      <w:pPr>
        <w:spacing w:before="0" w:after="280" w:line="276" w:lineRule="auto"/>
      </w:pPr>
      <w:r>
        <w:rPr>
          <w:rFonts w:ascii="Calibri" w:hAnsi="Calibri" w:eastAsia="宋体"/>
          <w:b w:val="0"/>
          <w:sz w:val="22"/>
        </w:rPr>
        <w:t>授权代表：____________________        授权代表：____________________</w:t>
      </w:r>
    </w:p>
    <w:p>
      <w:pPr>
        <w:spacing w:before="0" w:after="280" w:line="276" w:lineRule="auto"/>
      </w:pPr>
      <w:r>
        <w:rPr>
          <w:rFonts w:ascii="Calibri" w:hAnsi="Calibri" w:eastAsia="宋体"/>
          <w:b w:val="0"/>
          <w:sz w:val="22"/>
        </w:rPr>
        <w:t>签署日期：______年____月____日        签署日期：______年____月____日</w:t>
      </w:r>
    </w:p>
    <w:p>
      <w:r>
        <w:br w:type="page"/>
      </w:r>
    </w:p>
    <w:p>
      <w:pPr>
        <w:spacing w:before="320" w:after="160" w:line="276" w:lineRule="auto"/>
      </w:pPr>
      <w:r>
        <w:rPr>
          <w:rFonts w:ascii="Calibri" w:hAnsi="Calibri" w:eastAsia="宋体"/>
          <w:b/>
          <w:color w:val="1F4D78"/>
          <w:sz w:val="30"/>
        </w:rPr>
        <w:t>附件一：AI智能客服售前跟进系统技术方案手册</w:t>
      </w:r>
    </w:p>
    <w:p>
      <w:pPr>
        <w:spacing w:before="0" w:after="120" w:line="276" w:lineRule="auto"/>
      </w:pPr>
      <w:r>
        <w:rPr>
          <w:rFonts w:ascii="Calibri" w:hAnsi="Calibri" w:eastAsia="宋体"/>
          <w:b w:val="0"/>
          <w:sz w:val="22"/>
        </w:rPr>
        <w:t>1. 项目定位：本项目为抖音小风车手机号线索驱动的个人微信 AI 销售预跟进 MVP 系统，目标是验证线索承接、自动加好友、AI 暖场、图文回复、风险接管和人工接管闭环。</w:t>
      </w:r>
    </w:p>
    <w:p>
      <w:pPr>
        <w:spacing w:before="0" w:after="120" w:line="276" w:lineRule="auto"/>
      </w:pPr>
      <w:r>
        <w:rPr>
          <w:rFonts w:ascii="Calibri" w:hAnsi="Calibri" w:eastAsia="宋体"/>
          <w:b w:val="0"/>
          <w:sz w:val="22"/>
        </w:rPr>
        <w:t>2. 系统边界：业务状态由控制面记录，微信操作由 RPA Worker 执行，AI 回复由回复引擎生成，图片理解和车源检索作为辅助输入，Guard 规则负责限制高风险输出。</w:t>
      </w:r>
    </w:p>
    <w:p>
      <w:pPr>
        <w:spacing w:before="0" w:after="120" w:line="276" w:lineRule="auto"/>
      </w:pPr>
      <w:r>
        <w:rPr>
          <w:rFonts w:ascii="Calibri" w:hAnsi="Calibri" w:eastAsia="宋体"/>
          <w:b w:val="0"/>
          <w:sz w:val="22"/>
        </w:rPr>
        <w:t>3. 包含模块：线索导入、销售分配、RPA 加好友、备注绑定、文字 AI 回复、图片采集、视觉理解、车源索引、大风车基础适配、高风险转人工、日志记录。</w:t>
      </w:r>
    </w:p>
    <w:p>
      <w:pPr>
        <w:spacing w:before="0" w:after="120" w:line="276" w:lineRule="auto"/>
      </w:pPr>
      <w:r>
        <w:rPr>
          <w:rFonts w:ascii="Calibri" w:hAnsi="Calibri" w:eastAsia="宋体"/>
          <w:b w:val="0"/>
          <w:sz w:val="22"/>
        </w:rPr>
        <w:t>4. 不包含模块：完整 SaaS、多租户、计费、复杂权限、复杂 BI、模型微调、高可用、长期运维、微信封号解封、第三方官方授权申请、基础设施和网络环境建设。</w:t>
      </w:r>
    </w:p>
    <w:p>
      <w:pPr>
        <w:spacing w:before="0" w:after="120" w:line="276" w:lineRule="auto"/>
      </w:pPr>
      <w:r>
        <w:rPr>
          <w:rFonts w:ascii="Calibri" w:hAnsi="Calibri" w:eastAsia="宋体"/>
          <w:b w:val="0"/>
          <w:sz w:val="22"/>
        </w:rPr>
        <w:t>5. AI 边界：AI 不得承诺最低价、底价、经理价、车况绝对无事故、金融审批结果、合同条款、退款或过户时效等高风险事项。命中高风险场景时应转人工、停止回复或限制回复。</w:t>
      </w:r>
    </w:p>
    <w:p>
      <w:pPr>
        <w:spacing w:before="0" w:after="120" w:line="276" w:lineRule="auto"/>
      </w:pPr>
      <w:r>
        <w:rPr>
          <w:rFonts w:ascii="Calibri" w:hAnsi="Calibri" w:eastAsia="宋体"/>
          <w:b w:val="0"/>
          <w:sz w:val="22"/>
        </w:rPr>
        <w:t>6. 平台边界：微信、大风车、模型服务商、云服务商等第三方平台能力不属于乙方承诺范围。第三方变化导致的适配、重构、重测或替代方案开发，另行计费。</w:t>
      </w:r>
    </w:p>
    <w:p>
      <w:r>
        <w:br w:type="page"/>
      </w:r>
    </w:p>
    <w:p>
      <w:pPr>
        <w:spacing w:before="320" w:after="160" w:line="276" w:lineRule="auto"/>
      </w:pPr>
      <w:r>
        <w:rPr>
          <w:rFonts w:ascii="Calibri" w:hAnsi="Calibri" w:eastAsia="宋体"/>
          <w:b/>
          <w:color w:val="1F4D78"/>
          <w:sz w:val="30"/>
        </w:rPr>
        <w:t>附件二：项目验收清单</w:t>
      </w:r>
    </w:p>
    <w:p>
      <w:pPr>
        <w:spacing w:before="0" w:after="120" w:line="276" w:lineRule="auto"/>
      </w:pPr>
      <w:r>
        <w:rPr>
          <w:rFonts w:ascii="Calibri" w:hAnsi="Calibri" w:eastAsia="宋体"/>
          <w:b/>
          <w:sz w:val="22"/>
        </w:rPr>
        <w:t>本验收清单仅用于判断一期 MVP 范围内功能是否完成，不用于评价系统商业化成熟度、长期稳定运营能力、微信账号安全性、大风车接口持续可用性、AI 回复绝对准确性、客户转化率或销售成交效果。</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EF5"/>
          </w:tcPr>
          <w:p>
            <w:pPr>
              <w:spacing w:before="0" w:after="0" w:line="264" w:lineRule="auto"/>
              <w:jc w:val="left"/>
            </w:pPr>
            <w:r>
              <w:rPr>
                <w:rFonts w:ascii="Calibri" w:hAnsi="Calibri" w:eastAsia="宋体"/>
                <w:b/>
                <w:sz w:val="21"/>
              </w:rPr>
              <w:t>验收项</w:t>
            </w:r>
          </w:p>
        </w:tc>
        <w:tc>
          <w:tcPr>
            <w:tcW w:type="dxa" w:w="3120"/>
            <w:vAlign w:val="center"/>
            <w:shd w:fill="E8EEF5"/>
          </w:tcPr>
          <w:p>
            <w:pPr>
              <w:spacing w:before="0" w:after="0" w:line="264" w:lineRule="auto"/>
              <w:jc w:val="left"/>
            </w:pPr>
            <w:r>
              <w:rPr>
                <w:rFonts w:ascii="Calibri" w:hAnsi="Calibri" w:eastAsia="宋体"/>
                <w:b/>
                <w:sz w:val="21"/>
              </w:rPr>
              <w:t>通过标准</w:t>
            </w:r>
          </w:p>
        </w:tc>
        <w:tc>
          <w:tcPr>
            <w:tcW w:type="dxa" w:w="3120"/>
            <w:vAlign w:val="center"/>
            <w:shd w:fill="E8EEF5"/>
          </w:tcPr>
          <w:p>
            <w:pPr>
              <w:spacing w:before="0" w:after="0" w:line="264" w:lineRule="auto"/>
              <w:jc w:val="left"/>
            </w:pPr>
            <w:r>
              <w:rPr>
                <w:rFonts w:ascii="Calibri" w:hAnsi="Calibri" w:eastAsia="宋体"/>
                <w:b/>
                <w:sz w:val="21"/>
              </w:rPr>
              <w:t>备注</w:t>
            </w:r>
          </w:p>
        </w:tc>
      </w:tr>
      <w:tr>
        <w:tc>
          <w:tcPr>
            <w:tcW w:type="dxa" w:w="3120"/>
            <w:vAlign w:val="center"/>
          </w:tcPr>
          <w:p>
            <w:pPr>
              <w:spacing w:before="0" w:after="0" w:line="264" w:lineRule="auto"/>
              <w:jc w:val="left"/>
            </w:pPr>
            <w:r>
              <w:rPr>
                <w:rFonts w:ascii="Calibri" w:hAnsi="Calibri" w:eastAsia="宋体"/>
                <w:b w:val="0"/>
                <w:sz w:val="21"/>
              </w:rPr>
              <w:t>线索导入</w:t>
            </w:r>
          </w:p>
        </w:tc>
        <w:tc>
          <w:tcPr>
            <w:tcW w:type="dxa" w:w="3120"/>
            <w:vAlign w:val="center"/>
          </w:tcPr>
          <w:p>
            <w:pPr>
              <w:spacing w:before="0" w:after="0" w:line="264" w:lineRule="auto"/>
              <w:jc w:val="left"/>
            </w:pPr>
            <w:r>
              <w:rPr>
                <w:rFonts w:ascii="Calibri" w:hAnsi="Calibri" w:eastAsia="宋体"/>
                <w:b w:val="0"/>
                <w:sz w:val="21"/>
              </w:rPr>
              <w:t>可导入或录入手机号线索。</w:t>
            </w:r>
          </w:p>
        </w:tc>
        <w:tc>
          <w:tcPr>
            <w:tcW w:type="dxa" w:w="3120"/>
            <w:vAlign w:val="center"/>
          </w:tcPr>
          <w:p>
            <w:pPr>
              <w:spacing w:before="0" w:after="0" w:line="264" w:lineRule="auto"/>
              <w:jc w:val="left"/>
            </w:pPr>
            <w:r>
              <w:rPr>
                <w:rFonts w:ascii="Calibri" w:hAnsi="Calibri" w:eastAsia="宋体"/>
                <w:b w:val="0"/>
                <w:sz w:val="21"/>
              </w:rPr>
              <w:t>指定测试样本通过即可</w:t>
            </w:r>
          </w:p>
        </w:tc>
      </w:tr>
      <w:tr>
        <w:tc>
          <w:tcPr>
            <w:tcW w:type="dxa" w:w="3120"/>
            <w:vAlign w:val="center"/>
          </w:tcPr>
          <w:p>
            <w:pPr>
              <w:spacing w:before="0" w:after="0" w:line="264" w:lineRule="auto"/>
              <w:jc w:val="left"/>
            </w:pPr>
            <w:r>
              <w:rPr>
                <w:rFonts w:ascii="Calibri" w:hAnsi="Calibri" w:eastAsia="宋体"/>
                <w:b w:val="0"/>
                <w:sz w:val="21"/>
              </w:rPr>
              <w:t>销售分配</w:t>
            </w:r>
          </w:p>
        </w:tc>
        <w:tc>
          <w:tcPr>
            <w:tcW w:type="dxa" w:w="3120"/>
            <w:vAlign w:val="center"/>
          </w:tcPr>
          <w:p>
            <w:pPr>
              <w:spacing w:before="0" w:after="0" w:line="264" w:lineRule="auto"/>
              <w:jc w:val="left"/>
            </w:pPr>
            <w:r>
              <w:rPr>
                <w:rFonts w:ascii="Calibri" w:hAnsi="Calibri" w:eastAsia="宋体"/>
                <w:b w:val="0"/>
                <w:sz w:val="21"/>
              </w:rPr>
              <w:t>可将线索分配至指定销售。</w:t>
            </w:r>
          </w:p>
        </w:tc>
        <w:tc>
          <w:tcPr>
            <w:tcW w:type="dxa" w:w="3120"/>
            <w:vAlign w:val="center"/>
          </w:tcPr>
          <w:p>
            <w:pPr>
              <w:spacing w:before="0" w:after="0" w:line="264" w:lineRule="auto"/>
              <w:jc w:val="left"/>
            </w:pPr>
            <w:r>
              <w:rPr>
                <w:rFonts w:ascii="Calibri" w:hAnsi="Calibri" w:eastAsia="宋体"/>
                <w:b w:val="0"/>
                <w:sz w:val="21"/>
              </w:rPr>
              <w:t>按配置或人工规则</w:t>
            </w:r>
          </w:p>
        </w:tc>
      </w:tr>
      <w:tr>
        <w:tc>
          <w:tcPr>
            <w:tcW w:type="dxa" w:w="3120"/>
            <w:vAlign w:val="center"/>
          </w:tcPr>
          <w:p>
            <w:pPr>
              <w:spacing w:before="0" w:after="0" w:line="264" w:lineRule="auto"/>
              <w:jc w:val="left"/>
            </w:pPr>
            <w:r>
              <w:rPr>
                <w:rFonts w:ascii="Calibri" w:hAnsi="Calibri" w:eastAsia="宋体"/>
                <w:b w:val="0"/>
                <w:sz w:val="21"/>
              </w:rPr>
              <w:t>RPA加好友</w:t>
            </w:r>
          </w:p>
        </w:tc>
        <w:tc>
          <w:tcPr>
            <w:tcW w:type="dxa" w:w="3120"/>
            <w:vAlign w:val="center"/>
          </w:tcPr>
          <w:p>
            <w:pPr>
              <w:spacing w:before="0" w:after="0" w:line="264" w:lineRule="auto"/>
              <w:jc w:val="left"/>
            </w:pPr>
            <w:r>
              <w:rPr>
                <w:rFonts w:ascii="Calibri" w:hAnsi="Calibri" w:eastAsia="宋体"/>
                <w:b w:val="0"/>
                <w:sz w:val="21"/>
              </w:rPr>
              <w:t>可执行手机号搜索、好友申请提交，或记录失败原因。</w:t>
            </w:r>
          </w:p>
        </w:tc>
        <w:tc>
          <w:tcPr>
            <w:tcW w:type="dxa" w:w="3120"/>
            <w:vAlign w:val="center"/>
          </w:tcPr>
          <w:p>
            <w:pPr>
              <w:spacing w:before="0" w:after="0" w:line="264" w:lineRule="auto"/>
              <w:jc w:val="left"/>
            </w:pPr>
            <w:r>
              <w:rPr>
                <w:rFonts w:ascii="Calibri" w:hAnsi="Calibri" w:eastAsia="宋体"/>
                <w:b w:val="0"/>
                <w:sz w:val="21"/>
              </w:rPr>
              <w:t>平台风控不算缺陷</w:t>
            </w:r>
          </w:p>
        </w:tc>
      </w:tr>
      <w:tr>
        <w:tc>
          <w:tcPr>
            <w:tcW w:type="dxa" w:w="3120"/>
            <w:vAlign w:val="center"/>
          </w:tcPr>
          <w:p>
            <w:pPr>
              <w:spacing w:before="0" w:after="0" w:line="264" w:lineRule="auto"/>
              <w:jc w:val="left"/>
            </w:pPr>
            <w:r>
              <w:rPr>
                <w:rFonts w:ascii="Calibri" w:hAnsi="Calibri" w:eastAsia="宋体"/>
                <w:b w:val="0"/>
                <w:sz w:val="21"/>
              </w:rPr>
              <w:t>备注绑定</w:t>
            </w:r>
          </w:p>
        </w:tc>
        <w:tc>
          <w:tcPr>
            <w:tcW w:type="dxa" w:w="3120"/>
            <w:vAlign w:val="center"/>
          </w:tcPr>
          <w:p>
            <w:pPr>
              <w:spacing w:before="0" w:after="0" w:line="264" w:lineRule="auto"/>
              <w:jc w:val="left"/>
            </w:pPr>
            <w:r>
              <w:rPr>
                <w:rFonts w:ascii="Calibri" w:hAnsi="Calibri" w:eastAsia="宋体"/>
                <w:b w:val="0"/>
                <w:sz w:val="21"/>
              </w:rPr>
              <w:t>可执行备注绑定，或记录失败原因。</w:t>
            </w:r>
          </w:p>
        </w:tc>
        <w:tc>
          <w:tcPr>
            <w:tcW w:type="dxa" w:w="3120"/>
            <w:vAlign w:val="center"/>
          </w:tcPr>
          <w:p>
            <w:pPr>
              <w:spacing w:before="0" w:after="0" w:line="264" w:lineRule="auto"/>
              <w:jc w:val="left"/>
            </w:pPr>
            <w:r>
              <w:rPr>
                <w:rFonts w:ascii="Calibri" w:hAnsi="Calibri" w:eastAsia="宋体"/>
                <w:b w:val="0"/>
                <w:sz w:val="21"/>
              </w:rPr>
              <w:t>指定样本验证</w:t>
            </w:r>
          </w:p>
        </w:tc>
      </w:tr>
      <w:tr>
        <w:tc>
          <w:tcPr>
            <w:tcW w:type="dxa" w:w="3120"/>
            <w:vAlign w:val="center"/>
          </w:tcPr>
          <w:p>
            <w:pPr>
              <w:spacing w:before="0" w:after="0" w:line="264" w:lineRule="auto"/>
              <w:jc w:val="left"/>
            </w:pPr>
            <w:r>
              <w:rPr>
                <w:rFonts w:ascii="Calibri" w:hAnsi="Calibri" w:eastAsia="宋体"/>
                <w:b w:val="0"/>
                <w:sz w:val="21"/>
              </w:rPr>
              <w:t>文字AI回复</w:t>
            </w:r>
          </w:p>
        </w:tc>
        <w:tc>
          <w:tcPr>
            <w:tcW w:type="dxa" w:w="3120"/>
            <w:vAlign w:val="center"/>
          </w:tcPr>
          <w:p>
            <w:pPr>
              <w:spacing w:before="0" w:after="0" w:line="264" w:lineRule="auto"/>
              <w:jc w:val="left"/>
            </w:pPr>
            <w:r>
              <w:rPr>
                <w:rFonts w:ascii="Calibri" w:hAnsi="Calibri" w:eastAsia="宋体"/>
                <w:b w:val="0"/>
                <w:sz w:val="21"/>
              </w:rPr>
              <w:t>可生成文字回复并记录审计信息。</w:t>
            </w:r>
          </w:p>
        </w:tc>
        <w:tc>
          <w:tcPr>
            <w:tcW w:type="dxa" w:w="3120"/>
            <w:vAlign w:val="center"/>
          </w:tcPr>
          <w:p>
            <w:pPr>
              <w:spacing w:before="0" w:after="0" w:line="264" w:lineRule="auto"/>
              <w:jc w:val="left"/>
            </w:pPr>
            <w:r>
              <w:rPr>
                <w:rFonts w:ascii="Calibri" w:hAnsi="Calibri" w:eastAsia="宋体"/>
                <w:b w:val="0"/>
                <w:sz w:val="21"/>
              </w:rPr>
              <w:t>不以主观满意度验收</w:t>
            </w:r>
          </w:p>
        </w:tc>
      </w:tr>
      <w:tr>
        <w:tc>
          <w:tcPr>
            <w:tcW w:type="dxa" w:w="3120"/>
            <w:vAlign w:val="center"/>
          </w:tcPr>
          <w:p>
            <w:pPr>
              <w:spacing w:before="0" w:after="0" w:line="264" w:lineRule="auto"/>
              <w:jc w:val="left"/>
            </w:pPr>
            <w:r>
              <w:rPr>
                <w:rFonts w:ascii="Calibri" w:hAnsi="Calibri" w:eastAsia="宋体"/>
                <w:b w:val="0"/>
                <w:sz w:val="21"/>
              </w:rPr>
              <w:t>人工接管</w:t>
            </w:r>
          </w:p>
        </w:tc>
        <w:tc>
          <w:tcPr>
            <w:tcW w:type="dxa" w:w="3120"/>
            <w:vAlign w:val="center"/>
          </w:tcPr>
          <w:p>
            <w:pPr>
              <w:spacing w:before="0" w:after="0" w:line="264" w:lineRule="auto"/>
              <w:jc w:val="left"/>
            </w:pPr>
            <w:r>
              <w:rPr>
                <w:rFonts w:ascii="Calibri" w:hAnsi="Calibri" w:eastAsia="宋体"/>
                <w:b w:val="0"/>
                <w:sz w:val="21"/>
              </w:rPr>
              <w:t>销售手动回复后可停止AI自动回复。</w:t>
            </w:r>
          </w:p>
        </w:tc>
        <w:tc>
          <w:tcPr>
            <w:tcW w:type="dxa" w:w="3120"/>
            <w:vAlign w:val="center"/>
          </w:tcPr>
          <w:p>
            <w:pPr>
              <w:spacing w:before="0" w:after="0" w:line="264" w:lineRule="auto"/>
              <w:jc w:val="left"/>
            </w:pPr>
            <w:r>
              <w:rPr>
                <w:rFonts w:ascii="Calibri" w:hAnsi="Calibri" w:eastAsia="宋体"/>
                <w:b w:val="0"/>
                <w:sz w:val="21"/>
              </w:rPr>
              <w:t>指定会话验证</w:t>
            </w:r>
          </w:p>
        </w:tc>
      </w:tr>
      <w:tr>
        <w:tc>
          <w:tcPr>
            <w:tcW w:type="dxa" w:w="3120"/>
            <w:vAlign w:val="center"/>
          </w:tcPr>
          <w:p>
            <w:pPr>
              <w:spacing w:before="0" w:after="0" w:line="264" w:lineRule="auto"/>
              <w:jc w:val="left"/>
            </w:pPr>
            <w:r>
              <w:rPr>
                <w:rFonts w:ascii="Calibri" w:hAnsi="Calibri" w:eastAsia="宋体"/>
                <w:b w:val="0"/>
                <w:sz w:val="21"/>
              </w:rPr>
              <w:t>图片采集</w:t>
            </w:r>
          </w:p>
        </w:tc>
        <w:tc>
          <w:tcPr>
            <w:tcW w:type="dxa" w:w="3120"/>
            <w:vAlign w:val="center"/>
          </w:tcPr>
          <w:p>
            <w:pPr>
              <w:spacing w:before="0" w:after="0" w:line="264" w:lineRule="auto"/>
              <w:jc w:val="left"/>
            </w:pPr>
            <w:r>
              <w:rPr>
                <w:rFonts w:ascii="Calibri" w:hAnsi="Calibri" w:eastAsia="宋体"/>
                <w:b w:val="0"/>
                <w:sz w:val="21"/>
              </w:rPr>
              <w:t>可识别、采集或保存图片，或记录失败原因。</w:t>
            </w:r>
          </w:p>
        </w:tc>
        <w:tc>
          <w:tcPr>
            <w:tcW w:type="dxa" w:w="3120"/>
            <w:vAlign w:val="center"/>
          </w:tcPr>
          <w:p>
            <w:pPr>
              <w:spacing w:before="0" w:after="0" w:line="264" w:lineRule="auto"/>
              <w:jc w:val="left"/>
            </w:pPr>
            <w:r>
              <w:rPr>
                <w:rFonts w:ascii="Calibri" w:hAnsi="Calibri" w:eastAsia="宋体"/>
                <w:b w:val="0"/>
                <w:sz w:val="21"/>
              </w:rPr>
              <w:t>图片过期不算缺陷</w:t>
            </w:r>
          </w:p>
        </w:tc>
      </w:tr>
      <w:tr>
        <w:tc>
          <w:tcPr>
            <w:tcW w:type="dxa" w:w="3120"/>
            <w:vAlign w:val="center"/>
          </w:tcPr>
          <w:p>
            <w:pPr>
              <w:spacing w:before="0" w:after="0" w:line="264" w:lineRule="auto"/>
              <w:jc w:val="left"/>
            </w:pPr>
            <w:r>
              <w:rPr>
                <w:rFonts w:ascii="Calibri" w:hAnsi="Calibri" w:eastAsia="宋体"/>
                <w:b w:val="0"/>
                <w:sz w:val="21"/>
              </w:rPr>
              <w:t>视觉理解</w:t>
            </w:r>
          </w:p>
        </w:tc>
        <w:tc>
          <w:tcPr>
            <w:tcW w:type="dxa" w:w="3120"/>
            <w:vAlign w:val="center"/>
          </w:tcPr>
          <w:p>
            <w:pPr>
              <w:spacing w:before="0" w:after="0" w:line="264" w:lineRule="auto"/>
              <w:jc w:val="left"/>
            </w:pPr>
            <w:r>
              <w:rPr>
                <w:rFonts w:ascii="Calibri" w:hAnsi="Calibri" w:eastAsia="宋体"/>
                <w:b w:val="0"/>
                <w:sz w:val="21"/>
              </w:rPr>
              <w:t>可调用视觉模型并输出图片理解结果。</w:t>
            </w:r>
          </w:p>
        </w:tc>
        <w:tc>
          <w:tcPr>
            <w:tcW w:type="dxa" w:w="3120"/>
            <w:vAlign w:val="center"/>
          </w:tcPr>
          <w:p>
            <w:pPr>
              <w:spacing w:before="0" w:after="0" w:line="264" w:lineRule="auto"/>
              <w:jc w:val="left"/>
            </w:pPr>
            <w:r>
              <w:rPr>
                <w:rFonts w:ascii="Calibri" w:hAnsi="Calibri" w:eastAsia="宋体"/>
                <w:b w:val="0"/>
                <w:sz w:val="21"/>
              </w:rPr>
              <w:t>模型偏差不当然算缺陷</w:t>
            </w:r>
          </w:p>
        </w:tc>
      </w:tr>
      <w:tr>
        <w:tc>
          <w:tcPr>
            <w:tcW w:type="dxa" w:w="3120"/>
            <w:vAlign w:val="center"/>
          </w:tcPr>
          <w:p>
            <w:pPr>
              <w:spacing w:before="0" w:after="0" w:line="264" w:lineRule="auto"/>
              <w:jc w:val="left"/>
            </w:pPr>
            <w:r>
              <w:rPr>
                <w:rFonts w:ascii="Calibri" w:hAnsi="Calibri" w:eastAsia="宋体"/>
                <w:b w:val="0"/>
                <w:sz w:val="21"/>
              </w:rPr>
              <w:t>车源索引</w:t>
            </w:r>
          </w:p>
        </w:tc>
        <w:tc>
          <w:tcPr>
            <w:tcW w:type="dxa" w:w="3120"/>
            <w:vAlign w:val="center"/>
          </w:tcPr>
          <w:p>
            <w:pPr>
              <w:spacing w:before="0" w:after="0" w:line="264" w:lineRule="auto"/>
              <w:jc w:val="left"/>
            </w:pPr>
            <w:r>
              <w:rPr>
                <w:rFonts w:ascii="Calibri" w:hAnsi="Calibri" w:eastAsia="宋体"/>
                <w:b w:val="0"/>
                <w:sz w:val="21"/>
              </w:rPr>
              <w:t>可建立或查询本地车源索引。</w:t>
            </w:r>
          </w:p>
        </w:tc>
        <w:tc>
          <w:tcPr>
            <w:tcW w:type="dxa" w:w="3120"/>
            <w:vAlign w:val="center"/>
          </w:tcPr>
          <w:p>
            <w:pPr>
              <w:spacing w:before="0" w:after="0" w:line="264" w:lineRule="auto"/>
              <w:jc w:val="left"/>
            </w:pPr>
            <w:r>
              <w:rPr>
                <w:rFonts w:ascii="Calibri" w:hAnsi="Calibri" w:eastAsia="宋体"/>
                <w:b w:val="0"/>
                <w:sz w:val="21"/>
              </w:rPr>
              <w:t>以甲方有效数据为前提</w:t>
            </w:r>
          </w:p>
        </w:tc>
      </w:tr>
      <w:tr>
        <w:tc>
          <w:tcPr>
            <w:tcW w:type="dxa" w:w="3120"/>
            <w:vAlign w:val="center"/>
          </w:tcPr>
          <w:p>
            <w:pPr>
              <w:spacing w:before="0" w:after="0" w:line="264" w:lineRule="auto"/>
              <w:jc w:val="left"/>
            </w:pPr>
            <w:r>
              <w:rPr>
                <w:rFonts w:ascii="Calibri" w:hAnsi="Calibri" w:eastAsia="宋体"/>
                <w:b w:val="0"/>
                <w:sz w:val="21"/>
              </w:rPr>
              <w:t>大风车适配</w:t>
            </w:r>
          </w:p>
        </w:tc>
        <w:tc>
          <w:tcPr>
            <w:tcW w:type="dxa" w:w="3120"/>
            <w:vAlign w:val="center"/>
          </w:tcPr>
          <w:p>
            <w:pPr>
              <w:spacing w:before="0" w:after="0" w:line="264" w:lineRule="auto"/>
              <w:jc w:val="left"/>
            </w:pPr>
            <w:r>
              <w:rPr>
                <w:rFonts w:ascii="Calibri" w:hAnsi="Calibri" w:eastAsia="宋体"/>
                <w:b w:val="0"/>
                <w:sz w:val="21"/>
              </w:rPr>
              <w:t>可完成基础接口适配，或记录接口调用失败原因。</w:t>
            </w:r>
          </w:p>
        </w:tc>
        <w:tc>
          <w:tcPr>
            <w:tcW w:type="dxa" w:w="3120"/>
            <w:vAlign w:val="center"/>
          </w:tcPr>
          <w:p>
            <w:pPr>
              <w:spacing w:before="0" w:after="0" w:line="264" w:lineRule="auto"/>
              <w:jc w:val="left"/>
            </w:pPr>
            <w:r>
              <w:rPr>
                <w:rFonts w:ascii="Calibri" w:hAnsi="Calibri" w:eastAsia="宋体"/>
                <w:b w:val="0"/>
                <w:sz w:val="21"/>
              </w:rPr>
              <w:t>接口权限由甲方负责</w:t>
            </w:r>
          </w:p>
        </w:tc>
      </w:tr>
      <w:tr>
        <w:tc>
          <w:tcPr>
            <w:tcW w:type="dxa" w:w="3120"/>
            <w:vAlign w:val="center"/>
          </w:tcPr>
          <w:p>
            <w:pPr>
              <w:spacing w:before="0" w:after="0" w:line="264" w:lineRule="auto"/>
              <w:jc w:val="left"/>
            </w:pPr>
            <w:r>
              <w:rPr>
                <w:rFonts w:ascii="Calibri" w:hAnsi="Calibri" w:eastAsia="宋体"/>
                <w:b w:val="0"/>
                <w:sz w:val="21"/>
              </w:rPr>
              <w:t>风控接管</w:t>
            </w:r>
          </w:p>
        </w:tc>
        <w:tc>
          <w:tcPr>
            <w:tcW w:type="dxa" w:w="3120"/>
            <w:vAlign w:val="center"/>
          </w:tcPr>
          <w:p>
            <w:pPr>
              <w:spacing w:before="0" w:after="0" w:line="264" w:lineRule="auto"/>
              <w:jc w:val="left"/>
            </w:pPr>
            <w:r>
              <w:rPr>
                <w:rFonts w:ascii="Calibri" w:hAnsi="Calibri" w:eastAsia="宋体"/>
                <w:b w:val="0"/>
                <w:sz w:val="21"/>
              </w:rPr>
              <w:t>高风险问题可触发转人工、停止回复或限制回复。</w:t>
            </w:r>
          </w:p>
        </w:tc>
        <w:tc>
          <w:tcPr>
            <w:tcW w:type="dxa" w:w="3120"/>
            <w:vAlign w:val="center"/>
          </w:tcPr>
          <w:p>
            <w:pPr>
              <w:spacing w:before="0" w:after="0" w:line="264" w:lineRule="auto"/>
              <w:jc w:val="left"/>
            </w:pPr>
            <w:r>
              <w:rPr>
                <w:rFonts w:ascii="Calibri" w:hAnsi="Calibri" w:eastAsia="宋体"/>
                <w:b w:val="0"/>
                <w:sz w:val="21"/>
              </w:rPr>
              <w:t>指定样本验证</w:t>
            </w:r>
          </w:p>
        </w:tc>
      </w:tr>
      <w:tr>
        <w:tc>
          <w:tcPr>
            <w:tcW w:type="dxa" w:w="3120"/>
            <w:vAlign w:val="center"/>
          </w:tcPr>
          <w:p>
            <w:pPr>
              <w:spacing w:before="0" w:after="0" w:line="264" w:lineRule="auto"/>
              <w:jc w:val="left"/>
            </w:pPr>
            <w:r>
              <w:rPr>
                <w:rFonts w:ascii="Calibri" w:hAnsi="Calibri" w:eastAsia="宋体"/>
                <w:b w:val="0"/>
                <w:sz w:val="21"/>
              </w:rPr>
              <w:t>日志记录</w:t>
            </w:r>
          </w:p>
        </w:tc>
        <w:tc>
          <w:tcPr>
            <w:tcW w:type="dxa" w:w="3120"/>
            <w:vAlign w:val="center"/>
          </w:tcPr>
          <w:p>
            <w:pPr>
              <w:spacing w:before="0" w:after="0" w:line="264" w:lineRule="auto"/>
              <w:jc w:val="left"/>
            </w:pPr>
            <w:r>
              <w:rPr>
                <w:rFonts w:ascii="Calibri" w:hAnsi="Calibri" w:eastAsia="宋体"/>
                <w:b w:val="0"/>
                <w:sz w:val="21"/>
              </w:rPr>
              <w:t>关键操作可形成状态或失败原因记录。</w:t>
            </w:r>
          </w:p>
        </w:tc>
        <w:tc>
          <w:tcPr>
            <w:tcW w:type="dxa" w:w="3120"/>
            <w:vAlign w:val="center"/>
          </w:tcPr>
          <w:p>
            <w:pPr>
              <w:spacing w:before="0" w:after="0" w:line="264" w:lineRule="auto"/>
              <w:jc w:val="left"/>
            </w:pPr>
            <w:r>
              <w:rPr>
                <w:rFonts w:ascii="Calibri" w:hAnsi="Calibri" w:eastAsia="宋体"/>
                <w:b w:val="0"/>
                <w:sz w:val="21"/>
              </w:rPr>
              <w:t>用于排查和验收</w:t>
            </w:r>
          </w:p>
        </w:tc>
      </w:tr>
    </w:tbl>
    <w:p>
      <w:pPr>
        <w:spacing w:before="0" w:after="40" w:line="276" w:lineRule="auto"/>
      </w:pPr>
      <w:r>
        <w:rPr>
          <w:rFonts w:ascii="Calibri" w:hAnsi="Calibri" w:eastAsia="宋体"/>
          <w:b w:val="0"/>
          <w:sz w:val="22"/>
        </w:rPr>
      </w:r>
    </w:p>
    <w:p>
      <w:r>
        <w:br w:type="page"/>
      </w:r>
    </w:p>
    <w:p>
      <w:pPr>
        <w:spacing w:before="320" w:after="160" w:line="276" w:lineRule="auto"/>
      </w:pPr>
      <w:r>
        <w:rPr>
          <w:rFonts w:ascii="Calibri" w:hAnsi="Calibri" w:eastAsia="宋体"/>
          <w:b/>
          <w:color w:val="1F4D78"/>
          <w:sz w:val="30"/>
        </w:rPr>
        <w:t>附件三：微信/RPA账号风控风险确认书</w:t>
      </w:r>
    </w:p>
    <w:p>
      <w:pPr>
        <w:spacing w:before="0" w:after="120" w:line="276" w:lineRule="auto"/>
      </w:pPr>
      <w:r>
        <w:rPr>
          <w:rFonts w:ascii="Calibri" w:hAnsi="Calibri" w:eastAsia="宋体"/>
          <w:b w:val="0"/>
          <w:sz w:val="22"/>
        </w:rPr>
        <w:t>1. 甲方确认，乙方已充分提示：本项目涉及 RPA 操作腾讯微信桌面客户端，可能触发微信平台风控。</w:t>
      </w:r>
    </w:p>
    <w:p>
      <w:pPr>
        <w:spacing w:before="0" w:after="120" w:line="276" w:lineRule="auto"/>
      </w:pPr>
      <w:r>
        <w:rPr>
          <w:rFonts w:ascii="Calibri" w:hAnsi="Calibri" w:eastAsia="宋体"/>
          <w:b w:val="0"/>
          <w:sz w:val="22"/>
        </w:rPr>
        <w:t>2. 风险包括但不限于：账号限制登录、限制添加好友、限制发消息、短期封禁、长期封禁、永久封禁、客户投诉、消息失败、业务中断、第三方索赔或平台处罚。</w:t>
      </w:r>
    </w:p>
    <w:p>
      <w:pPr>
        <w:spacing w:before="0" w:after="120" w:line="276" w:lineRule="auto"/>
      </w:pPr>
      <w:r>
        <w:rPr>
          <w:rFonts w:ascii="Calibri" w:hAnsi="Calibri" w:eastAsia="宋体"/>
          <w:b w:val="0"/>
          <w:sz w:val="22"/>
        </w:rPr>
        <w:t>3. 甲方自愿决定使用本系统及相关微信账号，并自行承担账号注册、实名、登录、养护、运营、营销触达、客户沟通、平台规则合规和风控后果。</w:t>
      </w:r>
    </w:p>
    <w:p>
      <w:pPr>
        <w:spacing w:before="0" w:after="120" w:line="276" w:lineRule="auto"/>
      </w:pPr>
      <w:r>
        <w:rPr>
          <w:rFonts w:ascii="Calibri" w:hAnsi="Calibri" w:eastAsia="宋体"/>
          <w:b w:val="0"/>
          <w:sz w:val="22"/>
        </w:rPr>
        <w:t>4. 乙方仅为技术服务提供方，不承诺规避微信风控，不承诺账号安全，不承诺好友通过率，不承诺客户转化率，不提供账号解封服务。</w:t>
      </w:r>
    </w:p>
    <w:p>
      <w:pPr>
        <w:spacing w:before="0" w:after="120" w:line="276" w:lineRule="auto"/>
      </w:pPr>
      <w:r>
        <w:rPr>
          <w:rFonts w:ascii="Calibri" w:hAnsi="Calibri" w:eastAsia="宋体"/>
          <w:b w:val="0"/>
          <w:sz w:val="22"/>
        </w:rPr>
        <w:t>5. 因甲方使用本系统或其业务行为导致乙方遭受投诉、索赔、调查、处罚或其他损失的，甲方应负责处理并赔偿乙方全部损失。</w:t>
      </w:r>
    </w:p>
    <w:p>
      <w:pPr>
        <w:spacing w:before="0" w:after="120" w:line="276" w:lineRule="auto"/>
      </w:pPr>
      <w:r>
        <w:rPr>
          <w:rFonts w:ascii="Calibri" w:hAnsi="Calibri" w:eastAsia="宋体"/>
          <w:b w:val="0"/>
          <w:sz w:val="22"/>
        </w:rPr>
        <w:br/>
        <w:t>甲方确认签署：____________________    日期：______年____月____日</w:t>
      </w:r>
    </w:p>
    <w:p>
      <w:r>
        <w:br w:type="page"/>
      </w:r>
    </w:p>
    <w:p>
      <w:pPr>
        <w:spacing w:before="320" w:after="160" w:line="276" w:lineRule="auto"/>
      </w:pPr>
      <w:r>
        <w:rPr>
          <w:rFonts w:ascii="Calibri" w:hAnsi="Calibri" w:eastAsia="宋体"/>
          <w:b/>
          <w:color w:val="1F4D78"/>
          <w:sz w:val="30"/>
        </w:rPr>
        <w:t>附件四：数据处理与保密补充协议</w:t>
      </w:r>
    </w:p>
    <w:p>
      <w:pPr>
        <w:spacing w:before="0" w:after="120" w:line="276" w:lineRule="auto"/>
      </w:pPr>
      <w:r>
        <w:rPr>
          <w:rFonts w:ascii="Calibri" w:hAnsi="Calibri" w:eastAsia="宋体"/>
          <w:b w:val="0"/>
          <w:sz w:val="22"/>
        </w:rPr>
        <w:t>1. 甲方保证其提供或授权处理的手机号线索、聊天记录、图片、车源数据、客户资料、员工资料、接口密钥、销售话术、业务规则均来源合法、授权充分。</w:t>
      </w:r>
    </w:p>
    <w:p>
      <w:pPr>
        <w:spacing w:before="0" w:after="120" w:line="276" w:lineRule="auto"/>
      </w:pPr>
      <w:r>
        <w:rPr>
          <w:rFonts w:ascii="Calibri" w:hAnsi="Calibri" w:eastAsia="宋体"/>
          <w:b w:val="0"/>
          <w:sz w:val="22"/>
        </w:rPr>
        <w:t>2. 乙方仅为履行本合同目的，在必要范围内处理甲方数据，不得出售、出租或向无关第三方披露甲方数据。</w:t>
      </w:r>
    </w:p>
    <w:p>
      <w:pPr>
        <w:spacing w:before="0" w:after="120" w:line="276" w:lineRule="auto"/>
      </w:pPr>
      <w:r>
        <w:rPr>
          <w:rFonts w:ascii="Calibri" w:hAnsi="Calibri" w:eastAsia="宋体"/>
          <w:b w:val="0"/>
          <w:sz w:val="22"/>
        </w:rPr>
        <w:t>3. 甲方授权乙方在项目实现所必需范围内处理线索、聊天内容、图片、车源字段、接口参数、日志数据，并在必要范围内调用模型服务商、视觉识别服务商、云服务商等第三方服务。</w:t>
      </w:r>
    </w:p>
    <w:p>
      <w:pPr>
        <w:spacing w:before="0" w:after="120" w:line="276" w:lineRule="auto"/>
      </w:pPr>
      <w:r>
        <w:rPr>
          <w:rFonts w:ascii="Calibri" w:hAnsi="Calibri" w:eastAsia="宋体"/>
          <w:b w:val="0"/>
          <w:sz w:val="22"/>
        </w:rPr>
        <w:t>4. 甲方自行负责个人信息收集、客户授权、营销触达、员工授权、车辆信息真实性、销售承诺和业务合规责任。</w:t>
      </w:r>
    </w:p>
    <w:p>
      <w:pPr>
        <w:spacing w:before="0" w:after="120" w:line="276" w:lineRule="auto"/>
      </w:pPr>
      <w:r>
        <w:rPr>
          <w:rFonts w:ascii="Calibri" w:hAnsi="Calibri" w:eastAsia="宋体"/>
          <w:b w:val="0"/>
          <w:sz w:val="22"/>
        </w:rPr>
        <w:t>5. 双方对合作中获知的商业秘密、技术资料、客户信息、价格政策、接口密钥、业务数据承担保密义务。法律法规、监管机关、司法机关要求披露的除外。</w:t>
      </w:r>
    </w:p>
    <w:p>
      <w:pPr>
        <w:spacing w:before="0" w:after="120" w:line="276" w:lineRule="auto"/>
      </w:pPr>
      <w:r>
        <w:rPr>
          <w:rFonts w:ascii="Calibri" w:hAnsi="Calibri" w:eastAsia="宋体"/>
          <w:b w:val="0"/>
          <w:sz w:val="22"/>
        </w:rPr>
        <w:t>6. 乙方应尽合理努力通过字段白名单、脱敏、最小必要原则控制模型输入内容。采购价、底价、经理价、车主身份信息、银行卡、接口密钥等敏感字段原则上不得进入 AI 可见上下文。</w:t>
      </w:r>
    </w:p>
    <w:p>
      <w:pPr>
        <w:spacing w:before="0" w:after="120" w:line="276" w:lineRule="auto"/>
      </w:pPr>
      <w:r>
        <w:rPr>
          <w:rFonts w:ascii="Calibri" w:hAnsi="Calibri" w:eastAsia="宋体"/>
          <w:b w:val="0"/>
          <w:sz w:val="22"/>
        </w:rPr>
        <w:t>7. 因甲方数据来源、授权、员工管理、账号管理、业务触达或客户投诉引发的争议、索赔、处罚或调查，由甲方自行承担；乙方因此遭受损失的，甲方应予赔偿。</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b w:val="0"/>
        <w:color w:val="666666"/>
        <w:sz w:val="18"/>
      </w:rPr>
      <w:t>AI智能客服售前跟进系统技术服务合同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