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NHSJSTitle"/>
        <w:keepNext/>
      </w:pPr>
      <w:r>
        <w:t>AI-FMS: Development and Phase I Evaluation of an Explainable Human-in-the-Loop System for Functional Movement Screen Video Review</w:t>
      </w:r>
    </w:p>
    <w:p>
      <w:pPr>
        <w:keepLines/>
        <w:shd w:fill="FFF2CC"/>
      </w:pPr>
      <w:r>
        <w:rPr>
          <w:b/>
        </w:rPr>
        <w:t xml:space="preserve">Authors and affiliations: </w:t>
      </w:r>
      <w:r>
        <w:rPr>
          <w:i/>
          <w:color w:val="595959"/>
        </w:rPr>
        <w:t>[AUTHOR TEXT REQUIRED - omitted in this Standard blind-review authoring copy; do not add identifying information]</w:t>
      </w:r>
    </w:p>
    <w:p>
      <w:pPr>
        <w:keepLines/>
        <w:shd w:fill="FFF2CC"/>
      </w:pPr>
      <w:r>
        <w:rPr>
          <w:b/>
        </w:rPr>
        <w:t xml:space="preserve">Abstract: </w:t>
      </w:r>
      <w:r>
        <w:rPr>
          <w:i/>
          <w:color w:val="595959"/>
        </w:rPr>
        <w:t>[AUTHOR TEXT REQUIRED - write one 200-250 word paragraph in this order: background/objective, methods, results, conclusion]</w:t>
      </w:r>
    </w:p>
    <w:p>
      <w:pPr>
        <w:keepLines/>
        <w:shd w:fill="FFF2CC"/>
      </w:pPr>
      <w:r>
        <w:rPr>
          <w:b/>
        </w:rPr>
        <w:t xml:space="preserve">Keywords: </w:t>
      </w:r>
      <w:r>
        <w:rPr>
          <w:i/>
          <w:color w:val="595959"/>
        </w:rPr>
        <w:t>[AUTHOR TEXT REQUIRED - select four to eight indexing terms separated by commas]</w:t>
      </w:r>
    </w:p>
    <w:p>
      <w:pPr>
        <w:pStyle w:val="NHSJSSection"/>
        <w:keepNext/>
      </w:pPr>
      <w:r>
        <w:t>Introduction</w:t>
      </w:r>
    </w:p>
    <w:p>
      <w:pPr>
        <w:keepLines/>
        <w:spacing w:after="120"/>
        <w:shd w:fill="FFF2CC"/>
      </w:pPr>
      <w:r>
        <w:rPr>
          <w:rFonts w:ascii="Times New Roman" w:hAnsi="Times New Roman"/>
          <w:i/>
          <w:color w:val="595959"/>
          <w:sz w:val="24"/>
        </w:rPr>
        <w:t>[AUTHOR TEXT REQUIRED - 650-800 words in the student author's own sentences: define FMS; explain live/video review limitations; explain the human-in-the-loop purpose; state the seven-movement product scope, four-movement Phase I scope, research questions, and non-diagnostic boundary; insert verified superscript citations]</w:t>
      </w:r>
    </w:p>
    <w:p>
      <w:pPr>
        <w:pStyle w:val="NHSJSSection"/>
        <w:keepNext/>
      </w:pPr>
      <w:r>
        <w:t>Methods</w:t>
      </w:r>
    </w:p>
    <w:p>
      <w:pPr>
        <w:pStyle w:val="NHSJSSubsection"/>
        <w:keepNext/>
      </w:pPr>
      <w:r>
        <w:t>Human-centered system design</w:t>
      </w:r>
    </w:p>
    <w:p>
      <w:pPr>
        <w:keepLines/>
        <w:spacing w:after="120"/>
        <w:shd w:fill="FFF2CC"/>
      </w:pPr>
      <w:r>
        <w:rPr>
          <w:rFonts w:ascii="Times New Roman" w:hAnsi="Times New Roman"/>
          <w:i/>
          <w:color w:val="595959"/>
          <w:sz w:val="24"/>
        </w:rPr>
        <w:t>[AUTHOR TEXT REQUIRED - describe the review tasks that motivated the system and explain why the product supports rather than replaces human judgment]</w:t>
      </w:r>
    </w:p>
    <w:p>
      <w:pPr>
        <w:keepNext/>
      </w:pPr>
      <w:r>
        <w:rPr>
          <w:b/>
        </w:rPr>
        <w:t xml:space="preserve">Table 1 | </w:t>
      </w:r>
      <w:r>
        <w:rPr>
          <w:i/>
          <w:color w:val="595959"/>
        </w:rPr>
        <w:t>[AUTHOR TO WRITE: a one-line description of the human review problems, implemented functions, and boundaries]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800"/>
        <w:gridCol w:w="3600"/>
        <w:gridCol w:w="2960"/>
      </w:tblGrid>
      <w:tr>
        <w:trPr>
          <w:tblHeader w:val="true"/>
        </w:trPr>
        <w:tc>
          <w:tcPr>
            <w:tcW w:type="dxa" w:w="2800"/>
            <w:shd w:fill="E7E6E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Human review problem</w:t>
            </w:r>
          </w:p>
        </w:tc>
        <w:tc>
          <w:tcPr>
            <w:tcW w:type="dxa" w:w="3600"/>
            <w:shd w:fill="E7E6E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AI-FMS function</w:t>
            </w:r>
          </w:p>
        </w:tc>
        <w:tc>
          <w:tcPr>
            <w:tcW w:type="dxa" w:w="2960"/>
            <w:shd w:fill="E7E6E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Help and boundary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Remote or asynchronous review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Local video import; anonymous queue; resumable state</w:t>
            </w:r>
          </w:p>
        </w:tc>
        <w:tc>
          <w:tcPr>
            <w:tcW w:type="dxa" w:w="29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Supports review across time and place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Fast movement is difficult to revisit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Rep segments; loop playback; pause and seek</w:t>
            </w:r>
          </w:p>
        </w:tc>
        <w:tc>
          <w:tcPr>
            <w:tcW w:type="dxa" w:w="29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Enables repeated observation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Finding reps in long video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Timing detector; draft segmentation; correction</w:t>
            </w:r>
          </w:p>
        </w:tc>
        <w:tc>
          <w:tcPr>
            <w:tcW w:type="dxa" w:w="29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Reduces search work; human correction remains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Continuous quantities are hard to record by eye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Pose overlay; angles; distances; trajectories</w:t>
            </w:r>
          </w:p>
        </w:tc>
        <w:tc>
          <w:tcPr>
            <w:tcW w:type="dxa" w:w="29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Quantitative evidence; not clinical goniometry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View, side, and protocol context can be lost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Camera view; side; attempt; clearing metadata</w:t>
            </w:r>
          </w:p>
        </w:tc>
        <w:tc>
          <w:tcPr>
            <w:tcW w:type="dxa" w:w="29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Preserves context; AI does not determine pain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Occlusion or weak evidence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Quality gates; watch; abstain</w:t>
            </w:r>
          </w:p>
        </w:tc>
        <w:tc>
          <w:tcPr>
            <w:tcW w:type="dxa" w:w="29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Flags uncertainty instead of forcing a score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Disagreement is difficult to trace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Blind review; append-only events; adjudication; export</w:t>
            </w:r>
          </w:p>
        </w:tc>
        <w:tc>
          <w:tcPr>
            <w:tcW w:type="dxa" w:w="29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Supports independent review and lineage</w:t>
            </w:r>
          </w:p>
        </w:tc>
      </w:tr>
    </w:tbl>
    <w:p>
      <w:pPr>
        <w:pStyle w:val="NHSJSSubsection"/>
        <w:keepNext/>
      </w:pPr>
      <w:r>
        <w:t>Seven-movement product architecture</w:t>
      </w:r>
    </w:p>
    <w:p>
      <w:pPr>
        <w:keepLines/>
        <w:spacing w:after="120"/>
        <w:shd w:fill="FFF2CC"/>
      </w:pPr>
      <w:r>
        <w:rPr>
          <w:rFonts w:ascii="Times New Roman" w:hAnsi="Times New Roman"/>
          <w:i/>
          <w:color w:val="595959"/>
          <w:sz w:val="24"/>
        </w:rPr>
        <w:t>[AUTHOR TEXT REQUIRED - describe Workbench, Study Mode, Video Manager, movement adapters, export lineage, and the distinction between implementation scope and validation strength]</w:t>
      </w:r>
    </w:p>
    <w:p>
      <w:pPr>
        <w:keepNext/>
      </w:pPr>
      <w:r>
        <w:rPr>
          <w:b/>
        </w:rPr>
        <w:t xml:space="preserve">Table 2 | </w:t>
      </w:r>
      <w:r>
        <w:rPr>
          <w:i/>
          <w:color w:val="595959"/>
        </w:rPr>
        <w:t>[AUTHOR TO WRITE: a one-line description of the seven-movement product scope and human review boundaries]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2050"/>
        <w:gridCol w:w="2300"/>
        <w:gridCol w:w="1800"/>
        <w:gridCol w:w="1760"/>
      </w:tblGrid>
      <w:tr>
        <w:trPr>
          <w:tblHeader w:val="true"/>
        </w:trPr>
        <w:tc>
          <w:tcPr>
            <w:tcW w:type="dxa" w:w="1450"/>
            <w:shd w:fill="E7E6E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Movement</w:t>
            </w:r>
          </w:p>
        </w:tc>
        <w:tc>
          <w:tcPr>
            <w:tcW w:type="dxa" w:w="2050"/>
            <w:shd w:fill="E7E6E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Timing / annotation</w:t>
            </w:r>
          </w:p>
        </w:tc>
        <w:tc>
          <w:tcPr>
            <w:tcW w:type="dxa" w:w="2300"/>
            <w:shd w:fill="E7E6E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Pose evidence</w:t>
            </w:r>
          </w:p>
        </w:tc>
        <w:tc>
          <w:tcPr>
            <w:tcW w:type="dxa" w:w="1800"/>
            <w:shd w:fill="E7E6E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AI suggestion</w:t>
            </w:r>
          </w:p>
        </w:tc>
        <w:tc>
          <w:tcPr>
            <w:tcW w:type="dxa" w:w="1760"/>
            <w:shd w:fill="E7E6E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Human boundary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Deep Squat</w:t>
            </w:r>
          </w:p>
        </w:tc>
        <w:tc>
          <w:tcPr>
            <w:tcW w:type="dxa" w:w="20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Rep cycle; floor/board context</w:t>
            </w:r>
          </w:p>
        </w:tc>
        <w:tc>
          <w:tcPr>
            <w:tcW w:type="dxa" w:w="23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Depth; torso; hip/knee/ankle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Staged; explainable; abstain</w:t>
            </w:r>
          </w:p>
        </w:tc>
        <w:tc>
          <w:tcPr>
            <w:tcW w:type="dxa" w:w="1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Protocol; pain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ASLR</w:t>
            </w:r>
          </w:p>
        </w:tc>
        <w:tc>
          <w:tcPr>
            <w:tcW w:type="dxa" w:w="20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Left/right raise cycle</w:t>
            </w:r>
          </w:p>
        </w:tc>
        <w:tc>
          <w:tcPr>
            <w:tcW w:type="dxa" w:w="23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Active/stationary leg; pelvis; side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Side and raise quality</w:t>
            </w:r>
          </w:p>
        </w:tc>
        <w:tc>
          <w:tcPr>
            <w:tcW w:type="dxa" w:w="1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Side uncertainty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Hurdle Step</w:t>
            </w:r>
          </w:p>
        </w:tc>
        <w:tc>
          <w:tcPr>
            <w:tcW w:type="dxa" w:w="20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Forward/return cycle</w:t>
            </w:r>
          </w:p>
        </w:tc>
        <w:tc>
          <w:tcPr>
            <w:tcW w:type="dxa" w:w="23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Clearance; stance leg; pelvis/trunk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Dynamic movement quality</w:t>
            </w:r>
          </w:p>
        </w:tc>
        <w:tc>
          <w:tcPr>
            <w:tcW w:type="dxa" w:w="1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Dowel; contact; recovery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In-Line Lunge</w:t>
            </w:r>
          </w:p>
        </w:tc>
        <w:tc>
          <w:tcPr>
            <w:tcW w:type="dxa" w:w="20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Lunge-depth cycle</w:t>
            </w:r>
          </w:p>
        </w:tc>
        <w:tc>
          <w:tcPr>
            <w:tcW w:type="dxa" w:w="23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Depth; trunk/pelvis; knee-foot line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Movement quality and side</w:t>
            </w:r>
          </w:p>
        </w:tc>
        <w:tc>
          <w:tcPr>
            <w:tcW w:type="dxa" w:w="1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Ankle clearing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Shoulder Mobility</w:t>
            </w:r>
          </w:p>
        </w:tc>
        <w:tc>
          <w:tcPr>
            <w:tcW w:type="dxa" w:w="20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Best-reach evidence</w:t>
            </w:r>
          </w:p>
        </w:tc>
        <w:tc>
          <w:tcPr>
            <w:tcW w:type="dxa" w:w="23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Reach distance; visibility; side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Conservative reach</w:t>
            </w:r>
          </w:p>
        </w:tc>
        <w:tc>
          <w:tcPr>
            <w:tcW w:type="dxa" w:w="1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Shoulder clearing; pain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Trunk Stability Push-Up</w:t>
            </w:r>
          </w:p>
        </w:tc>
        <w:tc>
          <w:tcPr>
            <w:tcW w:type="dxa" w:w="20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Push-up lift event</w:t>
            </w:r>
          </w:p>
        </w:tc>
        <w:tc>
          <w:tcPr>
            <w:tcW w:type="dxa" w:w="23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Lift; body line; arm extension; hip drift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Conservative body-line</w:t>
            </w:r>
          </w:p>
        </w:tc>
        <w:tc>
          <w:tcPr>
            <w:tcW w:type="dxa" w:w="1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Extension clearing; pain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Rotary Stability</w:t>
            </w:r>
          </w:p>
        </w:tc>
        <w:tc>
          <w:tcPr>
            <w:tcW w:type="dxa" w:w="20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Setup-touch-extension-return</w:t>
            </w:r>
          </w:p>
        </w:tc>
        <w:tc>
          <w:tcPr>
            <w:tcW w:type="dxa" w:w="23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Touch; extension; lift; return; balance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Cycle score 1/2/3 or abstain</w:t>
            </w:r>
          </w:p>
        </w:tc>
        <w:tc>
          <w:tcPr>
            <w:tcW w:type="dxa" w:w="1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Flexion clearing; pain</w:t>
            </w:r>
          </w:p>
        </w:tc>
      </w:tr>
    </w:tbl>
    <w:p>
      <w:pPr>
        <w:pStyle w:val="NHSJSSubsection"/>
        <w:keepNext/>
      </w:pPr>
      <w:r>
        <w:t>Canonical data reconstruction and Phase I sample</w:t>
      </w:r>
    </w:p>
    <w:p>
      <w:pPr>
        <w:keepLines/>
        <w:spacing w:after="120"/>
        <w:shd w:fill="FFF2CC"/>
      </w:pPr>
      <w:r>
        <w:rPr>
          <w:rFonts w:ascii="Times New Roman" w:hAnsi="Times New Roman"/>
          <w:i/>
          <w:color w:val="595959"/>
          <w:sz w:val="24"/>
        </w:rPr>
        <w:t>[AUTHOR TEXT REQUIRED - describe checksum deduplication, stable IDs, the 110-rep canonical pool, blindability and feature-readiness gates, and the formal 32-rep selection without treating reps as independent participants]</w:t>
      </w:r>
    </w:p>
    <w:p>
      <w:pPr>
        <w:keepNext/>
      </w:pPr>
      <w:r>
        <w:rPr>
          <w:b/>
        </w:rPr>
        <w:t xml:space="preserve">Table 3 | </w:t>
      </w:r>
      <w:r>
        <w:rPr>
          <w:i/>
          <w:color w:val="595959"/>
        </w:rPr>
        <w:t>[AUTHOR TO WRITE: a one-line description of the four-movement Phase I sample and evidence gates]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1190"/>
        <w:gridCol w:w="950"/>
        <w:gridCol w:w="1150"/>
        <w:gridCol w:w="1350"/>
        <w:gridCol w:w="950"/>
        <w:gridCol w:w="1570"/>
      </w:tblGrid>
      <w:tr>
        <w:trPr>
          <w:tblHeader w:val="true"/>
        </w:trPr>
        <w:tc>
          <w:tcPr>
            <w:tcW w:type="dxa" w:w="2200"/>
            <w:shd w:fill="E7E6E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Movement</w:t>
            </w:r>
          </w:p>
        </w:tc>
        <w:tc>
          <w:tcPr>
            <w:tcW w:type="dxa" w:w="1190"/>
            <w:shd w:fill="E7E6E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Source videos</w:t>
            </w:r>
          </w:p>
        </w:tc>
        <w:tc>
          <w:tcPr>
            <w:tcW w:type="dxa" w:w="950"/>
            <w:shd w:fill="E7E6E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Reps</w:t>
            </w:r>
          </w:p>
        </w:tc>
        <w:tc>
          <w:tcPr>
            <w:tcW w:type="dxa" w:w="1150"/>
            <w:shd w:fill="E7E6E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Blindable</w:t>
            </w:r>
          </w:p>
        </w:tc>
        <w:tc>
          <w:tcPr>
            <w:tcW w:type="dxa" w:w="1350"/>
            <w:shd w:fill="E7E6E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Feature-ready</w:t>
            </w:r>
          </w:p>
        </w:tc>
        <w:tc>
          <w:tcPr>
            <w:tcW w:type="dxa" w:w="950"/>
            <w:shd w:fill="E7E6E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Formal</w:t>
            </w:r>
          </w:p>
        </w:tc>
        <w:tc>
          <w:tcPr>
            <w:tcW w:type="dxa" w:w="1570"/>
            <w:shd w:fill="E7E6E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Round B consensus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ASLR</w:t>
            </w:r>
          </w:p>
        </w:tc>
        <w:tc>
          <w:tcPr>
            <w:tcW w:type="dxa" w:w="11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17</w:t>
            </w:r>
          </w:p>
        </w:tc>
        <w:tc>
          <w:tcPr>
            <w:tcW w:type="dxa" w:w="11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11</w:t>
            </w:r>
          </w:p>
        </w:tc>
        <w:tc>
          <w:tcPr>
            <w:tcW w:type="dxa" w:w="13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11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Deep Squat</w:t>
            </w:r>
          </w:p>
        </w:tc>
        <w:tc>
          <w:tcPr>
            <w:tcW w:type="dxa" w:w="11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11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11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31</w:t>
            </w:r>
          </w:p>
        </w:tc>
        <w:tc>
          <w:tcPr>
            <w:tcW w:type="dxa" w:w="13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31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Hurdle Step</w:t>
            </w:r>
          </w:p>
        </w:tc>
        <w:tc>
          <w:tcPr>
            <w:tcW w:type="dxa" w:w="11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41</w:t>
            </w:r>
          </w:p>
        </w:tc>
        <w:tc>
          <w:tcPr>
            <w:tcW w:type="dxa" w:w="11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37</w:t>
            </w:r>
          </w:p>
        </w:tc>
        <w:tc>
          <w:tcPr>
            <w:tcW w:type="dxa" w:w="13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Rotary Stability</w:t>
            </w:r>
          </w:p>
        </w:tc>
        <w:tc>
          <w:tcPr>
            <w:tcW w:type="dxa" w:w="11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11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13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Total</w:t>
            </w:r>
          </w:p>
        </w:tc>
        <w:tc>
          <w:tcPr>
            <w:tcW w:type="dxa" w:w="11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110</w:t>
            </w:r>
          </w:p>
        </w:tc>
        <w:tc>
          <w:tcPr>
            <w:tcW w:type="dxa" w:w="11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97</w:t>
            </w:r>
          </w:p>
        </w:tc>
        <w:tc>
          <w:tcPr>
            <w:tcW w:type="dxa" w:w="13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66</w:t>
            </w:r>
          </w:p>
        </w:tc>
        <w:tc>
          <w:tcPr>
            <w:tcW w:type="dxa" w:w="9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15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26</w:t>
            </w:r>
          </w:p>
        </w:tc>
      </w:tr>
    </w:tbl>
    <w:p>
      <w:pPr>
        <w:pStyle w:val="NHSJSSubsection"/>
        <w:keepNext/>
      </w:pPr>
      <w:r>
        <w:t>Pose estimation, timing, and movement features</w:t>
      </w:r>
    </w:p>
    <w:p>
      <w:pPr>
        <w:keepLines/>
        <w:spacing w:after="120"/>
        <w:shd w:fill="FFF2CC"/>
      </w:pPr>
      <w:r>
        <w:rPr>
          <w:rFonts w:ascii="Times New Roman" w:hAnsi="Times New Roman"/>
          <w:i/>
          <w:color w:val="595959"/>
          <w:sz w:val="24"/>
        </w:rPr>
        <w:t>[AUTHOR TEXT REQUIRED - describe MediaPipe Pose Landmarker, normalized 2D features, cycle detection, camera-view applicability, subject selection, quality gates, and why these measures are interpretable proxies rather than diagnoses]</w:t>
      </w:r>
    </w:p>
    <w:p>
      <w:pPr>
        <w:pStyle w:val="NHSJSSubsection"/>
        <w:keepNext/>
      </w:pPr>
      <w:r>
        <w:t>Blind reviewer study</w:t>
      </w:r>
    </w:p>
    <w:p>
      <w:pPr>
        <w:keepLines/>
        <w:spacing w:after="120"/>
        <w:shd w:fill="FFF2CC"/>
      </w:pPr>
      <w:r>
        <w:rPr>
          <w:rFonts w:ascii="Times New Roman" w:hAnsi="Times New Roman"/>
          <w:i/>
          <w:color w:val="595959"/>
          <w:sz w:val="24"/>
        </w:rPr>
        <w:t>[AUTHOR TEXT REQUIRED - describe two reviewers, two rounds approximately 51 hours apart, re-randomization, isolated storage, reviewer-visible fields, append-only events, signed exports, and agreement metrics]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 descr="AI-FMS Study Mode blind review interface" title="AI-FMS Study Mode blind review interfa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fms-study-mode-blind-review-real-vide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Figure 1 | </w:t>
      </w:r>
      <w:r>
        <w:rPr>
          <w:i/>
          <w:color w:val="595959"/>
        </w:rPr>
        <w:t>[AUTHOR TO WRITE: a single-line description of Study Mode and the information hidden from blind reviewers]</w:t>
      </w:r>
    </w:p>
    <w:p>
      <w:pPr>
        <w:pStyle w:val="NHSJSSubsection"/>
        <w:keepNext/>
      </w:pPr>
      <w:r>
        <w:t>Locked AI comparison</w:t>
      </w:r>
    </w:p>
    <w:p>
      <w:pPr>
        <w:keepLines/>
        <w:spacing w:after="120"/>
        <w:shd w:fill="FFF2CC"/>
      </w:pPr>
      <w:r>
        <w:rPr>
          <w:rFonts w:ascii="Times New Roman" w:hAnsi="Times New Roman"/>
          <w:i/>
          <w:color w:val="595959"/>
          <w:sz w:val="24"/>
        </w:rPr>
        <w:t>[AUTHOR TEXT REQUIRED - describe label-free inputs, isolation from reviewers, coverage and abstention, score comparison metrics, and why the final comparison is an internal benchmark rather than held-out validation]</w:t>
      </w:r>
    </w:p>
    <w:p>
      <w:pPr>
        <w:pStyle w:val="NHSJSSubsection"/>
        <w:keepNext/>
      </w:pPr>
      <w:r>
        <w:t>Secondary quantitative analyses</w:t>
      </w:r>
    </w:p>
    <w:p>
      <w:pPr>
        <w:keepLines/>
        <w:spacing w:after="120"/>
        <w:shd w:fill="FFF2CC"/>
      </w:pPr>
      <w:r>
        <w:rPr>
          <w:rFonts w:ascii="Times New Roman" w:hAnsi="Times New Roman"/>
          <w:i/>
          <w:color w:val="595959"/>
          <w:sz w:val="24"/>
        </w:rPr>
        <w:t>[AUTHOR TEXT REQUIRED - describe the four movement-specific analysis units and methods without forcing one shared pairwise template]</w:t>
      </w:r>
    </w:p>
    <w:p>
      <w:pPr>
        <w:pStyle w:val="NHSJSSubsection"/>
        <w:keepNext/>
      </w:pPr>
      <w:r>
        <w:t>Ethics, privacy, and data governance</w:t>
      </w:r>
    </w:p>
    <w:p>
      <w:pPr>
        <w:keepLines/>
        <w:spacing w:after="120"/>
        <w:shd w:fill="FFF2CC"/>
      </w:pPr>
      <w:r>
        <w:rPr>
          <w:rFonts w:ascii="Times New Roman" w:hAnsi="Times New Roman"/>
          <w:i/>
          <w:color w:val="595959"/>
          <w:sz w:val="24"/>
        </w:rPr>
        <w:t>[AUTHOR TEXT REQUIRED - state the secondary-video design, lack of prospective research recruitment, private data boundaries, separate consented demonstration footage, and the pending journal/SRC/IRB determination]</w:t>
      </w:r>
    </w:p>
    <w:p>
      <w:r>
        <w:br w:type="page"/>
      </w:r>
    </w:p>
    <w:p>
      <w:pPr>
        <w:pStyle w:val="NHSJSSection"/>
        <w:keepNext/>
      </w:pPr>
      <w:r>
        <w:t>Results</w:t>
      </w:r>
    </w:p>
    <w:p>
      <w:pPr>
        <w:pStyle w:val="NHSJSSubsection"/>
        <w:keepNext/>
      </w:pPr>
      <w:r>
        <w:t>Seven-movement system implementation</w:t>
      </w:r>
    </w:p>
    <w:p>
      <w:pPr>
        <w:keepLines/>
        <w:spacing w:after="120"/>
        <w:shd w:fill="FFF2CC"/>
      </w:pPr>
      <w:r>
        <w:rPr>
          <w:rFonts w:ascii="Times New Roman" w:hAnsi="Times New Roman"/>
          <w:i/>
          <w:color w:val="595959"/>
          <w:sz w:val="24"/>
        </w:rPr>
        <w:t>[AUTHOR TEXT REQUIRED - report implemented functions and the engineering quality gate objectively; do not equate software tests with scientific validity]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4692316"/>
            <wp:docPr id="2" name="Picture 2" descr="AI-FMS Workbench with pose evidence" title="AI-FMS Workbench with pose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fms-workbench-overview-real-vide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Figure 2 | </w:t>
      </w:r>
      <w:r>
        <w:rPr>
          <w:i/>
          <w:color w:val="595959"/>
        </w:rPr>
        <w:t>[AUTHOR TO WRITE: a single-line description of the Workbench, aligned pose evidence, reviewer controls, and privacy-safe demonstration frame]</w:t>
      </w:r>
    </w:p>
    <w:p>
      <w:pPr>
        <w:pStyle w:val="NHSJSSubsection"/>
        <w:keepNext/>
      </w:pPr>
      <w:r>
        <w:t>Phase I data quality and review outcomes</w:t>
      </w:r>
    </w:p>
    <w:p>
      <w:pPr>
        <w:keepLines/>
        <w:spacing w:after="120"/>
        <w:shd w:fill="FFF2CC"/>
      </w:pPr>
      <w:r>
        <w:rPr>
          <w:rFonts w:ascii="Times New Roman" w:hAnsi="Times New Roman"/>
          <w:i/>
          <w:color w:val="595959"/>
          <w:sz w:val="24"/>
        </w:rPr>
        <w:t>[AUTHOR TEXT REQUIRED - report canonical, blindable, feature-ready, and formal counts, followed by Round A and Round B human results and the final AI-human comparison]</w:t>
      </w:r>
    </w:p>
    <w:p>
      <w:pPr>
        <w:keepNext/>
      </w:pPr>
      <w:r>
        <w:rPr>
          <w:b/>
        </w:rPr>
        <w:t xml:space="preserve">Table 4 | </w:t>
      </w:r>
      <w:r>
        <w:rPr>
          <w:i/>
          <w:color w:val="595959"/>
        </w:rPr>
        <w:t>[AUTHOR TO WRITE: a one-line description of human agreement and AI-human internal concordance]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2350"/>
        <w:gridCol w:w="1050"/>
        <w:gridCol w:w="1250"/>
        <w:gridCol w:w="1050"/>
        <w:gridCol w:w="1560"/>
      </w:tblGrid>
      <w:tr>
        <w:trPr>
          <w:tblHeader w:val="true"/>
        </w:trPr>
        <w:tc>
          <w:tcPr>
            <w:tcW w:type="dxa" w:w="2100"/>
            <w:shd w:fill="E7E6E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Analysis</w:t>
            </w:r>
          </w:p>
        </w:tc>
        <w:tc>
          <w:tcPr>
            <w:tcW w:type="dxa" w:w="2350"/>
            <w:shd w:fill="E7E6E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Coverage / comparable</w:t>
            </w:r>
          </w:p>
        </w:tc>
        <w:tc>
          <w:tcPr>
            <w:tcW w:type="dxa" w:w="1050"/>
            <w:shd w:fill="E7E6E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Exact</w:t>
            </w:r>
          </w:p>
        </w:tc>
        <w:tc>
          <w:tcPr>
            <w:tcW w:type="dxa" w:w="1250"/>
            <w:shd w:fill="E7E6E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Within one</w:t>
            </w:r>
          </w:p>
        </w:tc>
        <w:tc>
          <w:tcPr>
            <w:tcW w:type="dxa" w:w="1050"/>
            <w:shd w:fill="E7E6E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MAE</w:t>
            </w:r>
          </w:p>
        </w:tc>
        <w:tc>
          <w:tcPr>
            <w:tcW w:type="dxa" w:w="1560"/>
            <w:shd w:fill="E7E6E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Linear weighted kappa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Human Round A</w:t>
            </w:r>
          </w:p>
        </w:tc>
        <w:tc>
          <w:tcPr>
            <w:tcW w:type="dxa" w:w="23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31/32 status; 26 scored</w:t>
            </w:r>
          </w:p>
        </w:tc>
        <w:tc>
          <w:tcPr>
            <w:tcW w:type="dxa" w:w="10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26/26</w:t>
            </w:r>
          </w:p>
        </w:tc>
        <w:tc>
          <w:tcPr>
            <w:tcW w:type="dxa" w:w="12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N/A</w:t>
            </w:r>
          </w:p>
        </w:tc>
        <w:tc>
          <w:tcPr>
            <w:tcW w:type="dxa" w:w="10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0.0000</w:t>
            </w:r>
          </w:p>
        </w:tc>
        <w:tc>
          <w:tcPr>
            <w:tcW w:type="dxa" w:w="1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1.0000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Human Round B</w:t>
            </w:r>
          </w:p>
        </w:tc>
        <w:tc>
          <w:tcPr>
            <w:tcW w:type="dxa" w:w="23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32/32 status; 26 scored</w:t>
            </w:r>
          </w:p>
        </w:tc>
        <w:tc>
          <w:tcPr>
            <w:tcW w:type="dxa" w:w="10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26/26</w:t>
            </w:r>
          </w:p>
        </w:tc>
        <w:tc>
          <w:tcPr>
            <w:tcW w:type="dxa" w:w="12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N/A</w:t>
            </w:r>
          </w:p>
        </w:tc>
        <w:tc>
          <w:tcPr>
            <w:tcW w:type="dxa" w:w="10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0.0000</w:t>
            </w:r>
          </w:p>
        </w:tc>
        <w:tc>
          <w:tcPr>
            <w:tcW w:type="dxa" w:w="1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1.0000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Final AI vs Round B</w:t>
            </w:r>
          </w:p>
        </w:tc>
        <w:tc>
          <w:tcPr>
            <w:tcW w:type="dxa" w:w="23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28/32 score coverage; 25 comparable</w:t>
            </w:r>
          </w:p>
        </w:tc>
        <w:tc>
          <w:tcPr>
            <w:tcW w:type="dxa" w:w="10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16/25</w:t>
            </w:r>
          </w:p>
        </w:tc>
        <w:tc>
          <w:tcPr>
            <w:tcW w:type="dxa" w:w="12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23/25</w:t>
            </w:r>
          </w:p>
        </w:tc>
        <w:tc>
          <w:tcPr>
            <w:tcW w:type="dxa" w:w="10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0.4400</w:t>
            </w:r>
          </w:p>
        </w:tc>
        <w:tc>
          <w:tcPr>
            <w:tcW w:type="dxa" w:w="1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0.4917</w:t>
            </w:r>
          </w:p>
        </w:tc>
      </w:tr>
    </w:tbl>
    <w:p>
      <w:pPr>
        <w:pStyle w:val="NHSJSSubsection"/>
        <w:keepNext/>
      </w:pPr>
      <w:r>
        <w:t>Deep Squat: continuous movement strategy</w:t>
      </w:r>
    </w:p>
    <w:p>
      <w:pPr>
        <w:keepLines/>
        <w:spacing w:after="120"/>
        <w:shd w:fill="FFF2CC"/>
      </w:pPr>
      <w:r>
        <w:rPr>
          <w:rFonts w:ascii="Times New Roman" w:hAnsi="Times New Roman"/>
          <w:i/>
          <w:color w:val="595959"/>
          <w:sz w:val="24"/>
        </w:rPr>
        <w:t>[AUTHOR TEXT REQUIRED - report the 15 audited side-view reps from seven videos and describe the observed depth/hip/knee continuum without assigning a diagnosis]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648456"/>
            <wp:docPr id="3" name="Picture 3" descr="Deep Squat strategy continuum" title="Deep Squat strategy continuu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-squat-strategy-continuu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8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Figure 3 | </w:t>
      </w:r>
      <w:r>
        <w:rPr>
          <w:i/>
          <w:color w:val="595959"/>
        </w:rPr>
        <w:t>[AUTHOR TO WRITE: a single-line description of the Deep Squat depth and joint-strategy continuum]</w:t>
      </w:r>
    </w:p>
    <w:p>
      <w:pPr>
        <w:pStyle w:val="NHSJSSubsection"/>
        <w:keepNext/>
      </w:pPr>
      <w:r>
        <w:t>ASLR: bilateral repeatability and side control</w:t>
      </w:r>
    </w:p>
    <w:p>
      <w:pPr>
        <w:keepLines/>
        <w:spacing w:after="120"/>
        <w:shd w:fill="FFF2CC"/>
      </w:pPr>
      <w:r>
        <w:rPr>
          <w:rFonts w:ascii="Times New Roman" w:hAnsi="Times New Roman"/>
          <w:i/>
          <w:color w:val="595959"/>
          <w:sz w:val="24"/>
        </w:rPr>
        <w:t>[AUTHOR TEXT REQUIRED - report the four-rep same-source sequence, identify stable and variable features, and state the one-source and weak-label limitations]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648456"/>
            <wp:docPr id="4" name="Picture 4" descr="ASLR bilateral repeatability" title="ASLR bilateral repeatabilit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lr-bilateral-repeatabili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8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Figure 4 | </w:t>
      </w:r>
      <w:r>
        <w:rPr>
          <w:i/>
          <w:color w:val="595959"/>
        </w:rPr>
        <w:t>[AUTHOR TO WRITE: a single-line description of the ASLR bilateral repeatability sequence]</w:t>
      </w:r>
    </w:p>
    <w:p>
      <w:pPr>
        <w:pStyle w:val="NHSJSSubsection"/>
        <w:keepNext/>
      </w:pPr>
      <w:r>
        <w:t>Hurdle Step: multiple score-2 pathways</w:t>
      </w:r>
    </w:p>
    <w:p>
      <w:pPr>
        <w:keepLines/>
        <w:spacing w:after="120"/>
        <w:shd w:fill="FFF2CC"/>
      </w:pPr>
      <w:r>
        <w:rPr>
          <w:rFonts w:ascii="Times New Roman" w:hAnsi="Times New Roman"/>
          <w:i/>
          <w:color w:val="595959"/>
          <w:sz w:val="24"/>
        </w:rPr>
        <w:t>[AUTHOR TEXT REQUIRED - report five reps from five videos and distinguish the observed pathway coding from causal or diagnostic classification]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648456"/>
            <wp:docPr id="5" name="Picture 5" descr="Hurdle Step score-two pathways" title="Hurdle Step score-two pathway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rdle-score2-pathway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8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Figure 5 | </w:t>
      </w:r>
      <w:r>
        <w:rPr>
          <w:i/>
          <w:color w:val="595959"/>
        </w:rPr>
        <w:t>[AUTHOR TO WRITE: a single-line description of the five score-2 Hurdle Step pathways]</w:t>
      </w:r>
    </w:p>
    <w:p>
      <w:pPr>
        <w:pStyle w:val="NHSJSSubsection"/>
        <w:keepNext/>
      </w:pPr>
      <w:r>
        <w:t>Rotary Stability: full-cycle event evidence</w:t>
      </w:r>
    </w:p>
    <w:p>
      <w:pPr>
        <w:keepLines/>
        <w:spacing w:after="120"/>
        <w:shd w:fill="FFF2CC"/>
      </w:pPr>
      <w:r>
        <w:rPr>
          <w:rFonts w:ascii="Times New Roman" w:hAnsi="Times New Roman"/>
          <w:i/>
          <w:color w:val="595959"/>
          <w:sz w:val="24"/>
        </w:rPr>
        <w:t>[AUTHOR TEXT REQUIRED - report the eight formal reps and explain why sequence, touch, extension, return, and balance require full-cycle evidence rather than one peak frame]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648456"/>
            <wp:docPr id="6" name="Picture 6" descr="Rotary Stability cycle-event matrix" title="Rotary Stability cycle-event matri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ry-cycle-event-matrix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8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Figure 6 | </w:t>
      </w:r>
      <w:r>
        <w:rPr>
          <w:i/>
          <w:color w:val="595959"/>
        </w:rPr>
        <w:t>[AUTHOR TO WRITE: a single-line description of the Rotary Stability cycle-event matrix]</w:t>
      </w:r>
    </w:p>
    <w:p>
      <w:r>
        <w:br w:type="page"/>
      </w:r>
    </w:p>
    <w:p>
      <w:pPr>
        <w:pStyle w:val="NHSJSSection"/>
        <w:keepNext/>
      </w:pPr>
      <w:r>
        <w:t>Discussion</w:t>
      </w:r>
    </w:p>
    <w:p>
      <w:pPr>
        <w:pStyle w:val="NHSJSSubsection"/>
        <w:keepNext/>
      </w:pPr>
      <w:r>
        <w:t>Principal contribution</w:t>
      </w:r>
    </w:p>
    <w:p>
      <w:pPr>
        <w:keepLines/>
        <w:spacing w:after="120"/>
        <w:shd w:fill="FFF2CC"/>
      </w:pPr>
      <w:r>
        <w:rPr>
          <w:rFonts w:ascii="Times New Roman" w:hAnsi="Times New Roman"/>
          <w:i/>
          <w:color w:val="595959"/>
          <w:sz w:val="24"/>
        </w:rPr>
        <w:t>[AUTHOR TEXT REQUIRED - interpret the seven-movement human-in-the-loop system as the main contribution and the four-movement study as bounded internal evidence]</w:t>
      </w:r>
    </w:p>
    <w:p>
      <w:pPr>
        <w:pStyle w:val="NHSJSSubsection"/>
        <w:keepNext/>
      </w:pPr>
      <w:r>
        <w:t>Human reliability and AI concordance</w:t>
      </w:r>
    </w:p>
    <w:p>
      <w:pPr>
        <w:keepLines/>
        <w:spacing w:after="120"/>
        <w:shd w:fill="FFF2CC"/>
      </w:pPr>
      <w:r>
        <w:rPr>
          <w:rFonts w:ascii="Times New Roman" w:hAnsi="Times New Roman"/>
          <w:i/>
          <w:color w:val="595959"/>
          <w:sz w:val="24"/>
        </w:rPr>
        <w:t>[AUTHOR TEXT REQUIRED - interpret the selected-sample human agreement and moderate AI-human concordance without generalizing to clinical reliability or held-out performance]</w:t>
      </w:r>
    </w:p>
    <w:p>
      <w:pPr>
        <w:pStyle w:val="NHSJSSubsection"/>
        <w:keepNext/>
      </w:pPr>
      <w:r>
        <w:t>Information retained beyond ordinal scores</w:t>
      </w:r>
    </w:p>
    <w:p>
      <w:pPr>
        <w:keepLines/>
        <w:spacing w:after="120"/>
        <w:shd w:fill="FFF2CC"/>
      </w:pPr>
      <w:r>
        <w:rPr>
          <w:rFonts w:ascii="Times New Roman" w:hAnsi="Times New Roman"/>
          <w:i/>
          <w:color w:val="595959"/>
          <w:sz w:val="24"/>
        </w:rPr>
        <w:t>[AUTHOR TEXT REQUIRED - connect the four differentiated analyses to continuous movement profiles and clearly label functional interpretations as hypotheses]</w:t>
      </w:r>
    </w:p>
    <w:p>
      <w:pPr>
        <w:pStyle w:val="NHSJSSubsection"/>
        <w:keepNext/>
      </w:pPr>
      <w:r>
        <w:t>Limitations</w:t>
      </w:r>
    </w:p>
    <w:p>
      <w:pPr>
        <w:keepLines/>
        <w:spacing w:after="120"/>
        <w:shd w:fill="FFF2CC"/>
      </w:pPr>
      <w:r>
        <w:rPr>
          <w:rFonts w:ascii="Times New Roman" w:hAnsi="Times New Roman"/>
          <w:i/>
          <w:color w:val="595959"/>
          <w:sz w:val="24"/>
        </w:rPr>
        <w:t>[AUTHOR TEXT REQUIRED - cover selected sample, two reviewers, nested reps, mixed views, 2D projection, iterative development data, non-held-out AI comparison, and absence of clinical outcomes]</w:t>
      </w:r>
    </w:p>
    <w:p>
      <w:pPr>
        <w:pStyle w:val="NHSJSSubsection"/>
        <w:keepNext/>
      </w:pPr>
      <w:r>
        <w:t>Future work</w:t>
      </w:r>
    </w:p>
    <w:p>
      <w:pPr>
        <w:keepLines/>
        <w:spacing w:after="120"/>
        <w:shd w:fill="FFF2CC"/>
      </w:pPr>
      <w:r>
        <w:rPr>
          <w:rFonts w:ascii="Times New Roman" w:hAnsi="Times New Roman"/>
          <w:i/>
          <w:color w:val="595959"/>
          <w:sz w:val="24"/>
        </w:rPr>
        <w:t>[AUTHOR TEXT REQUIRED - propose targeted held-out collection, stronger protocol controls, additional independent reviewers, and external evaluation without reopening Phase I tuning]</w:t>
      </w:r>
    </w:p>
    <w:p>
      <w:pPr>
        <w:pStyle w:val="NHSJSSubsection"/>
        <w:keepNext/>
      </w:pPr>
      <w:r>
        <w:t>Data and code availability</w:t>
      </w:r>
    </w:p>
    <w:p>
      <w:pPr>
        <w:keepLines/>
        <w:spacing w:after="120"/>
        <w:shd w:fill="FFF2CC"/>
      </w:pPr>
      <w:r>
        <w:rPr>
          <w:rFonts w:ascii="Times New Roman" w:hAnsi="Times New Roman"/>
          <w:i/>
          <w:color w:val="595959"/>
          <w:sz w:val="24"/>
        </w:rPr>
        <w:t>[AUTHOR TEXT REQUIRED - state what may be released publicly and what remains private; do not promise a release that has not occurred]</w:t>
      </w:r>
    </w:p>
    <w:p>
      <w:pPr>
        <w:pStyle w:val="NHSJSSubsection"/>
        <w:keepNext/>
      </w:pPr>
      <w:r>
        <w:t>AI use, funding, and conflicts</w:t>
      </w:r>
    </w:p>
    <w:p>
      <w:pPr>
        <w:keepLines/>
        <w:spacing w:after="120"/>
        <w:shd w:fill="FFF2CC"/>
      </w:pPr>
      <w:r>
        <w:rPr>
          <w:rFonts w:ascii="Times New Roman" w:hAnsi="Times New Roman"/>
          <w:i/>
          <w:color w:val="595959"/>
          <w:sz w:val="24"/>
        </w:rPr>
        <w:t>[AUTHOR TEXT REQUIRED - write the complete human-approved disclosure of MediaPipe and Codex use, funding, and conflicts; remove identifying details from the blind version if required]</w:t>
      </w:r>
    </w:p>
    <w:p>
      <w:pPr>
        <w:pStyle w:val="NHSJSSection"/>
        <w:keepNext/>
      </w:pPr>
      <w:r>
        <w:t>References</w:t>
      </w:r>
    </w:p>
    <w:p>
      <w:pPr/>
      <w:r>
        <w:rPr>
          <w:i/>
          <w:color w:val="595959"/>
        </w:rPr>
        <w:t>[AUTHOR CHECK REQUIRED - open and read every source; keep only references actually cited; reorder by first appearance.]</w:t>
      </w:r>
    </w:p>
    <w:p>
      <w:pPr>
        <w:ind w:left="360" w:hanging="360"/>
      </w:pPr>
      <w:r>
        <w:t xml:space="preserve">1. </w:t>
      </w:r>
      <w:r>
        <w:t xml:space="preserve">G. Cook, L. Burton, B. Hoogenboom. Pre-participation screening: the use of fundamental movements as an assessment of function - part 1. </w:t>
      </w:r>
      <w:r>
        <w:rPr>
          <w:i/>
        </w:rPr>
        <w:t>North American Journal of Sports Physical Therapy</w:t>
      </w:r>
      <w:r>
        <w:t>. Vol. 1, pg. 62-72, 2006, https://pubmed.ncbi.nlm.nih.gov/21522216/.</w:t>
      </w:r>
    </w:p>
    <w:p>
      <w:pPr>
        <w:ind w:left="360" w:hanging="360"/>
      </w:pPr>
      <w:r>
        <w:t xml:space="preserve">2. </w:t>
      </w:r>
      <w:r>
        <w:t xml:space="preserve">G. Cook, L. Burton, B. Hoogenboom. Pre-participation screening: the use of fundamental movements as an assessment of function - part 2. </w:t>
      </w:r>
      <w:r>
        <w:rPr>
          <w:i/>
        </w:rPr>
        <w:t>North American Journal of Sports Physical Therapy</w:t>
      </w:r>
      <w:r>
        <w:t>. Vol. 1, pg. 132-139, 2006, https://pubmed.ncbi.nlm.nih.gov/21522225/.</w:t>
      </w:r>
    </w:p>
    <w:p>
      <w:pPr>
        <w:ind w:left="360" w:hanging="360"/>
      </w:pPr>
      <w:r>
        <w:t xml:space="preserve">3. </w:t>
      </w:r>
      <w:r>
        <w:t xml:space="preserve">J. W. Cuchna, M. C. Hoch, J. M. Hoch. The interrater and intrarater reliability of the Functional Movement Screen: a systematic review with meta-analysis. </w:t>
      </w:r>
      <w:r>
        <w:rPr>
          <w:i/>
        </w:rPr>
        <w:t>Physical Therapy in Sport</w:t>
      </w:r>
      <w:r>
        <w:t>. Vol. 19, pg. 57-65, 2016, https://doi.org/10.1016/j.ptsp.2015.12.002.</w:t>
      </w:r>
    </w:p>
    <w:p>
      <w:pPr>
        <w:ind w:left="360" w:hanging="360"/>
      </w:pPr>
      <w:r>
        <w:t xml:space="preserve">4. </w:t>
      </w:r>
      <w:r>
        <w:t xml:space="preserve">N. A. Bonazza, D. Smuin, C. A. Onks, M. L. Silvis, A. Dhawan. Reliability, validity, and injury predictive value of the Functional Movement Screen: a systematic review and meta-analysis. </w:t>
      </w:r>
      <w:r>
        <w:rPr>
          <w:i/>
        </w:rPr>
        <w:t>American Journal of Sports Medicine</w:t>
      </w:r>
      <w:r>
        <w:t>. Vol. 45, pg. 725-732, 2017, https://doi.org/10.1177/0363546516641937.</w:t>
      </w:r>
    </w:p>
    <w:p>
      <w:pPr>
        <w:ind w:left="360" w:hanging="360"/>
      </w:pPr>
      <w:r>
        <w:t xml:space="preserve">5. </w:t>
      </w:r>
      <w:r>
        <w:t xml:space="preserve">R. Morgan, S. LeMire, L. Knoll, E. Schuster, C. Tietz, A. Weisz, G. Schindler. The Functional Movement Screen: exploring interrater reliability between raters in the updated version. </w:t>
      </w:r>
      <w:r>
        <w:rPr>
          <w:i/>
        </w:rPr>
        <w:t>International Journal of Sports Physical Therapy</w:t>
      </w:r>
      <w:r>
        <w:t>. Vol. 18, pg. 737-745, 2023, https://doi.org/10.26603/001c.74724.</w:t>
      </w:r>
    </w:p>
    <w:p>
      <w:pPr>
        <w:ind w:left="360" w:hanging="360"/>
      </w:pPr>
      <w:r>
        <w:t xml:space="preserve">6. </w:t>
      </w:r>
      <w:r>
        <w:t xml:space="preserve">V. Bazarevsky, I. Grishchenko, K. Raveendran, T. Zhu, F. Zhang, M. Grundmann. BlazePose: on-device real-time body pose tracking. </w:t>
      </w:r>
      <w:r>
        <w:rPr>
          <w:i/>
        </w:rPr>
        <w:t>arXiv</w:t>
      </w:r>
      <w:r>
        <w:t>, 2020, https://doi.org/10.48550/arXiv.2006.10204.</w:t>
      </w:r>
    </w:p>
    <w:p>
      <w:pPr>
        <w:ind w:left="360" w:hanging="360"/>
      </w:pPr>
      <w:r>
        <w:t xml:space="preserve">7. </w:t>
      </w:r>
      <w:r>
        <w:t xml:space="preserve">S. L. Colyer, M. Evans, D. P. Cosker, A. I. T. Salo. A review of the evolution of vision-based motion analysis and the integration of advanced computer vision methods towards developing a markerless system. </w:t>
      </w:r>
      <w:r>
        <w:rPr>
          <w:i/>
        </w:rPr>
        <w:t>Sports Medicine - Open</w:t>
      </w:r>
      <w:r>
        <w:t>. Vol. 4, pg. 24, 2018, https://doi.org/10.1186/s40798-018-0139-y.</w:t>
      </w:r>
    </w:p>
    <w:p>
      <w:pPr>
        <w:ind w:left="360" w:hanging="360"/>
      </w:pPr>
      <w:r>
        <w:t xml:space="preserve">8. </w:t>
      </w:r>
      <w:r>
        <w:t xml:space="preserve">L. Kidzinski, B. Yang, J. L. Hicks, A. Rajagopal, S. L. Delp, M. H. Schwartz. Deep neural networks enable quantitative movement analysis using single-camera videos. </w:t>
      </w:r>
      <w:r>
        <w:rPr>
          <w:i/>
        </w:rPr>
        <w:t>Nature Communications</w:t>
      </w:r>
      <w:r>
        <w:t>. Vol. 11, pg. 4054, 2020, https://doi.org/10.1038/s41467-020-17807-z.</w:t>
      </w:r>
    </w:p>
    <w:p>
      <w:pPr>
        <w:ind w:left="360" w:hanging="360"/>
      </w:pPr>
      <w:r>
        <w:t xml:space="preserve">9. </w:t>
      </w:r>
      <w:r>
        <w:t xml:space="preserve">L. Wade, L. Needham, P. McGuigan, J. Bilzon. Applications and limitations of current markerless motion capture methods for clinical gait biomechanics. </w:t>
      </w:r>
      <w:r>
        <w:rPr>
          <w:i/>
        </w:rPr>
        <w:t>PeerJ</w:t>
      </w:r>
      <w:r>
        <w:t>. Vol. 10, pg. e12995, 2022, https://doi.org/10.7717/peerj.12995.</w:t>
      </w:r>
    </w:p>
    <w:p>
      <w:pPr>
        <w:ind w:left="360" w:hanging="360"/>
      </w:pPr>
      <w:r>
        <w:t xml:space="preserve">10. </w:t>
      </w:r>
      <w:r>
        <w:t xml:space="preserve">D. Pagnon, H. Kim. Sports2D: compute 2D human pose and angles from a video or a webcam. </w:t>
      </w:r>
      <w:r>
        <w:rPr>
          <w:i/>
        </w:rPr>
        <w:t>Journal of Open Source Software</w:t>
      </w:r>
      <w:r>
        <w:t>. Vol. 9, pg. 6849, 2024, https://doi.org/10.21105/joss.06849.</w:t>
      </w:r>
    </w:p>
    <w:p>
      <w:pPr>
        <w:ind w:left="360" w:hanging="360"/>
      </w:pPr>
      <w:r>
        <w:t xml:space="preserve">11. </w:t>
      </w:r>
      <w:r>
        <w:t xml:space="preserve">J. Cohen. Weighted kappa: nominal scale agreement with provision for scaled disagreement or partial credit. </w:t>
      </w:r>
      <w:r>
        <w:rPr>
          <w:i/>
        </w:rPr>
        <w:t>Psychological Bulletin</w:t>
      </w:r>
      <w:r>
        <w:t>. Vol. 70, pg. 213-220, 1968, https://doi.org/10.1037/h0026256.</w:t>
      </w:r>
    </w:p>
    <w:p>
      <w:pPr>
        <w:ind w:left="360" w:hanging="360"/>
      </w:pPr>
      <w:r>
        <w:t xml:space="preserve">12. </w:t>
      </w:r>
      <w:r>
        <w:t xml:space="preserve">S. Amershi, D. Weld, M. Vorvoreanu, A. Fourney, B. Nushi, P. Collisson, J. Suh, S. Iqbal, P. N. Bennett, K. Inkpen, J. Teevan, R. Kikin-Gil, E. Horvitz. Guidelines for human-AI interaction. </w:t>
      </w:r>
      <w:r>
        <w:rPr>
          <w:i/>
        </w:rPr>
        <w:t>Proceedings of the 2019 CHI Conference on Human Factors in Computing Systems</w:t>
      </w:r>
      <w:r>
        <w:t>. pg. 1-13, 2019, https://doi.org/10.1145/3290605.3300233.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2751266">
    <w:abstractNumId w:val="8"/>
  </w:num>
  <w:num w:numId="2" w16cid:durableId="482623475">
    <w:abstractNumId w:val="6"/>
  </w:num>
  <w:num w:numId="3" w16cid:durableId="784693259">
    <w:abstractNumId w:val="5"/>
  </w:num>
  <w:num w:numId="4" w16cid:durableId="847409485">
    <w:abstractNumId w:val="4"/>
  </w:num>
  <w:num w:numId="5" w16cid:durableId="1924221323">
    <w:abstractNumId w:val="7"/>
  </w:num>
  <w:num w:numId="6" w16cid:durableId="1577472187">
    <w:abstractNumId w:val="3"/>
  </w:num>
  <w:num w:numId="7" w16cid:durableId="1124272537">
    <w:abstractNumId w:val="2"/>
  </w:num>
  <w:num w:numId="8" w16cid:durableId="1678189852">
    <w:abstractNumId w:val="1"/>
  </w:num>
  <w:num w:numId="9" w16cid:durableId="6410780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2D2"/>
    <w:rsid w:val="0029639D"/>
    <w:rsid w:val="00326F90"/>
    <w:rsid w:val="007E15AD"/>
    <w:rsid w:val="00AA1D8D"/>
    <w:rsid w:val="00B47730"/>
    <w:rsid w:val="00CB0664"/>
    <w:rsid w:val="00F37D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EAB12D"/>
  <w14:defaultImageDpi w14:val="300"/>
  <w15:docId w15:val="{53D6B270-4936-934B-96CF-FCDECED73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HSJSTitle">
    <w:name w:val="NHSJS Title"/>
    <w:basedOn w:val="Normal"/>
    <w:pPr>
      <w:jc w:val="center"/>
    </w:pPr>
    <w:rPr>
      <w:b/>
      <w:sz w:val="36"/>
    </w:rPr>
  </w:style>
  <w:style w:type="paragraph" w:customStyle="1" w:styleId="NHSJSSection">
    <w:name w:val="NHSJS Section"/>
    <w:basedOn w:val="Normal"/>
    <w:pPr>
      <w:spacing w:before="240"/>
    </w:pPr>
    <w:rPr>
      <w:b/>
      <w:sz w:val="28"/>
    </w:rPr>
  </w:style>
  <w:style w:type="paragraph" w:customStyle="1" w:styleId="NHSJSSubsection">
    <w:name w:val="NHSJS Subsection"/>
    <w:basedOn w:val="Normal"/>
    <w:pPr>
      <w:spacing w:before="160"/>
    </w:pPr>
    <w:rPr>
      <w:b/>
      <w:i/>
    </w:rPr>
  </w:style>
  <w:style w:type="paragraph" w:customStyle="1" w:styleId="NHSJSSubsubsection">
    <w:name w:val="NHSJS Subsubsection"/>
    <w:basedOn w:val="Normal"/>
    <w:pPr>
      <w:spacing w:before="120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2" Type="http://schemas.openxmlformats.org/officeDocument/2006/relationships/numbering" Target="numbering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5" Type="http://schemas.openxmlformats.org/officeDocument/2006/relationships/webSettings" Target="webSettings.xml" /><Relationship Id="rId15" Type="http://schemas.openxmlformats.org/officeDocument/2006/relationships/fontTable" Target="fontTable.xml" /><Relationship Id="rId4" Type="http://schemas.openxmlformats.org/officeDocument/2006/relationships/settings" Target="settings.xml" /><Relationship Id="rId17" Type="http://schemas.openxmlformats.org/officeDocument/2006/relationships/image" Target="media/image8.png" /><Relationship Id="rId18" Type="http://schemas.openxmlformats.org/officeDocument/2006/relationships/image" Target="media/image9.png" /><Relationship Id="rId19" Type="http://schemas.openxmlformats.org/officeDocument/2006/relationships/image" Target="media/image10.png" /><Relationship Id="rId20" Type="http://schemas.openxmlformats.org/officeDocument/2006/relationships/image" Target="media/image11.png" /><Relationship Id="rId21" Type="http://schemas.openxmlformats.org/officeDocument/2006/relationships/image" Target="media/image12.png" /><Relationship Id="rId22" Type="http://schemas.openxmlformats.org/officeDocument/2006/relationships/image" Target="media/image1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7794</Words>
  <Characters>44428</Characters>
  <Application>Microsoft Office Word</Application>
  <DocSecurity>0</DocSecurity>
  <Lines>370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AI-FMS: Development and Phase I Evaluation of an Explainable Human-in-the-Loop System for Functional Movement Screen Video Review</dc:title>
  <dc:subject>NHSJS Standard authoring manuscript</dc:subject>
  <dc:creator/>
  <cp:keywords>AI-FMS; NHSJS; authoring manuscript</cp:keywords>
  <dc:description>generated by python-docx</dc:description>
  <cp:lastModifiedBy/>
  <cp:revision>2</cp:revision>
  <dcterms:created xsi:type="dcterms:W3CDTF">2013-12-23T23:15:00Z</dcterms:created>
  <dcterms:modified xsi:type="dcterms:W3CDTF">2026-07-24T04:36:00Z</dcterms:modified>
  <cp:category/>
</cp:coreProperties>
</file>