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b/>
          <w:bCs/>
          <w:caps/>
          <w:snapToGrid w:val="0"/>
          <w:kern w:val="32"/>
          <w:sz w:val="32"/>
          <w:szCs w:val="28"/>
        </w:rPr>
        <w:id w:val="300380"/>
        <w:docPartObj>
          <w:docPartGallery w:val="Cover Pages"/>
          <w:docPartUnique/>
        </w:docPartObj>
      </w:sdtPr>
      <w:sdtEndPr>
        <w:rPr>
          <w:sz w:val="28"/>
        </w:rPr>
      </w:sdtEndPr>
      <w:sdtContent>
        <w:p w:rsidR="00CD3F77" w:rsidRDefault="00CD3F77" w:rsidP="00CD3F77">
          <w:pPr>
            <w:rPr>
              <w:rFonts w:cs="Arial"/>
              <w:b/>
              <w:bCs/>
              <w:caps/>
              <w:snapToGrid w:val="0"/>
              <w:kern w:val="32"/>
              <w:sz w:val="32"/>
              <w:szCs w:val="28"/>
            </w:rPr>
          </w:pPr>
        </w:p>
        <w:p w:rsidR="00CD3F77" w:rsidRPr="003569B8" w:rsidRDefault="00CD3F77" w:rsidP="003569B8">
          <w:pPr>
            <w:jc w:val="center"/>
            <w:rPr>
              <w:noProof/>
              <w:sz w:val="48"/>
              <w:szCs w:val="48"/>
            </w:rPr>
          </w:pPr>
          <w:r w:rsidRPr="003569B8">
            <w:rPr>
              <w:rFonts w:ascii="Arial" w:hAnsi="Arial" w:cs="Arial"/>
              <w:b/>
              <w:sz w:val="48"/>
              <w:szCs w:val="48"/>
            </w:rPr>
            <w:t>Radiological Toolbox User’s Guide</w:t>
          </w:r>
        </w:p>
        <w:p w:rsidR="00CD3F77" w:rsidRDefault="00CD3F77" w:rsidP="00CD3F77">
          <w:pPr>
            <w:rPr>
              <w:noProof/>
              <w:szCs w:val="20"/>
            </w:rPr>
          </w:pPr>
        </w:p>
        <w:p w:rsidR="00CD3F77" w:rsidRDefault="00CD3F77" w:rsidP="00CD3F77">
          <w:pPr>
            <w:tabs>
              <w:tab w:val="left" w:pos="2760"/>
            </w:tabs>
            <w:jc w:val="center"/>
          </w:pPr>
          <w:r>
            <w:t>Prepared by</w:t>
          </w:r>
        </w:p>
        <w:p w:rsidR="00CD3F77" w:rsidRDefault="00CD3F77" w:rsidP="00CD3F77">
          <w:pPr>
            <w:jc w:val="center"/>
          </w:pPr>
          <w:r w:rsidRPr="00CD0034">
            <w:t xml:space="preserve">K. F. Eckerman and A. L. </w:t>
          </w:r>
          <w:proofErr w:type="spellStart"/>
          <w:r w:rsidRPr="00CD0034">
            <w:t>Sjoreen</w:t>
          </w:r>
          <w:proofErr w:type="spellEnd"/>
        </w:p>
        <w:p w:rsidR="00CD3F77" w:rsidRPr="00CC1620" w:rsidRDefault="00CD3F77" w:rsidP="00CD3F77">
          <w:pPr>
            <w:jc w:val="center"/>
          </w:pPr>
          <w:r w:rsidRPr="00CC1620">
            <w:t>Oak Ridge National Laboratory</w:t>
          </w:r>
        </w:p>
        <w:p w:rsidR="00CD3F77" w:rsidRDefault="00CD3F77" w:rsidP="00CD3F77">
          <w:pPr>
            <w:tabs>
              <w:tab w:val="left" w:pos="2760"/>
            </w:tabs>
            <w:jc w:val="center"/>
          </w:pPr>
          <w:r w:rsidRPr="00CC1620">
            <w:t>Oak Ridge, TN 37831-6170</w:t>
          </w:r>
        </w:p>
        <w:p w:rsidR="003569B8" w:rsidRDefault="003569B8" w:rsidP="003569B8">
          <w:pPr>
            <w:pStyle w:val="noindent"/>
          </w:pPr>
        </w:p>
        <w:p w:rsidR="003569B8" w:rsidRDefault="003569B8" w:rsidP="003569B8">
          <w:pPr>
            <w:pStyle w:val="noindent"/>
            <w:jc w:val="center"/>
          </w:pPr>
          <w:r>
            <w:t>C. Sun, NRC Project Manager</w:t>
          </w:r>
        </w:p>
        <w:p w:rsidR="003569B8" w:rsidRDefault="003569B8" w:rsidP="003569B8">
          <w:pPr>
            <w:pStyle w:val="noindent"/>
            <w:jc w:val="center"/>
          </w:pPr>
          <w:r>
            <w:t>Office of Nuclear Regulatory Research</w:t>
          </w:r>
        </w:p>
        <w:p w:rsidR="003569B8" w:rsidRDefault="003569B8" w:rsidP="003569B8">
          <w:pPr>
            <w:pStyle w:val="noindent"/>
            <w:jc w:val="center"/>
          </w:pPr>
          <w:r>
            <w:t>U.S. Nuclear Regulatory Commission</w:t>
          </w:r>
        </w:p>
        <w:p w:rsidR="003569B8" w:rsidRDefault="003569B8" w:rsidP="003569B8">
          <w:pPr>
            <w:pStyle w:val="noindent"/>
            <w:jc w:val="center"/>
          </w:pPr>
          <w:r>
            <w:t>Washington, DC 20555-0001</w:t>
          </w:r>
        </w:p>
        <w:p w:rsidR="003569B8" w:rsidRPr="003569B8" w:rsidRDefault="003569B8" w:rsidP="003569B8">
          <w:pPr>
            <w:pStyle w:val="noindent"/>
          </w:pPr>
        </w:p>
        <w:p w:rsidR="00CD3F77" w:rsidRPr="00CD3F77" w:rsidRDefault="00CD3F77" w:rsidP="00CD3F77">
          <w:pPr>
            <w:pStyle w:val="noindent"/>
          </w:pPr>
        </w:p>
        <w:p w:rsidR="00CD3F77" w:rsidRDefault="00CD3F77" w:rsidP="00CD3F77">
          <w:pPr>
            <w:pStyle w:val="AbstractHead"/>
          </w:pPr>
          <w:bookmarkStart w:id="0" w:name="_Toc199057148"/>
          <w:bookmarkStart w:id="1" w:name="_Toc355177416"/>
          <w:r>
            <w:t>ACKNOWLEDGMENTS</w:t>
          </w:r>
          <w:bookmarkEnd w:id="0"/>
          <w:bookmarkEnd w:id="1"/>
        </w:p>
        <w:p w:rsidR="00CD3F77" w:rsidRPr="00F06489" w:rsidRDefault="00CD3F77" w:rsidP="00CD3F77">
          <w:pPr>
            <w:jc w:val="both"/>
            <w:rPr>
              <w:sz w:val="22"/>
              <w:szCs w:val="22"/>
            </w:rPr>
          </w:pPr>
          <w:r w:rsidRPr="00F06489">
            <w:rPr>
              <w:sz w:val="22"/>
              <w:szCs w:val="22"/>
            </w:rPr>
            <w:t>This document was written under contract with the U.</w:t>
          </w:r>
          <w:r>
            <w:rPr>
              <w:sz w:val="22"/>
              <w:szCs w:val="22"/>
            </w:rPr>
            <w:t xml:space="preserve"> </w:t>
          </w:r>
          <w:r w:rsidRPr="00F06489">
            <w:rPr>
              <w:sz w:val="22"/>
              <w:szCs w:val="22"/>
            </w:rPr>
            <w:t xml:space="preserve">S. Nuclear Regulatory Commission (NRC) Office of Nuclear Regulatory Research. The authors acknowledges NRC </w:t>
          </w:r>
          <w:r>
            <w:rPr>
              <w:sz w:val="22"/>
              <w:szCs w:val="22"/>
            </w:rPr>
            <w:t xml:space="preserve">staff members </w:t>
          </w:r>
          <w:r w:rsidRPr="00F06489">
            <w:rPr>
              <w:sz w:val="22"/>
              <w:szCs w:val="22"/>
            </w:rPr>
            <w:t>Ca</w:t>
          </w:r>
          <w:r>
            <w:rPr>
              <w:sz w:val="22"/>
              <w:szCs w:val="22"/>
            </w:rPr>
            <w:t>s</w:t>
          </w:r>
          <w:r w:rsidRPr="00F06489">
            <w:rPr>
              <w:sz w:val="22"/>
              <w:szCs w:val="22"/>
            </w:rPr>
            <w:t>per Sun</w:t>
          </w:r>
          <w:r>
            <w:rPr>
              <w:sz w:val="22"/>
              <w:szCs w:val="22"/>
            </w:rPr>
            <w:t xml:space="preserve">, </w:t>
          </w:r>
          <w:r w:rsidRPr="00F06489">
            <w:rPr>
              <w:sz w:val="22"/>
              <w:szCs w:val="22"/>
            </w:rPr>
            <w:t xml:space="preserve">Sami </w:t>
          </w:r>
          <w:proofErr w:type="spellStart"/>
          <w:r w:rsidRPr="00F06489">
            <w:rPr>
              <w:sz w:val="22"/>
              <w:szCs w:val="22"/>
            </w:rPr>
            <w:t>Serbini</w:t>
          </w:r>
          <w:proofErr w:type="spellEnd"/>
          <w:r>
            <w:rPr>
              <w:sz w:val="22"/>
              <w:szCs w:val="22"/>
            </w:rPr>
            <w:t xml:space="preserve">, </w:t>
          </w:r>
          <w:r w:rsidRPr="00F06489">
            <w:rPr>
              <w:sz w:val="22"/>
              <w:szCs w:val="22"/>
            </w:rPr>
            <w:t xml:space="preserve">Harriett </w:t>
          </w:r>
          <w:proofErr w:type="spellStart"/>
          <w:r w:rsidRPr="00F06489">
            <w:rPr>
              <w:sz w:val="22"/>
              <w:szCs w:val="22"/>
            </w:rPr>
            <w:t>Karagiannis</w:t>
          </w:r>
          <w:proofErr w:type="spellEnd"/>
          <w:r>
            <w:rPr>
              <w:sz w:val="22"/>
              <w:szCs w:val="22"/>
            </w:rPr>
            <w:t xml:space="preserve">, Elijah Dickson, Mohammad Saba, </w:t>
          </w:r>
          <w:proofErr w:type="spellStart"/>
          <w:r>
            <w:rPr>
              <w:sz w:val="22"/>
              <w:szCs w:val="22"/>
            </w:rPr>
            <w:t>Vered</w:t>
          </w:r>
          <w:proofErr w:type="spellEnd"/>
          <w:r>
            <w:rPr>
              <w:sz w:val="22"/>
              <w:szCs w:val="22"/>
            </w:rPr>
            <w:t xml:space="preserve"> Schaffer, and Stephanie Bush-Goddard</w:t>
          </w:r>
          <w:r w:rsidRPr="00F06489">
            <w:rPr>
              <w:sz w:val="22"/>
              <w:szCs w:val="22"/>
            </w:rPr>
            <w:t xml:space="preserve"> for their guidance and review of the software and this document. The authors are grateful for detailed review of this document by Michael Bellamy, Richard Leggett, and Pat Scofield, and final preparation of this document by </w:t>
          </w:r>
          <w:r>
            <w:rPr>
              <w:sz w:val="22"/>
              <w:szCs w:val="22"/>
            </w:rPr>
            <w:t>Roxanne Raschke</w:t>
          </w:r>
          <w:r w:rsidRPr="00F06489">
            <w:rPr>
              <w:sz w:val="22"/>
              <w:szCs w:val="22"/>
            </w:rPr>
            <w:t xml:space="preserve">. </w:t>
          </w:r>
        </w:p>
        <w:p w:rsidR="00CD3F77" w:rsidRPr="00F06489" w:rsidRDefault="00CD3F77" w:rsidP="00CD3F77">
          <w:pPr>
            <w:jc w:val="both"/>
            <w:rPr>
              <w:sz w:val="22"/>
              <w:szCs w:val="22"/>
            </w:rPr>
          </w:pPr>
        </w:p>
        <w:p w:rsidR="00CD3F77" w:rsidRPr="00F06489" w:rsidRDefault="00CD3F77" w:rsidP="00CD3F77">
          <w:pPr>
            <w:jc w:val="both"/>
            <w:rPr>
              <w:sz w:val="22"/>
              <w:szCs w:val="22"/>
            </w:rPr>
          </w:pPr>
          <w:r w:rsidRPr="00F06489">
            <w:rPr>
              <w:sz w:val="22"/>
              <w:szCs w:val="22"/>
            </w:rPr>
            <w:t>The authors acknowledge:</w:t>
          </w:r>
        </w:p>
        <w:p w:rsidR="00CD3F77" w:rsidRPr="00F06489" w:rsidRDefault="00CD3F77" w:rsidP="00CD3F77">
          <w:pPr>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 xml:space="preserve">The International Commission on Radiological Protection (ICRP) for granting permission to extract the inhalation and ingestion dose coefficients from “The ICRP Database of Dose Coefficients: Worker and Members of the Public” CD. In addition, the nuclear decay data of ICRP Publication 107, included here, were prepared for that publication by A. Endo of the Japan Atomic Energy Agency </w:t>
          </w:r>
          <w:r>
            <w:rPr>
              <w:sz w:val="22"/>
              <w:szCs w:val="22"/>
            </w:rPr>
            <w:t xml:space="preserve">(JAEA) </w:t>
          </w:r>
          <w:r w:rsidRPr="00F06489">
            <w:rPr>
              <w:sz w:val="22"/>
              <w:szCs w:val="22"/>
            </w:rPr>
            <w:t>and K.</w:t>
          </w:r>
          <w:r>
            <w:rPr>
              <w:sz w:val="22"/>
              <w:szCs w:val="22"/>
            </w:rPr>
            <w:t> </w:t>
          </w:r>
          <w:r w:rsidRPr="00F06489">
            <w:rPr>
              <w:sz w:val="22"/>
              <w:szCs w:val="22"/>
            </w:rPr>
            <w:t>Eckerman of Oak Ridge National Laboratory (ORNL).</w:t>
          </w:r>
        </w:p>
        <w:p w:rsidR="00CD3F77" w:rsidRPr="00F06489" w:rsidRDefault="00CD3F77" w:rsidP="00CD3F77">
          <w:pPr>
            <w:ind w:left="360" w:hanging="360"/>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The U. S. Environmental Protection Agency (EPA) for sponsoring the development of the dose coefficients for external exposure and those for deterministic effects at ORNL during the preparation of Federal Guidance Reports 12 and 13.</w:t>
          </w:r>
        </w:p>
        <w:p w:rsidR="00CD3F77" w:rsidRPr="00F06489" w:rsidRDefault="00CD3F77" w:rsidP="00CD3F77">
          <w:pPr>
            <w:ind w:left="360" w:hanging="360"/>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The National Institute of Science and Technology (NIST) for publishing data on the interaction of alpha, electron</w:t>
          </w:r>
          <w:r>
            <w:rPr>
              <w:sz w:val="22"/>
              <w:szCs w:val="22"/>
            </w:rPr>
            <w:t>,</w:t>
          </w:r>
          <w:r w:rsidRPr="00F06489">
            <w:rPr>
              <w:sz w:val="22"/>
              <w:szCs w:val="22"/>
            </w:rPr>
            <w:t xml:space="preserve"> and photon radiations, which w</w:t>
          </w:r>
          <w:r>
            <w:rPr>
              <w:sz w:val="22"/>
              <w:szCs w:val="22"/>
            </w:rPr>
            <w:t>ere</w:t>
          </w:r>
          <w:r w:rsidRPr="00F06489">
            <w:rPr>
              <w:sz w:val="22"/>
              <w:szCs w:val="22"/>
            </w:rPr>
            <w:t xml:space="preserve"> abstracted and used herein.</w:t>
          </w:r>
        </w:p>
        <w:p w:rsidR="00CD3F77" w:rsidRPr="00F06489" w:rsidRDefault="00CD3F77" w:rsidP="00CD3F77">
          <w:pPr>
            <w:jc w:val="both"/>
            <w:rPr>
              <w:sz w:val="22"/>
              <w:szCs w:val="22"/>
            </w:rPr>
          </w:pPr>
        </w:p>
        <w:p w:rsidR="00CD3F77" w:rsidRPr="00573751" w:rsidRDefault="00CD3F77" w:rsidP="00CD3F77">
          <w:pPr>
            <w:jc w:val="both"/>
            <w:rPr>
              <w:sz w:val="22"/>
              <w:szCs w:val="22"/>
            </w:rPr>
          </w:pPr>
          <w:r w:rsidRPr="00F06489">
            <w:rPr>
              <w:sz w:val="22"/>
              <w:szCs w:val="22"/>
            </w:rPr>
            <w:t>We also appreciate the efforts of our user community for reporting variou</w:t>
          </w:r>
          <w:r>
            <w:rPr>
              <w:sz w:val="22"/>
              <w:szCs w:val="22"/>
            </w:rPr>
            <w:t xml:space="preserve">s issues and their patience as </w:t>
          </w:r>
          <w:r w:rsidRPr="00F06489">
            <w:rPr>
              <w:sz w:val="22"/>
              <w:szCs w:val="22"/>
            </w:rPr>
            <w:t>issues were addressed. Finally we acknowledge the excellent administrative support provided by Julie Stringfield and Lindsey Aloisi of ORNL's NRC Project Office; their guidance was always adept, professional, and warranted.</w:t>
          </w:r>
        </w:p>
        <w:p w:rsidR="00CD3F77" w:rsidRPr="00573751" w:rsidRDefault="00CD3F77" w:rsidP="00CD3F77">
          <w:pPr>
            <w:pStyle w:val="BodyTextFirstIndent"/>
            <w:rPr>
              <w:sz w:val="22"/>
              <w:szCs w:val="22"/>
            </w:rPr>
            <w:sectPr w:rsidR="00CD3F77" w:rsidRPr="00573751">
              <w:footerReference w:type="even" r:id="rId8"/>
              <w:footerReference w:type="default" r:id="rId9"/>
              <w:endnotePr>
                <w:numFmt w:val="decimal"/>
              </w:endnotePr>
              <w:pgSz w:w="12240" w:h="15840" w:code="1"/>
              <w:pgMar w:top="1440" w:right="1440" w:bottom="1440" w:left="1440" w:header="720" w:footer="720" w:gutter="0"/>
              <w:pgNumType w:fmt="lowerRoman"/>
              <w:cols w:space="720"/>
              <w:noEndnote/>
              <w:docGrid w:linePitch="360"/>
            </w:sectPr>
          </w:pPr>
        </w:p>
        <w:p w:rsidR="00CD3F77" w:rsidRPr="003875FA" w:rsidRDefault="00CD3F77" w:rsidP="00CD3F77">
          <w:pPr>
            <w:pStyle w:val="BodyTextFirstIndent"/>
            <w:rPr>
              <w:sz w:val="2"/>
              <w:szCs w:val="2"/>
            </w:rPr>
            <w:sectPr w:rsidR="00CD3F77" w:rsidRPr="003875FA" w:rsidSect="00CD3F77">
              <w:footerReference w:type="default" r:id="rId10"/>
              <w:endnotePr>
                <w:numFmt w:val="decimal"/>
              </w:endnotePr>
              <w:pgSz w:w="12240" w:h="15840" w:code="1"/>
              <w:pgMar w:top="1440" w:right="1440" w:bottom="1440" w:left="1440" w:header="720" w:footer="720" w:gutter="0"/>
              <w:pgNumType w:start="1"/>
              <w:cols w:space="720"/>
              <w:noEndnote/>
              <w:docGrid w:linePitch="360"/>
            </w:sectPr>
          </w:pPr>
        </w:p>
        <w:p w:rsidR="00CD3F77" w:rsidRPr="0078634F" w:rsidRDefault="00CD3F77" w:rsidP="00CD3F77">
          <w:pPr>
            <w:pStyle w:val="Heading1"/>
            <w:ind w:hanging="7477"/>
          </w:pPr>
          <w:bookmarkStart w:id="2" w:name="_Toc355177418"/>
          <w:bookmarkStart w:id="3" w:name="_Toc199057150"/>
          <w:bookmarkStart w:id="4" w:name="_Toc158453183"/>
          <w:bookmarkStart w:id="5" w:name="_Toc131476566"/>
          <w:r w:rsidRPr="0078634F">
            <w:lastRenderedPageBreak/>
            <w:t>INTRODUCTION</w:t>
          </w:r>
        </w:p>
        <w:bookmarkEnd w:id="5" w:displacedByCustomXml="next"/>
        <w:bookmarkEnd w:id="4" w:displacedByCustomXml="next"/>
        <w:bookmarkEnd w:id="3" w:displacedByCustomXml="next"/>
      </w:sdtContent>
    </w:sdt>
    <w:bookmarkEnd w:id="2" w:displacedByCustomXml="prev"/>
    <w:p w:rsidR="00CD3F77" w:rsidRDefault="00CD3F77" w:rsidP="00CD3F77">
      <w:pPr>
        <w:pStyle w:val="StyleBaseTimesNewRoman12ptJustified"/>
        <w:ind w:firstLine="0"/>
        <w:rPr>
          <w:rFonts w:cs="Times New Roman"/>
        </w:rPr>
      </w:pPr>
      <w:bookmarkStart w:id="6" w:name="_Toc17101950"/>
      <w:bookmarkStart w:id="7" w:name="_Toc105818624"/>
      <w:bookmarkStart w:id="8" w:name="_Toc279229739"/>
      <w:bookmarkStart w:id="9" w:name="OLE_LINK1"/>
      <w:bookmarkStart w:id="10" w:name="OLE_LINK2"/>
      <w:r w:rsidRPr="001A02A5">
        <w:rPr>
          <w:rFonts w:cs="Times New Roman"/>
        </w:rPr>
        <w:t>The Radiological Toolbox</w:t>
      </w:r>
      <w:r>
        <w:rPr>
          <w:rFonts w:cs="Times New Roman"/>
        </w:rPr>
        <w:t xml:space="preserve"> software</w:t>
      </w:r>
      <w:r w:rsidRPr="001A02A5">
        <w:rPr>
          <w:rFonts w:cs="Times New Roman"/>
        </w:rPr>
        <w:t xml:space="preserve">, hereafter referred to as the Rad Toolbox or simply </w:t>
      </w:r>
      <w:r>
        <w:rPr>
          <w:rFonts w:cs="Times New Roman"/>
        </w:rPr>
        <w:t>T</w:t>
      </w:r>
      <w:r w:rsidRPr="001A02A5">
        <w:rPr>
          <w:rFonts w:cs="Times New Roman"/>
        </w:rPr>
        <w:t xml:space="preserve">oolbox, was developed </w:t>
      </w:r>
      <w:r>
        <w:rPr>
          <w:rFonts w:cs="Times New Roman"/>
        </w:rPr>
        <w:t xml:space="preserve">by Oak Ridge National Laboratory (ORNL) </w:t>
      </w:r>
      <w:r w:rsidRPr="001A02A5">
        <w:rPr>
          <w:rFonts w:cs="Times New Roman"/>
        </w:rPr>
        <w:t>for the U.S. Nuclear Regulatory Commission (NRC). This computer application provides access to physical, chemical, anatomical, physiological</w:t>
      </w:r>
      <w:r>
        <w:rPr>
          <w:rFonts w:cs="Times New Roman"/>
        </w:rPr>
        <w:t>,</w:t>
      </w:r>
      <w:r w:rsidRPr="001A02A5">
        <w:rPr>
          <w:rFonts w:cs="Times New Roman"/>
        </w:rPr>
        <w:t xml:space="preserve"> and mathematical data (and models) relevant to the protection of workers and the public from exposures to ionizing radiation. A graphical </w:t>
      </w:r>
      <w:r>
        <w:rPr>
          <w:rFonts w:cs="Times New Roman"/>
        </w:rPr>
        <w:t xml:space="preserve">user </w:t>
      </w:r>
      <w:r w:rsidRPr="001A02A5">
        <w:rPr>
          <w:rFonts w:cs="Times New Roman"/>
        </w:rPr>
        <w:t xml:space="preserve">interface enables viewing of the data and </w:t>
      </w:r>
      <w:r>
        <w:rPr>
          <w:rFonts w:cs="Times New Roman"/>
        </w:rPr>
        <w:t xml:space="preserve">its extraction for use in </w:t>
      </w:r>
      <w:r w:rsidRPr="001A02A5">
        <w:rPr>
          <w:rFonts w:cs="Times New Roman"/>
        </w:rPr>
        <w:t xml:space="preserve">computations. The data are stored in Microsoft Access databases </w:t>
      </w:r>
      <w:r>
        <w:rPr>
          <w:rFonts w:cs="Times New Roman"/>
        </w:rPr>
        <w:t xml:space="preserve">or </w:t>
      </w:r>
      <w:r w:rsidRPr="001A02A5">
        <w:rPr>
          <w:rFonts w:cs="Times New Roman"/>
        </w:rPr>
        <w:t>in flat ASCII files</w:t>
      </w:r>
      <w:r>
        <w:rPr>
          <w:rFonts w:cs="Times New Roman"/>
        </w:rPr>
        <w:t xml:space="preserve"> and</w:t>
      </w:r>
      <w:r w:rsidRPr="001A02A5">
        <w:rPr>
          <w:rFonts w:cs="Times New Roman"/>
        </w:rPr>
        <w:t xml:space="preserve">, for the most part, </w:t>
      </w:r>
      <w:r>
        <w:rPr>
          <w:rFonts w:cs="Times New Roman"/>
        </w:rPr>
        <w:t xml:space="preserve">the values </w:t>
      </w:r>
      <w:r w:rsidRPr="001A02A5">
        <w:rPr>
          <w:rFonts w:cs="Times New Roman"/>
        </w:rPr>
        <w:t xml:space="preserve">are in SI units. </w:t>
      </w:r>
      <w:r>
        <w:rPr>
          <w:rFonts w:cs="Times New Roman"/>
        </w:rPr>
        <w:t>T</w:t>
      </w:r>
      <w:r w:rsidRPr="001A02A5">
        <w:rPr>
          <w:rFonts w:cs="Times New Roman"/>
        </w:rPr>
        <w:t xml:space="preserve">he </w:t>
      </w:r>
      <w:r>
        <w:rPr>
          <w:rFonts w:cs="Times New Roman"/>
        </w:rPr>
        <w:t xml:space="preserve">data </w:t>
      </w:r>
      <w:r w:rsidRPr="001A02A5">
        <w:rPr>
          <w:rFonts w:cs="Times New Roman"/>
        </w:rPr>
        <w:t xml:space="preserve">can </w:t>
      </w:r>
      <w:r>
        <w:rPr>
          <w:rFonts w:cs="Times New Roman"/>
        </w:rPr>
        <w:t xml:space="preserve">be </w:t>
      </w:r>
      <w:r w:rsidRPr="001A02A5">
        <w:rPr>
          <w:rFonts w:cs="Times New Roman"/>
        </w:rPr>
        <w:t>display</w:t>
      </w:r>
      <w:r>
        <w:rPr>
          <w:rFonts w:cs="Times New Roman"/>
        </w:rPr>
        <w:t>ed</w:t>
      </w:r>
      <w:r w:rsidRPr="001A02A5">
        <w:rPr>
          <w:rFonts w:cs="Times New Roman"/>
        </w:rPr>
        <w:t xml:space="preserve"> and extract</w:t>
      </w:r>
      <w:r>
        <w:rPr>
          <w:rFonts w:cs="Times New Roman"/>
        </w:rPr>
        <w:t>ed</w:t>
      </w:r>
      <w:r w:rsidRPr="001A02A5">
        <w:rPr>
          <w:rFonts w:cs="Times New Roman"/>
        </w:rPr>
        <w:t xml:space="preserve"> </w:t>
      </w:r>
      <w:r>
        <w:rPr>
          <w:rFonts w:cs="Times New Roman"/>
        </w:rPr>
        <w:t xml:space="preserve">in user-specific </w:t>
      </w:r>
      <w:r w:rsidRPr="001A02A5">
        <w:rPr>
          <w:rFonts w:cs="Times New Roman"/>
        </w:rPr>
        <w:t>units.</w:t>
      </w:r>
      <w:r>
        <w:rPr>
          <w:rFonts w:cs="Times New Roman"/>
        </w:rPr>
        <w:t xml:space="preserve">   Users of the Toolbox can retrieve data from eleven data collections (see Table 1.1).</w:t>
      </w:r>
    </w:p>
    <w:p w:rsidR="00CD3F77" w:rsidRDefault="00CD3F77" w:rsidP="00CD3F77">
      <w:pPr>
        <w:pStyle w:val="StyleBaseTimesNewRoman12ptJustified"/>
        <w:ind w:firstLine="0"/>
        <w:rPr>
          <w:rFonts w:cs="Times New Roman"/>
        </w:rPr>
      </w:pPr>
    </w:p>
    <w:p w:rsidR="00CD3F77" w:rsidRDefault="00CD3F77" w:rsidP="00CD3F77">
      <w:pPr>
        <w:pStyle w:val="Caption"/>
        <w:spacing w:after="120"/>
      </w:pPr>
      <w:bookmarkStart w:id="11" w:name="_Toc346029114"/>
      <w:bookmarkStart w:id="12" w:name="_Toc346103451"/>
      <w:proofErr w:type="gramStart"/>
      <w:r w:rsidRPr="003B2B76">
        <w:rPr>
          <w:sz w:val="22"/>
        </w:rPr>
        <w:t xml:space="preserve">Table </w:t>
      </w:r>
      <w:proofErr w:type="gramEnd"/>
      <w:r w:rsidRPr="003B2B76">
        <w:rPr>
          <w:b w:val="0"/>
          <w:sz w:val="22"/>
        </w:rPr>
        <w:fldChar w:fldCharType="begin"/>
      </w:r>
      <w:r w:rsidRPr="003B2B76">
        <w:rPr>
          <w:sz w:val="22"/>
        </w:rPr>
        <w:instrText xml:space="preserve"> STYLEREF 1 \s </w:instrText>
      </w:r>
      <w:r w:rsidRPr="003B2B76">
        <w:rPr>
          <w:b w:val="0"/>
          <w:sz w:val="22"/>
        </w:rPr>
        <w:fldChar w:fldCharType="separate"/>
      </w:r>
      <w:r w:rsidR="00A218AF">
        <w:rPr>
          <w:noProof/>
          <w:sz w:val="22"/>
        </w:rPr>
        <w:t>1</w:t>
      </w:r>
      <w:r w:rsidRPr="003B2B76">
        <w:rPr>
          <w:b w:val="0"/>
          <w:noProof/>
          <w:sz w:val="22"/>
        </w:rPr>
        <w:fldChar w:fldCharType="end"/>
      </w:r>
      <w:proofErr w:type="gramStart"/>
      <w:r w:rsidRPr="003B2B76">
        <w:rPr>
          <w:sz w:val="22"/>
        </w:rPr>
        <w:t>.</w:t>
      </w:r>
      <w:proofErr w:type="gramEnd"/>
      <w:r w:rsidRPr="003B2B76">
        <w:rPr>
          <w:b w:val="0"/>
          <w:sz w:val="22"/>
        </w:rPr>
        <w:fldChar w:fldCharType="begin"/>
      </w:r>
      <w:r w:rsidRPr="003B2B76">
        <w:rPr>
          <w:sz w:val="22"/>
        </w:rPr>
        <w:instrText xml:space="preserve"> SEQ Table \* ARABIC \s 1 </w:instrText>
      </w:r>
      <w:r w:rsidRPr="003B2B76">
        <w:rPr>
          <w:b w:val="0"/>
          <w:sz w:val="22"/>
        </w:rPr>
        <w:fldChar w:fldCharType="separate"/>
      </w:r>
      <w:r w:rsidR="00A218AF">
        <w:rPr>
          <w:noProof/>
          <w:sz w:val="22"/>
        </w:rPr>
        <w:t>1</w:t>
      </w:r>
      <w:r w:rsidRPr="003B2B76">
        <w:rPr>
          <w:b w:val="0"/>
          <w:noProof/>
          <w:sz w:val="22"/>
        </w:rPr>
        <w:fldChar w:fldCharType="end"/>
      </w:r>
      <w:r>
        <w:rPr>
          <w:b w:val="0"/>
          <w:noProof/>
          <w:sz w:val="22"/>
        </w:rPr>
        <w:t>.</w:t>
      </w:r>
      <w:r w:rsidRPr="003B2B76">
        <w:rPr>
          <w:sz w:val="22"/>
        </w:rPr>
        <w:t xml:space="preserve">  General Description of the Rad</w:t>
      </w:r>
      <w:r>
        <w:rPr>
          <w:sz w:val="22"/>
        </w:rPr>
        <w:t>iological</w:t>
      </w:r>
      <w:r w:rsidRPr="003B2B76">
        <w:rPr>
          <w:sz w:val="22"/>
        </w:rPr>
        <w:t xml:space="preserve"> Toolbox Data Elements</w:t>
      </w:r>
      <w:bookmarkEnd w:id="11"/>
      <w:bookmarkEnd w:id="12"/>
    </w:p>
    <w:tbl>
      <w:tblPr>
        <w:tblW w:w="0" w:type="auto"/>
        <w:tblInd w:w="378" w:type="dxa"/>
        <w:tblLook w:val="04A0" w:firstRow="1" w:lastRow="0" w:firstColumn="1" w:lastColumn="0" w:noHBand="0" w:noVBand="1"/>
      </w:tblPr>
      <w:tblGrid>
        <w:gridCol w:w="2700"/>
        <w:gridCol w:w="6498"/>
      </w:tblGrid>
      <w:tr w:rsidR="00CD3F77" w:rsidRPr="001E4D30" w:rsidTr="00CD3F77">
        <w:tc>
          <w:tcPr>
            <w:tcW w:w="2700" w:type="dxa"/>
            <w:tcBorders>
              <w:left w:val="nil"/>
              <w:bottom w:val="single" w:sz="4" w:space="0" w:color="000000"/>
              <w:right w:val="nil"/>
            </w:tcBorders>
          </w:tcPr>
          <w:p w:rsidR="00CD3F77" w:rsidRPr="001B7671" w:rsidRDefault="00CD3F77" w:rsidP="00CD3F77">
            <w:pPr>
              <w:pStyle w:val="noindent"/>
              <w:spacing w:line="240" w:lineRule="auto"/>
              <w:rPr>
                <w:rFonts w:ascii="Times New Roman" w:hAnsi="Times New Roman"/>
                <w:b/>
                <w:sz w:val="22"/>
                <w:szCs w:val="22"/>
              </w:rPr>
            </w:pPr>
            <w:r w:rsidRPr="001B7671">
              <w:rPr>
                <w:rFonts w:ascii="Times New Roman" w:hAnsi="Times New Roman"/>
                <w:b/>
                <w:sz w:val="22"/>
                <w:szCs w:val="22"/>
              </w:rPr>
              <w:t>Data Collections</w:t>
            </w:r>
          </w:p>
        </w:tc>
        <w:tc>
          <w:tcPr>
            <w:tcW w:w="6498" w:type="dxa"/>
            <w:tcBorders>
              <w:left w:val="nil"/>
              <w:bottom w:val="single" w:sz="4" w:space="0" w:color="000000"/>
              <w:right w:val="nil"/>
            </w:tcBorders>
          </w:tcPr>
          <w:p w:rsidR="00CD3F77" w:rsidRPr="001B7671" w:rsidRDefault="00CD3F77" w:rsidP="00CD3F77">
            <w:pPr>
              <w:pStyle w:val="noindent"/>
              <w:spacing w:line="240" w:lineRule="auto"/>
              <w:jc w:val="center"/>
              <w:rPr>
                <w:rFonts w:ascii="Times New Roman" w:hAnsi="Times New Roman"/>
                <w:b/>
                <w:sz w:val="22"/>
                <w:szCs w:val="22"/>
              </w:rPr>
            </w:pPr>
            <w:r w:rsidRPr="001B7671">
              <w:rPr>
                <w:rFonts w:ascii="Times New Roman" w:hAnsi="Times New Roman"/>
                <w:b/>
                <w:sz w:val="22"/>
                <w:szCs w:val="22"/>
              </w:rPr>
              <w:t>Description of Data Collection</w:t>
            </w:r>
          </w:p>
        </w:tc>
      </w:tr>
      <w:tr w:rsidR="00CD3F77" w:rsidRPr="001E4D30" w:rsidTr="00CD3F77">
        <w:tc>
          <w:tcPr>
            <w:tcW w:w="2700" w:type="dxa"/>
            <w:tcBorders>
              <w:top w:val="single" w:sz="4" w:space="0" w:color="000000"/>
              <w:left w:val="nil"/>
              <w:bottom w:val="nil"/>
              <w:right w:val="nil"/>
            </w:tcBorders>
          </w:tcPr>
          <w:p w:rsidR="00CD3F77" w:rsidRPr="001E4D30" w:rsidRDefault="00CD3F77" w:rsidP="00CD3F77">
            <w:pPr>
              <w:pStyle w:val="noindent"/>
              <w:spacing w:line="240" w:lineRule="auto"/>
              <w:rPr>
                <w:rFonts w:ascii="Times New Roman" w:hAnsi="Times New Roman"/>
                <w:sz w:val="22"/>
                <w:szCs w:val="22"/>
              </w:rPr>
            </w:pPr>
            <w:r w:rsidRPr="001E4D30">
              <w:rPr>
                <w:rFonts w:ascii="Times New Roman" w:hAnsi="Times New Roman"/>
                <w:sz w:val="22"/>
                <w:szCs w:val="22"/>
              </w:rPr>
              <w:t>Biological Data</w:t>
            </w:r>
          </w:p>
        </w:tc>
        <w:tc>
          <w:tcPr>
            <w:tcW w:w="6498" w:type="dxa"/>
            <w:tcBorders>
              <w:top w:val="single" w:sz="4" w:space="0" w:color="000000"/>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Pr>
                <w:rFonts w:ascii="Times New Roman" w:hAnsi="Times New Roman"/>
                <w:sz w:val="22"/>
                <w:szCs w:val="22"/>
              </w:rPr>
              <w:t>Biokinetic models, r</w:t>
            </w:r>
            <w:r w:rsidRPr="001E4D30">
              <w:rPr>
                <w:rFonts w:ascii="Times New Roman" w:hAnsi="Times New Roman"/>
                <w:sz w:val="22"/>
                <w:szCs w:val="22"/>
              </w:rPr>
              <w:t>eference anatomical data, bioassay data, and summary information on radiation health effects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Decay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 xml:space="preserve">Detailed information on the radiations </w:t>
            </w:r>
            <w:r>
              <w:rPr>
                <w:rFonts w:ascii="Times New Roman" w:hAnsi="Times New Roman"/>
                <w:sz w:val="22"/>
                <w:szCs w:val="22"/>
              </w:rPr>
              <w:t xml:space="preserve">emitted </w:t>
            </w:r>
            <w:r w:rsidRPr="001E4D30">
              <w:rPr>
                <w:rFonts w:ascii="Times New Roman" w:hAnsi="Times New Roman"/>
                <w:sz w:val="22"/>
                <w:szCs w:val="22"/>
              </w:rPr>
              <w:t xml:space="preserve">by radionuclides and </w:t>
            </w:r>
            <w:r>
              <w:rPr>
                <w:rFonts w:ascii="Times New Roman" w:hAnsi="Times New Roman"/>
                <w:sz w:val="22"/>
                <w:szCs w:val="22"/>
              </w:rPr>
              <w:t xml:space="preserve">members of </w:t>
            </w:r>
            <w:r w:rsidRPr="001E4D30">
              <w:rPr>
                <w:rFonts w:ascii="Times New Roman" w:hAnsi="Times New Roman"/>
                <w:sz w:val="22"/>
                <w:szCs w:val="22"/>
              </w:rPr>
              <w:t>serial decay chains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Dose Coefficients</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Internal dose coefficients for intakes of radionuclides by workers and members of the public and external dose coefficients for members of the public</w:t>
            </w:r>
            <w:r>
              <w:rPr>
                <w:rFonts w:ascii="Times New Roman" w:hAnsi="Times New Roman"/>
                <w:sz w:val="22"/>
                <w:szCs w:val="22"/>
              </w:rPr>
              <w:t xml:space="preserve"> exposed to radionuclides external to the body</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Dose Calculation</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Calculation of dose for worker or member of the public exposed to a radionuclide mixture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Early Inhalation</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 xml:space="preserve">Absorbed dose coefficient integrated over a user-specific time period </w:t>
            </w:r>
            <w:r>
              <w:rPr>
                <w:rFonts w:ascii="Times New Roman" w:hAnsi="Times New Roman"/>
                <w:sz w:val="22"/>
                <w:szCs w:val="22"/>
              </w:rPr>
              <w:t xml:space="preserve">following an </w:t>
            </w:r>
            <w:r w:rsidRPr="001E4D30">
              <w:rPr>
                <w:rFonts w:ascii="Times New Roman" w:hAnsi="Times New Roman"/>
                <w:sz w:val="22"/>
                <w:szCs w:val="22"/>
              </w:rPr>
              <w:t>inhalation intake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Element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interaction coefficients with elements for alpha, electron, photon</w:t>
            </w:r>
            <w:r>
              <w:rPr>
                <w:rFonts w:ascii="Times New Roman" w:hAnsi="Times New Roman"/>
                <w:sz w:val="22"/>
                <w:szCs w:val="22"/>
              </w:rPr>
              <w:t>,</w:t>
            </w:r>
            <w:r w:rsidRPr="001E4D30">
              <w:rPr>
                <w:rFonts w:ascii="Times New Roman" w:hAnsi="Times New Roman"/>
                <w:sz w:val="22"/>
                <w:szCs w:val="22"/>
              </w:rPr>
              <w:t xml:space="preserve"> and neutron radiations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Material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interaction coefficients with materials for alpha, electron, photon</w:t>
            </w:r>
            <w:r>
              <w:rPr>
                <w:rFonts w:ascii="Times New Roman" w:hAnsi="Times New Roman"/>
                <w:sz w:val="22"/>
                <w:szCs w:val="22"/>
              </w:rPr>
              <w:t>,</w:t>
            </w:r>
            <w:r w:rsidRPr="001E4D30">
              <w:rPr>
                <w:rFonts w:ascii="Times New Roman" w:hAnsi="Times New Roman"/>
                <w:sz w:val="22"/>
                <w:szCs w:val="22"/>
              </w:rPr>
              <w:t xml:space="preserve"> and neutron radiations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Public Exposure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Summary</w:t>
            </w:r>
            <w:r>
              <w:rPr>
                <w:rFonts w:ascii="Times New Roman" w:hAnsi="Times New Roman"/>
                <w:sz w:val="22"/>
                <w:szCs w:val="22"/>
              </w:rPr>
              <w:t xml:space="preserve"> </w:t>
            </w:r>
            <w:r w:rsidRPr="001E4D30">
              <w:rPr>
                <w:rFonts w:ascii="Times New Roman" w:hAnsi="Times New Roman"/>
                <w:sz w:val="22"/>
                <w:szCs w:val="22"/>
              </w:rPr>
              <w:t xml:space="preserve">information on radiation exposures to natural background </w:t>
            </w:r>
            <w:r>
              <w:rPr>
                <w:rFonts w:ascii="Times New Roman" w:hAnsi="Times New Roman"/>
                <w:sz w:val="22"/>
                <w:szCs w:val="22"/>
              </w:rPr>
              <w:t xml:space="preserve">radiation </w:t>
            </w:r>
            <w:r w:rsidRPr="001E4D30">
              <w:rPr>
                <w:rFonts w:ascii="Times New Roman" w:hAnsi="Times New Roman"/>
                <w:sz w:val="22"/>
                <w:szCs w:val="22"/>
              </w:rPr>
              <w:t xml:space="preserve">and </w:t>
            </w:r>
            <w:r>
              <w:rPr>
                <w:rFonts w:ascii="Times New Roman" w:hAnsi="Times New Roman"/>
                <w:sz w:val="22"/>
                <w:szCs w:val="22"/>
              </w:rPr>
              <w:t xml:space="preserve">from </w:t>
            </w:r>
            <w:r w:rsidRPr="001E4D30">
              <w:rPr>
                <w:rFonts w:ascii="Times New Roman" w:hAnsi="Times New Roman"/>
                <w:sz w:val="22"/>
                <w:szCs w:val="22"/>
              </w:rPr>
              <w:t>medical exposure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Field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Organ doses for workers resulting from idealized photon and neutron radiation fields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Risk Coefficients</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Nuclide-specific risk coefficients for public exposure</w:t>
            </w:r>
          </w:p>
        </w:tc>
      </w:tr>
      <w:tr w:rsidR="00CD3F77" w:rsidRPr="001E4D30" w:rsidTr="00CD3F77">
        <w:tc>
          <w:tcPr>
            <w:tcW w:w="2700" w:type="dxa"/>
            <w:tcBorders>
              <w:top w:val="nil"/>
              <w:left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Supplemental Data</w:t>
            </w:r>
          </w:p>
        </w:tc>
        <w:tc>
          <w:tcPr>
            <w:tcW w:w="6498" w:type="dxa"/>
            <w:tcBorders>
              <w:top w:val="nil"/>
              <w:left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Collection of reference information ranging from SI units to numerical limits on the activity content of radionuclides in transport</w:t>
            </w:r>
          </w:p>
        </w:tc>
      </w:tr>
    </w:tbl>
    <w:p w:rsidR="00CD3F77" w:rsidRPr="001A02A5" w:rsidRDefault="00CD3F77" w:rsidP="00CD3F77">
      <w:pPr>
        <w:pStyle w:val="StyleBaseTimesNewRoman12ptJustified"/>
        <w:ind w:firstLine="0"/>
        <w:rPr>
          <w:rFonts w:cs="Times New Roman"/>
        </w:rPr>
      </w:pPr>
    </w:p>
    <w:p w:rsidR="00CD3F77" w:rsidRDefault="00CD3F77" w:rsidP="00CD3F77">
      <w:pPr>
        <w:pStyle w:val="StyleBaseTimesNewRoman12ptJustified"/>
        <w:ind w:firstLine="0"/>
        <w:rPr>
          <w:rFonts w:cs="Times New Roman"/>
        </w:rPr>
      </w:pPr>
    </w:p>
    <w:p w:rsidR="00CD3F77" w:rsidRPr="001A02A5" w:rsidRDefault="00CD3F77" w:rsidP="00CD3F77">
      <w:pPr>
        <w:pStyle w:val="StyleBaseTimesNewRoman12ptJustified"/>
        <w:ind w:firstLine="0"/>
        <w:rPr>
          <w:rFonts w:cs="Times New Roman"/>
        </w:rPr>
      </w:pPr>
      <w:r>
        <w:rPr>
          <w:rFonts w:cs="Times New Roman"/>
        </w:rPr>
        <w:t>The computational procedures within the T</w:t>
      </w:r>
      <w:r w:rsidRPr="001A02A5">
        <w:rPr>
          <w:rFonts w:cs="Times New Roman"/>
        </w:rPr>
        <w:t xml:space="preserve">oolbox </w:t>
      </w:r>
      <w:r>
        <w:rPr>
          <w:rFonts w:cs="Times New Roman"/>
        </w:rPr>
        <w:t xml:space="preserve">enable calculation of absorbed </w:t>
      </w:r>
      <w:r w:rsidRPr="001A02A5">
        <w:rPr>
          <w:rFonts w:cs="Times New Roman"/>
        </w:rPr>
        <w:t>dose coefficients</w:t>
      </w:r>
      <w:r>
        <w:rPr>
          <w:rFonts w:cs="Times New Roman"/>
        </w:rPr>
        <w:t xml:space="preserve"> for a user-specified time period post an acute inhalation intake as needed in assessing potential </w:t>
      </w:r>
      <w:r w:rsidRPr="001A02A5">
        <w:rPr>
          <w:rFonts w:cs="Times New Roman"/>
        </w:rPr>
        <w:t>deterministic effects</w:t>
      </w:r>
      <w:r>
        <w:rPr>
          <w:rFonts w:cs="Times New Roman"/>
        </w:rPr>
        <w:t xml:space="preserve">, the derivation of </w:t>
      </w:r>
      <w:r w:rsidRPr="001A02A5">
        <w:rPr>
          <w:rFonts w:cs="Times New Roman"/>
        </w:rPr>
        <w:t>radiation interaction coefficients for materials based on their elemental composition</w:t>
      </w:r>
      <w:r>
        <w:rPr>
          <w:rFonts w:cs="Times New Roman"/>
        </w:rPr>
        <w:t xml:space="preserve">, </w:t>
      </w:r>
      <w:r w:rsidRPr="001A02A5">
        <w:rPr>
          <w:rFonts w:cs="Times New Roman"/>
        </w:rPr>
        <w:t xml:space="preserve">the activity of members of </w:t>
      </w:r>
      <w:r>
        <w:rPr>
          <w:rFonts w:cs="Times New Roman"/>
        </w:rPr>
        <w:t xml:space="preserve">serial </w:t>
      </w:r>
      <w:r w:rsidRPr="001A02A5">
        <w:rPr>
          <w:rFonts w:cs="Times New Roman"/>
        </w:rPr>
        <w:t>decay chain</w:t>
      </w:r>
      <w:r>
        <w:rPr>
          <w:rFonts w:cs="Times New Roman"/>
        </w:rPr>
        <w:t xml:space="preserve"> at user-specified times</w:t>
      </w:r>
      <w:r w:rsidRPr="001A02A5">
        <w:rPr>
          <w:rFonts w:cs="Times New Roman"/>
        </w:rPr>
        <w:t xml:space="preserve">, and the </w:t>
      </w:r>
      <w:r>
        <w:rPr>
          <w:rFonts w:cs="Times New Roman"/>
        </w:rPr>
        <w:t xml:space="preserve">committed equivalent and effective </w:t>
      </w:r>
      <w:r w:rsidRPr="001A02A5">
        <w:rPr>
          <w:rFonts w:cs="Times New Roman"/>
        </w:rPr>
        <w:t xml:space="preserve">dose for a user-specified mixture of radionuclides. Information is </w:t>
      </w:r>
      <w:r>
        <w:rPr>
          <w:rFonts w:cs="Times New Roman"/>
        </w:rPr>
        <w:t xml:space="preserve">also </w:t>
      </w:r>
      <w:r w:rsidRPr="001A02A5">
        <w:rPr>
          <w:rFonts w:cs="Times New Roman"/>
        </w:rPr>
        <w:t xml:space="preserve">provided on the excretion and retention of selected radionuclides </w:t>
      </w:r>
      <w:r>
        <w:rPr>
          <w:rFonts w:cs="Times New Roman"/>
        </w:rPr>
        <w:t>following inhalation intakes in the workplace</w:t>
      </w:r>
      <w:r w:rsidRPr="001A02A5">
        <w:rPr>
          <w:rFonts w:cs="Times New Roman"/>
        </w:rPr>
        <w:t>. The software’s help files provide access to textual information on topics ranging from those of a general nature to the details of models describing the fate</w:t>
      </w:r>
      <w:r>
        <w:rPr>
          <w:rFonts w:cs="Times New Roman"/>
        </w:rPr>
        <w:t xml:space="preserve"> of radionuclides in the body. Portions of this report are included within the software as an online user guide.</w:t>
      </w:r>
    </w:p>
    <w:p w:rsidR="00CD3F77" w:rsidRPr="006E601B" w:rsidRDefault="00CD3F77" w:rsidP="00CD3F77">
      <w:pPr>
        <w:pStyle w:val="StyleBaseTimesNewRoman12ptJustified"/>
        <w:ind w:firstLine="0"/>
        <w:rPr>
          <w:rFonts w:cs="Times New Roman"/>
          <w:sz w:val="24"/>
          <w:szCs w:val="24"/>
        </w:rPr>
      </w:pPr>
    </w:p>
    <w:p w:rsidR="00CD3F77" w:rsidRPr="006E601B" w:rsidRDefault="00CD3F77" w:rsidP="00CD3F77">
      <w:pPr>
        <w:pStyle w:val="Heading2"/>
      </w:pPr>
      <w:bookmarkStart w:id="13" w:name="_Toc355177419"/>
      <w:bookmarkEnd w:id="6"/>
      <w:bookmarkEnd w:id="7"/>
      <w:bookmarkEnd w:id="8"/>
      <w:bookmarkEnd w:id="9"/>
      <w:bookmarkEnd w:id="10"/>
      <w:r w:rsidRPr="00014C9D">
        <w:lastRenderedPageBreak/>
        <w:t>R</w:t>
      </w:r>
      <w:r>
        <w:t>elease Notes</w:t>
      </w:r>
      <w:bookmarkEnd w:id="13"/>
    </w:p>
    <w:p w:rsidR="00CD3F77" w:rsidRPr="00DA647C" w:rsidRDefault="00CD3F77" w:rsidP="00CD3F77">
      <w:pPr>
        <w:pStyle w:val="StyleBaseTimesNewRoman12ptJustified"/>
        <w:ind w:firstLine="0"/>
        <w:rPr>
          <w:rFonts w:cs="Times New Roman"/>
        </w:rPr>
      </w:pPr>
      <w:r w:rsidRPr="00DA647C">
        <w:rPr>
          <w:rFonts w:cs="Times New Roman"/>
        </w:rPr>
        <w:t xml:space="preserve">This is the third general release of the </w:t>
      </w:r>
      <w:r>
        <w:rPr>
          <w:rFonts w:cs="Times New Roman"/>
        </w:rPr>
        <w:t>Radiological T</w:t>
      </w:r>
      <w:r w:rsidRPr="00DA647C">
        <w:rPr>
          <w:rFonts w:cs="Times New Roman"/>
        </w:rPr>
        <w:t xml:space="preserve">oolbox. Some minor restructuring of the information content of the </w:t>
      </w:r>
      <w:r>
        <w:rPr>
          <w:rFonts w:cs="Times New Roman"/>
        </w:rPr>
        <w:t>T</w:t>
      </w:r>
      <w:r w:rsidRPr="00DA647C">
        <w:rPr>
          <w:rFonts w:cs="Times New Roman"/>
        </w:rPr>
        <w:t xml:space="preserve">oolbox was undertaken with inclusion of risk coefficients </w:t>
      </w:r>
      <w:r>
        <w:rPr>
          <w:rFonts w:cs="Times New Roman"/>
        </w:rPr>
        <w:t>from</w:t>
      </w:r>
      <w:r w:rsidRPr="00DA647C">
        <w:rPr>
          <w:rFonts w:cs="Times New Roman"/>
        </w:rPr>
        <w:t xml:space="preserve"> Federal Guidance Report</w:t>
      </w:r>
      <w:r>
        <w:rPr>
          <w:rFonts w:cs="Times New Roman"/>
        </w:rPr>
        <w:t xml:space="preserve"> (FGR)</w:t>
      </w:r>
      <w:r w:rsidRPr="00DA647C">
        <w:rPr>
          <w:rFonts w:cs="Times New Roman"/>
        </w:rPr>
        <w:t xml:space="preserve"> 13</w:t>
      </w:r>
      <w:r>
        <w:rPr>
          <w:rFonts w:cs="Times New Roman"/>
        </w:rPr>
        <w:t xml:space="preserve"> (EPA, 1999)</w:t>
      </w:r>
      <w:r w:rsidRPr="00DA647C">
        <w:rPr>
          <w:rFonts w:cs="Times New Roman"/>
        </w:rPr>
        <w:t xml:space="preserve">, data on thermal neutron cross sections, and other enhancements suggested by users. In addition, this version of the </w:t>
      </w:r>
      <w:r>
        <w:rPr>
          <w:rFonts w:cs="Times New Roman"/>
        </w:rPr>
        <w:t>T</w:t>
      </w:r>
      <w:r w:rsidRPr="00DA647C">
        <w:rPr>
          <w:rFonts w:cs="Times New Roman"/>
        </w:rPr>
        <w:t xml:space="preserve">oolbox </w:t>
      </w:r>
      <w:r>
        <w:rPr>
          <w:rFonts w:cs="Times New Roman"/>
        </w:rPr>
        <w:t xml:space="preserve">(Ver. 3.0) </w:t>
      </w:r>
      <w:r w:rsidRPr="00DA647C">
        <w:rPr>
          <w:rFonts w:cs="Times New Roman"/>
        </w:rPr>
        <w:t xml:space="preserve">and its help files will run </w:t>
      </w:r>
      <w:r>
        <w:rPr>
          <w:rFonts w:cs="Times New Roman"/>
        </w:rPr>
        <w:t>under</w:t>
      </w:r>
      <w:r w:rsidRPr="00DA647C">
        <w:rPr>
          <w:rFonts w:cs="Times New Roman"/>
        </w:rPr>
        <w:t xml:space="preserve"> Windows Vista</w:t>
      </w:r>
      <w:r>
        <w:rPr>
          <w:rFonts w:cs="Times New Roman"/>
        </w:rPr>
        <w:t xml:space="preserve">, </w:t>
      </w:r>
      <w:r w:rsidRPr="00DA647C">
        <w:rPr>
          <w:rFonts w:cs="Times New Roman"/>
        </w:rPr>
        <w:t>7</w:t>
      </w:r>
      <w:r>
        <w:rPr>
          <w:rFonts w:cs="Times New Roman"/>
        </w:rPr>
        <w:t>,</w:t>
      </w:r>
      <w:r w:rsidRPr="00DA647C">
        <w:rPr>
          <w:rFonts w:cs="Times New Roman"/>
        </w:rPr>
        <w:t xml:space="preserve"> </w:t>
      </w:r>
      <w:r>
        <w:rPr>
          <w:rFonts w:cs="Times New Roman"/>
        </w:rPr>
        <w:t xml:space="preserve">and 8 operating systems on </w:t>
      </w:r>
      <w:r w:rsidRPr="00DA647C">
        <w:rPr>
          <w:rFonts w:cs="Times New Roman"/>
        </w:rPr>
        <w:t>32</w:t>
      </w:r>
      <w:r>
        <w:rPr>
          <w:rFonts w:cs="Times New Roman"/>
        </w:rPr>
        <w:t>-</w:t>
      </w:r>
      <w:r w:rsidRPr="00DA647C">
        <w:rPr>
          <w:rFonts w:cs="Times New Roman"/>
        </w:rPr>
        <w:t xml:space="preserve"> and 64</w:t>
      </w:r>
      <w:r>
        <w:rPr>
          <w:rFonts w:cs="Times New Roman"/>
        </w:rPr>
        <w:t>-</w:t>
      </w:r>
      <w:r w:rsidRPr="00DA647C">
        <w:rPr>
          <w:rFonts w:cs="Times New Roman"/>
        </w:rPr>
        <w:t xml:space="preserve">bit machines. </w:t>
      </w:r>
    </w:p>
    <w:p w:rsidR="00CD3F77" w:rsidRPr="0055206D" w:rsidRDefault="00CD3F77" w:rsidP="00CD3F77">
      <w:pPr>
        <w:pStyle w:val="Heading3"/>
        <w:rPr>
          <w:sz w:val="24"/>
        </w:rPr>
      </w:pPr>
      <w:bookmarkStart w:id="14" w:name="_Toc346102801"/>
      <w:bookmarkStart w:id="15" w:name="_Toc346102844"/>
      <w:bookmarkStart w:id="16" w:name="_Toc346102897"/>
      <w:bookmarkStart w:id="17" w:name="_Toc355177420"/>
      <w:bookmarkEnd w:id="14"/>
      <w:bookmarkEnd w:id="15"/>
      <w:bookmarkEnd w:id="16"/>
      <w:r w:rsidRPr="0055206D">
        <w:rPr>
          <w:sz w:val="24"/>
        </w:rPr>
        <w:t>Installing the Software Installation</w:t>
      </w:r>
      <w:bookmarkEnd w:id="17"/>
    </w:p>
    <w:p w:rsidR="00CD3F77" w:rsidRDefault="00CD3F77" w:rsidP="00CD3F77">
      <w:pPr>
        <w:pStyle w:val="StyleBaseTimesNewRoman"/>
        <w:ind w:firstLine="0"/>
        <w:jc w:val="both"/>
        <w:rPr>
          <w:rFonts w:cs="Times New Roman"/>
        </w:rPr>
      </w:pPr>
      <w:r>
        <w:rPr>
          <w:rFonts w:cs="Times New Roman"/>
        </w:rPr>
        <w:t>The T</w:t>
      </w:r>
      <w:r w:rsidRPr="00DA647C">
        <w:rPr>
          <w:rFonts w:cs="Times New Roman"/>
        </w:rPr>
        <w:t>oolbox is installed by running the distributed set-up module TB_SETUP</w:t>
      </w:r>
      <w:r>
        <w:rPr>
          <w:rFonts w:cs="Times New Roman"/>
        </w:rPr>
        <w:t>.EXE</w:t>
      </w:r>
      <w:r w:rsidRPr="00DA647C">
        <w:rPr>
          <w:rFonts w:cs="Times New Roman"/>
        </w:rPr>
        <w:t>, a standard Windows</w:t>
      </w:r>
      <w:r>
        <w:rPr>
          <w:rFonts w:cs="Times New Roman"/>
        </w:rPr>
        <w:t xml:space="preserve"> </w:t>
      </w:r>
      <w:r w:rsidRPr="00DA647C">
        <w:rPr>
          <w:rFonts w:cs="Times New Roman"/>
        </w:rPr>
        <w:t>installation</w:t>
      </w:r>
      <w:r>
        <w:rPr>
          <w:rFonts w:cs="Times New Roman"/>
        </w:rPr>
        <w:t xml:space="preserve"> </w:t>
      </w:r>
      <w:r w:rsidRPr="00DA647C">
        <w:rPr>
          <w:rFonts w:cs="Times New Roman"/>
        </w:rPr>
        <w:t>file</w:t>
      </w:r>
      <w:r>
        <w:rPr>
          <w:rFonts w:cs="Times New Roman"/>
        </w:rPr>
        <w:t>.</w:t>
      </w:r>
      <w:r w:rsidRPr="00DA647C">
        <w:rPr>
          <w:rStyle w:val="FootnoteReference"/>
        </w:rPr>
        <w:footnoteReference w:id="1"/>
      </w:r>
      <w:r w:rsidRPr="00DA647C">
        <w:rPr>
          <w:rFonts w:cs="Times New Roman"/>
        </w:rPr>
        <w:t xml:space="preserve"> The default folder (directory) for the installation is C:\Rad_Toolbox however the user can install the software in a folder of his choice. It is recommended that the software not be installed in C:\Program Files</w:t>
      </w:r>
      <w:r>
        <w:rPr>
          <w:rFonts w:cs="Times New Roman"/>
        </w:rPr>
        <w:t xml:space="preserve"> folder</w:t>
      </w:r>
      <w:r w:rsidRPr="00DA647C">
        <w:rPr>
          <w:rFonts w:cs="Times New Roman"/>
        </w:rPr>
        <w:t xml:space="preserve">. During installation the system may report messages for which the ‘ignore’ option is the appropriate response. The installation will place on the desktop the </w:t>
      </w:r>
      <w:r>
        <w:rPr>
          <w:rFonts w:cs="Times New Roman"/>
        </w:rPr>
        <w:t>T</w:t>
      </w:r>
      <w:r w:rsidRPr="00DA647C">
        <w:rPr>
          <w:rFonts w:cs="Times New Roman"/>
        </w:rPr>
        <w:t xml:space="preserve">oolbox icon as a shortcut to invoke the software, provide an option to view a Readme.txt placed in the folder and execute a check on the installed data files (see </w:t>
      </w:r>
      <w:r>
        <w:rPr>
          <w:rFonts w:cs="Times New Roman"/>
        </w:rPr>
        <w:t xml:space="preserve">Sect. </w:t>
      </w:r>
      <w:r w:rsidRPr="00DA647C">
        <w:rPr>
          <w:rFonts w:cs="Times New Roman"/>
        </w:rPr>
        <w:t xml:space="preserve">3.7 for details). Clicking </w:t>
      </w:r>
      <w:r>
        <w:rPr>
          <w:rFonts w:cs="Times New Roman"/>
        </w:rPr>
        <w:t xml:space="preserve">on </w:t>
      </w:r>
      <w:r w:rsidRPr="00DA647C">
        <w:rPr>
          <w:rFonts w:cs="Times New Roman"/>
        </w:rPr>
        <w:t>the shortcut result</w:t>
      </w:r>
      <w:r>
        <w:rPr>
          <w:rFonts w:cs="Times New Roman"/>
        </w:rPr>
        <w:t>s in the display of the T</w:t>
      </w:r>
      <w:r w:rsidRPr="00DA647C">
        <w:rPr>
          <w:rFonts w:cs="Times New Roman"/>
        </w:rPr>
        <w:t xml:space="preserve">oolbox user interface (or menu) </w:t>
      </w:r>
      <w:r>
        <w:rPr>
          <w:rFonts w:cs="Times New Roman"/>
        </w:rPr>
        <w:t xml:space="preserve">as shown </w:t>
      </w:r>
      <w:r w:rsidRPr="00DA647C">
        <w:rPr>
          <w:rFonts w:cs="Times New Roman"/>
        </w:rPr>
        <w:t>in Fig. 1.1. The interface consists of a column of button</w:t>
      </w:r>
      <w:r>
        <w:rPr>
          <w:rFonts w:cs="Times New Roman"/>
        </w:rPr>
        <w:t>s</w:t>
      </w:r>
      <w:r w:rsidRPr="00DA647C">
        <w:rPr>
          <w:rFonts w:cs="Times New Roman"/>
        </w:rPr>
        <w:t xml:space="preserve"> on the left</w:t>
      </w:r>
      <w:r>
        <w:rPr>
          <w:rFonts w:cs="Times New Roman"/>
        </w:rPr>
        <w:t>,</w:t>
      </w:r>
      <w:r w:rsidRPr="00DA647C">
        <w:rPr>
          <w:rFonts w:cs="Times New Roman"/>
        </w:rPr>
        <w:t xml:space="preserve"> which define different data collections</w:t>
      </w:r>
      <w:r>
        <w:rPr>
          <w:rFonts w:cs="Times New Roman"/>
        </w:rPr>
        <w:t>,</w:t>
      </w:r>
      <w:r w:rsidRPr="00DA647C">
        <w:rPr>
          <w:rFonts w:cs="Times New Roman"/>
        </w:rPr>
        <w:t xml:space="preserve"> and the folders on the right</w:t>
      </w:r>
      <w:r>
        <w:rPr>
          <w:rFonts w:cs="Times New Roman"/>
        </w:rPr>
        <w:t xml:space="preserve">, </w:t>
      </w:r>
      <w:proofErr w:type="gramStart"/>
      <w:r>
        <w:rPr>
          <w:rFonts w:cs="Times New Roman"/>
        </w:rPr>
        <w:t xml:space="preserve">which </w:t>
      </w:r>
      <w:r w:rsidRPr="00DA647C">
        <w:rPr>
          <w:rFonts w:cs="Times New Roman"/>
        </w:rPr>
        <w:t xml:space="preserve"> detail</w:t>
      </w:r>
      <w:proofErr w:type="gramEnd"/>
      <w:r w:rsidRPr="00DA647C">
        <w:rPr>
          <w:rFonts w:cs="Times New Roman"/>
        </w:rPr>
        <w:t xml:space="preserve"> the specific items </w:t>
      </w:r>
      <w:r>
        <w:rPr>
          <w:rFonts w:cs="Times New Roman"/>
        </w:rPr>
        <w:t>with</w:t>
      </w:r>
      <w:r w:rsidRPr="00DA647C">
        <w:rPr>
          <w:rFonts w:cs="Times New Roman"/>
        </w:rPr>
        <w:t xml:space="preserve">in the </w:t>
      </w:r>
      <w:r>
        <w:rPr>
          <w:rFonts w:cs="Times New Roman"/>
        </w:rPr>
        <w:t xml:space="preserve">highlighted </w:t>
      </w:r>
      <w:r w:rsidRPr="00DA647C">
        <w:rPr>
          <w:rFonts w:cs="Times New Roman"/>
        </w:rPr>
        <w:t xml:space="preserve">collection. The software can be removed from the computer by clicking </w:t>
      </w:r>
      <w:r>
        <w:rPr>
          <w:rFonts w:cs="Times New Roman"/>
        </w:rPr>
        <w:t>on the executable unins000.exe that resides in the T</w:t>
      </w:r>
      <w:r w:rsidRPr="00DA647C">
        <w:rPr>
          <w:rFonts w:cs="Times New Roman"/>
        </w:rPr>
        <w:t>oolbox folder.</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keepNext/>
        <w:ind w:firstLine="0"/>
        <w:jc w:val="center"/>
      </w:pPr>
      <w:r>
        <w:rPr>
          <w:noProof/>
        </w:rPr>
        <w:drawing>
          <wp:inline distT="0" distB="0" distL="0" distR="0" wp14:anchorId="7BFE23A9" wp14:editId="5FAB08DF">
            <wp:extent cx="4471416"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1416" cy="3657600"/>
                    </a:xfrm>
                    <a:prstGeom prst="rect">
                      <a:avLst/>
                    </a:prstGeom>
                  </pic:spPr>
                </pic:pic>
              </a:graphicData>
            </a:graphic>
          </wp:inline>
        </w:drawing>
      </w:r>
    </w:p>
    <w:p w:rsidR="00CD3F77" w:rsidRDefault="00CD3F77" w:rsidP="00CD3F77">
      <w:pPr>
        <w:pStyle w:val="Caption"/>
      </w:pPr>
      <w:bookmarkStart w:id="18" w:name="_Toc355177550"/>
      <w:proofErr w:type="gramStart"/>
      <w:r>
        <w:t>Fig.</w:t>
      </w:r>
      <w:proofErr w:type="gramEnd"/>
      <w:r>
        <w:t xml:space="preserve"> </w:t>
      </w:r>
      <w:r w:rsidR="00A218AF">
        <w:fldChar w:fldCharType="begin"/>
      </w:r>
      <w:r w:rsidR="00A218AF">
        <w:instrText xml:space="preserve"> STYLEREF 1 \s </w:instrText>
      </w:r>
      <w:r w:rsidR="00A218AF">
        <w:fldChar w:fldCharType="separate"/>
      </w:r>
      <w:r w:rsidR="00A218AF">
        <w:rPr>
          <w:noProof/>
        </w:rPr>
        <w:t>1</w:t>
      </w:r>
      <w:r w:rsidR="00A218AF">
        <w:rPr>
          <w:noProof/>
        </w:rPr>
        <w:fldChar w:fldCharType="end"/>
      </w:r>
      <w:r>
        <w:t>.</w:t>
      </w:r>
      <w:r w:rsidR="00A218AF">
        <w:fldChar w:fldCharType="begin"/>
      </w:r>
      <w:r w:rsidR="00A218AF">
        <w:instrText xml:space="preserve"> SEQ Fig._ \* ARABIC \s 1 </w:instrText>
      </w:r>
      <w:r w:rsidR="00A218AF">
        <w:fldChar w:fldCharType="separate"/>
      </w:r>
      <w:r w:rsidR="00A218AF">
        <w:rPr>
          <w:noProof/>
        </w:rPr>
        <w:t>1</w:t>
      </w:r>
      <w:r w:rsidR="00A218AF">
        <w:rPr>
          <w:noProof/>
        </w:rPr>
        <w:fldChar w:fldCharType="end"/>
      </w:r>
      <w:r>
        <w:t xml:space="preserve">.  </w:t>
      </w:r>
      <w:proofErr w:type="gramStart"/>
      <w:r>
        <w:t>Rad Toolbox initial screen.</w:t>
      </w:r>
      <w:bookmarkEnd w:id="18"/>
      <w:proofErr w:type="gramEnd"/>
      <w:r>
        <w:t xml:space="preserve">  </w:t>
      </w:r>
    </w:p>
    <w:p w:rsidR="00CD3F77" w:rsidRPr="00DA647C" w:rsidRDefault="00CD3F77" w:rsidP="00CD3F77">
      <w:pPr>
        <w:pStyle w:val="Base"/>
        <w:ind w:firstLine="0"/>
        <w:jc w:val="both"/>
        <w:rPr>
          <w:rFonts w:ascii="Times New Roman" w:hAnsi="Times New Roman" w:cs="Times New Roman"/>
        </w:rPr>
      </w:pPr>
    </w:p>
    <w:p w:rsidR="00CD3F77" w:rsidRDefault="00CD3F77" w:rsidP="00CD3F77">
      <w:pPr>
        <w:pStyle w:val="Base"/>
        <w:widowControl/>
        <w:ind w:firstLine="0"/>
        <w:jc w:val="both"/>
        <w:rPr>
          <w:rFonts w:ascii="Times New Roman" w:hAnsi="Times New Roman" w:cs="Times New Roman"/>
          <w:sz w:val="24"/>
          <w:szCs w:val="24"/>
        </w:rPr>
      </w:pPr>
      <w:r>
        <w:rPr>
          <w:rFonts w:ascii="Times New Roman" w:hAnsi="Times New Roman" w:cs="Times New Roman"/>
        </w:rPr>
        <w:lastRenderedPageBreak/>
        <w:t>The T</w:t>
      </w:r>
      <w:r w:rsidRPr="00DA647C">
        <w:rPr>
          <w:rFonts w:ascii="Times New Roman" w:hAnsi="Times New Roman" w:cs="Times New Roman"/>
        </w:rPr>
        <w:t xml:space="preserve">oolbox provides viewing of a number of documents with file extensions </w:t>
      </w:r>
      <w:proofErr w:type="spellStart"/>
      <w:r w:rsidRPr="00DA647C">
        <w:rPr>
          <w:rFonts w:ascii="Times New Roman" w:hAnsi="Times New Roman" w:cs="Times New Roman"/>
          <w:i/>
        </w:rPr>
        <w:t>pdf</w:t>
      </w:r>
      <w:proofErr w:type="spellEnd"/>
      <w:r w:rsidRPr="00DA647C">
        <w:rPr>
          <w:rFonts w:ascii="Times New Roman" w:hAnsi="Times New Roman" w:cs="Times New Roman"/>
        </w:rPr>
        <w:t xml:space="preserve"> and </w:t>
      </w:r>
      <w:r w:rsidRPr="00DA647C">
        <w:rPr>
          <w:rFonts w:ascii="Times New Roman" w:hAnsi="Times New Roman" w:cs="Times New Roman"/>
          <w:i/>
        </w:rPr>
        <w:t>txt</w:t>
      </w:r>
      <w:r w:rsidRPr="00DA647C">
        <w:rPr>
          <w:rFonts w:ascii="Times New Roman" w:hAnsi="Times New Roman" w:cs="Times New Roman"/>
        </w:rPr>
        <w:t xml:space="preserve">. This capability depends on the user having associated files with extensions </w:t>
      </w:r>
      <w:proofErr w:type="spellStart"/>
      <w:r w:rsidRPr="00DA647C">
        <w:rPr>
          <w:rFonts w:ascii="Times New Roman" w:hAnsi="Times New Roman" w:cs="Times New Roman"/>
          <w:i/>
        </w:rPr>
        <w:t>pdf</w:t>
      </w:r>
      <w:proofErr w:type="spellEnd"/>
      <w:r w:rsidRPr="00DA647C">
        <w:rPr>
          <w:rFonts w:ascii="Times New Roman" w:hAnsi="Times New Roman" w:cs="Times New Roman"/>
        </w:rPr>
        <w:t xml:space="preserve"> and </w:t>
      </w:r>
      <w:r w:rsidRPr="00DA647C">
        <w:rPr>
          <w:rFonts w:ascii="Times New Roman" w:hAnsi="Times New Roman" w:cs="Times New Roman"/>
          <w:i/>
        </w:rPr>
        <w:t>txt</w:t>
      </w:r>
      <w:r w:rsidRPr="00DA647C">
        <w:rPr>
          <w:rFonts w:ascii="Times New Roman" w:hAnsi="Times New Roman" w:cs="Times New Roman"/>
        </w:rPr>
        <w:t xml:space="preserve"> with </w:t>
      </w:r>
      <w:r>
        <w:rPr>
          <w:rFonts w:ascii="Times New Roman" w:hAnsi="Times New Roman" w:cs="Times New Roman"/>
        </w:rPr>
        <w:t xml:space="preserve">Adobe </w:t>
      </w:r>
      <w:r w:rsidRPr="00DA647C">
        <w:rPr>
          <w:rFonts w:ascii="Times New Roman" w:hAnsi="Times New Roman" w:cs="Times New Roman"/>
        </w:rPr>
        <w:t>Acrobat</w:t>
      </w:r>
      <w:r>
        <w:rPr>
          <w:rFonts w:ascii="Times New Roman" w:hAnsi="Times New Roman" w:cs="Times New Roman"/>
          <w:sz w:val="24"/>
          <w:szCs w:val="24"/>
        </w:rPr>
        <w:t xml:space="preserve"> Reader</w:t>
      </w:r>
      <w:r>
        <w:rPr>
          <w:rStyle w:val="FootnoteReference"/>
        </w:rPr>
        <w:footnoteReference w:id="2"/>
      </w:r>
      <w:r>
        <w:rPr>
          <w:rFonts w:ascii="Times New Roman" w:hAnsi="Times New Roman" w:cs="Times New Roman"/>
          <w:sz w:val="24"/>
          <w:szCs w:val="24"/>
        </w:rPr>
        <w:t xml:space="preserve"> and an </w:t>
      </w:r>
      <w:r w:rsidRPr="00DA647C">
        <w:rPr>
          <w:rFonts w:ascii="Times New Roman" w:hAnsi="Times New Roman" w:cs="Times New Roman"/>
        </w:rPr>
        <w:t xml:space="preserve">ASCII editor (such as Microsoft’s Notepad), respectively. The export of user-selected data from the </w:t>
      </w:r>
      <w:r>
        <w:rPr>
          <w:rFonts w:ascii="Times New Roman" w:hAnsi="Times New Roman" w:cs="Times New Roman"/>
        </w:rPr>
        <w:t>T</w:t>
      </w:r>
      <w:r w:rsidRPr="00DA647C">
        <w:rPr>
          <w:rFonts w:ascii="Times New Roman" w:hAnsi="Times New Roman" w:cs="Times New Roman"/>
        </w:rPr>
        <w:t>oolbox is accomplished using Microsoft Excel</w:t>
      </w:r>
      <w:r>
        <w:rPr>
          <w:rFonts w:ascii="Times New Roman" w:hAnsi="Times New Roman" w:cs="Times New Roman"/>
        </w:rPr>
        <w:t>,</w:t>
      </w:r>
      <w:r w:rsidRPr="00DA647C">
        <w:rPr>
          <w:rFonts w:ascii="Times New Roman" w:hAnsi="Times New Roman" w:cs="Times New Roman"/>
        </w:rPr>
        <w:t xml:space="preserve"> which must be installed </w:t>
      </w:r>
      <w:r>
        <w:rPr>
          <w:rFonts w:ascii="Times New Roman" w:hAnsi="Times New Roman" w:cs="Times New Roman"/>
        </w:rPr>
        <w:t xml:space="preserve">to enable </w:t>
      </w:r>
      <w:r w:rsidRPr="00DA647C">
        <w:rPr>
          <w:rFonts w:ascii="Times New Roman" w:hAnsi="Times New Roman" w:cs="Times New Roman"/>
        </w:rPr>
        <w:t>this functionality.</w:t>
      </w:r>
    </w:p>
    <w:p w:rsidR="00CD3F77" w:rsidRPr="0055206D" w:rsidRDefault="00CD3F77" w:rsidP="00CD3F77">
      <w:pPr>
        <w:pStyle w:val="Heading3"/>
        <w:rPr>
          <w:sz w:val="24"/>
        </w:rPr>
      </w:pPr>
      <w:bookmarkStart w:id="19" w:name="_Toc346102803"/>
      <w:bookmarkStart w:id="20" w:name="_Toc346102846"/>
      <w:bookmarkStart w:id="21" w:name="_Toc346102899"/>
      <w:bookmarkStart w:id="22" w:name="_Toc355177421"/>
      <w:bookmarkStart w:id="23" w:name="_Toc17102001"/>
      <w:bookmarkStart w:id="24" w:name="_Toc105818674"/>
      <w:bookmarkStart w:id="25" w:name="_Ref105832246"/>
      <w:bookmarkStart w:id="26" w:name="_Ref105832290"/>
      <w:bookmarkStart w:id="27" w:name="_Ref208211498"/>
      <w:bookmarkStart w:id="28" w:name="_Ref208211505"/>
      <w:bookmarkStart w:id="29" w:name="_Toc17102037"/>
      <w:bookmarkStart w:id="30" w:name="_Toc105818716"/>
      <w:bookmarkEnd w:id="19"/>
      <w:bookmarkEnd w:id="20"/>
      <w:bookmarkEnd w:id="21"/>
      <w:r w:rsidRPr="0055206D">
        <w:rPr>
          <w:sz w:val="24"/>
        </w:rPr>
        <w:t xml:space="preserve">Known Bugs in Version </w:t>
      </w:r>
      <w:r w:rsidR="003569B8">
        <w:rPr>
          <w:sz w:val="24"/>
        </w:rPr>
        <w:t>3</w:t>
      </w:r>
      <w:r w:rsidRPr="0055206D">
        <w:rPr>
          <w:sz w:val="24"/>
        </w:rPr>
        <w:t>.</w:t>
      </w:r>
      <w:r w:rsidR="003569B8">
        <w:rPr>
          <w:sz w:val="24"/>
        </w:rPr>
        <w:t>0</w:t>
      </w:r>
      <w:bookmarkEnd w:id="22"/>
    </w:p>
    <w:p w:rsidR="00CD3F77" w:rsidRPr="00DA647C" w:rsidRDefault="00CD3F77" w:rsidP="00CD3F77">
      <w:pPr>
        <w:pStyle w:val="StyleBaseTimesNewRoman12ptJustified"/>
        <w:ind w:firstLine="0"/>
        <w:rPr>
          <w:rFonts w:cs="Times New Roman"/>
        </w:rPr>
      </w:pPr>
      <w:r w:rsidRPr="00DA647C">
        <w:rPr>
          <w:rFonts w:cs="Times New Roman"/>
        </w:rPr>
        <w:t xml:space="preserve">In some instances, the graphical display of the decay chain associated with the parent radionuclide may contain artifacts, e.g., as in the Am-242m chain. However, the software should not crash as the chain is assembled. Caution: The decay chain graphics have not been tested for all potential parent nuclides. </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Within the </w:t>
      </w:r>
      <w:r w:rsidRPr="00E4017D">
        <w:rPr>
          <w:rFonts w:cs="Times New Roman"/>
          <w:i/>
        </w:rPr>
        <w:t>Dose Coefficient</w:t>
      </w:r>
      <w:r w:rsidRPr="00DA647C">
        <w:rPr>
          <w:rFonts w:cs="Times New Roman"/>
        </w:rPr>
        <w:t xml:space="preserve"> </w:t>
      </w:r>
      <w:r>
        <w:rPr>
          <w:rFonts w:cs="Times New Roman"/>
        </w:rPr>
        <w:t xml:space="preserve">collection </w:t>
      </w:r>
      <w:r w:rsidRPr="00DA647C">
        <w:rPr>
          <w:rFonts w:cs="Times New Roman"/>
        </w:rPr>
        <w:t xml:space="preserve">the identity of a requested nuclide is retained as one goes from one type of coefficient (folder) to the next. If coefficients of the requested type are not available for the specific nuclide, then a message box appears indicating that no information of the nuclide is available. This action can be demonstrated by pressing </w:t>
      </w:r>
      <w:r w:rsidRPr="00E4017D">
        <w:rPr>
          <w:rFonts w:cs="Times New Roman"/>
          <w:i/>
        </w:rPr>
        <w:t>Dose Coefficients</w:t>
      </w:r>
      <w:r w:rsidRPr="00E4017D">
        <w:rPr>
          <w:rFonts w:cs="Times New Roman"/>
        </w:rPr>
        <w:t xml:space="preserve">, </w:t>
      </w:r>
      <w:r w:rsidRPr="00DA647C">
        <w:rPr>
          <w:rFonts w:cs="Times New Roman"/>
        </w:rPr>
        <w:t xml:space="preserve">selecting the </w:t>
      </w:r>
      <w:r w:rsidRPr="00DA647C">
        <w:rPr>
          <w:rFonts w:cs="Times New Roman"/>
          <w:i/>
        </w:rPr>
        <w:t>Public External Coefficient</w:t>
      </w:r>
      <w:r w:rsidRPr="00DA647C">
        <w:rPr>
          <w:rFonts w:cs="Times New Roman"/>
        </w:rPr>
        <w:t xml:space="preserve"> folder</w:t>
      </w:r>
      <w:r>
        <w:rPr>
          <w:rFonts w:cs="Times New Roman"/>
        </w:rPr>
        <w:t>,</w:t>
      </w:r>
      <w:r w:rsidRPr="00DA647C">
        <w:rPr>
          <w:rFonts w:cs="Times New Roman"/>
        </w:rPr>
        <w:t xml:space="preserve"> and requesting dose coefficients for the noble gas Kr-85. After displaying the coefficients, now change to the </w:t>
      </w:r>
      <w:r w:rsidRPr="00DA647C">
        <w:rPr>
          <w:rFonts w:cs="Times New Roman"/>
          <w:i/>
        </w:rPr>
        <w:t>Worker Coefficients (ICRP 30)</w:t>
      </w:r>
      <w:r>
        <w:rPr>
          <w:rFonts w:cs="Times New Roman"/>
        </w:rPr>
        <w:t xml:space="preserve"> folder</w:t>
      </w:r>
      <w:r w:rsidRPr="00DA647C">
        <w:rPr>
          <w:rFonts w:cs="Times New Roman"/>
        </w:rPr>
        <w:t xml:space="preserve">, note that the requested nuclide is still Kr-85, and </w:t>
      </w:r>
      <w:r>
        <w:rPr>
          <w:rFonts w:cs="Times New Roman"/>
        </w:rPr>
        <w:t xml:space="preserve">now </w:t>
      </w:r>
      <w:r w:rsidRPr="00DA647C">
        <w:rPr>
          <w:rFonts w:cs="Times New Roman"/>
        </w:rPr>
        <w:t xml:space="preserve">attempt to display coefficients for the ingestion mode of intake. Clicking </w:t>
      </w:r>
      <w:r w:rsidRPr="00DA647C">
        <w:rPr>
          <w:rFonts w:cs="Times New Roman"/>
          <w:i/>
        </w:rPr>
        <w:t>Display</w:t>
      </w:r>
      <w:r w:rsidRPr="00DA647C">
        <w:rPr>
          <w:rFonts w:cs="Times New Roman"/>
        </w:rPr>
        <w:t xml:space="preserve"> results in a message box indicating </w:t>
      </w:r>
      <w:r w:rsidRPr="00DA647C">
        <w:rPr>
          <w:rFonts w:cs="Times New Roman"/>
          <w:i/>
        </w:rPr>
        <w:t>No nuclides found</w:t>
      </w:r>
      <w:r w:rsidRPr="00DA647C">
        <w:rPr>
          <w:rFonts w:cs="Times New Roman"/>
        </w:rPr>
        <w:t xml:space="preserve">. This occurs because dose coefficients for the intake of noble gas radionuclides are not addressed for internal irradiation (neither are radionuclides of half-life less than 10 min) but they are for external irradiation. Similar situations can occur within the </w:t>
      </w:r>
      <w:r w:rsidRPr="00E4017D">
        <w:rPr>
          <w:rFonts w:cs="Times New Roman"/>
          <w:i/>
        </w:rPr>
        <w:t>Element Data</w:t>
      </w:r>
      <w:r w:rsidRPr="00DA647C">
        <w:rPr>
          <w:rFonts w:cs="Times New Roman"/>
        </w:rPr>
        <w:t xml:space="preserve"> and </w:t>
      </w:r>
      <w:r w:rsidRPr="00E4017D">
        <w:rPr>
          <w:rFonts w:cs="Times New Roman"/>
          <w:i/>
        </w:rPr>
        <w:t>Material Data</w:t>
      </w:r>
      <w:r w:rsidRPr="00DA647C">
        <w:rPr>
          <w:rFonts w:cs="Times New Roman"/>
        </w:rPr>
        <w:t xml:space="preserve"> </w:t>
      </w:r>
      <w:r>
        <w:rPr>
          <w:rFonts w:cs="Times New Roman"/>
        </w:rPr>
        <w:t>collections</w:t>
      </w:r>
      <w:r w:rsidRPr="00DA647C">
        <w:rPr>
          <w:rFonts w:cs="Times New Roman"/>
        </w:rPr>
        <w:t xml:space="preserve"> as interaction coefficients present </w:t>
      </w:r>
      <w:r>
        <w:rPr>
          <w:rFonts w:cs="Times New Roman"/>
        </w:rPr>
        <w:t>for an</w:t>
      </w:r>
      <w:r w:rsidRPr="00DA647C">
        <w:rPr>
          <w:rFonts w:cs="Times New Roman"/>
        </w:rPr>
        <w:t xml:space="preserve"> </w:t>
      </w:r>
      <w:r>
        <w:rPr>
          <w:rFonts w:cs="Times New Roman"/>
        </w:rPr>
        <w:t xml:space="preserve">element or material </w:t>
      </w:r>
      <w:r w:rsidRPr="00DA647C">
        <w:rPr>
          <w:rFonts w:cs="Times New Roman"/>
        </w:rPr>
        <w:t>may not be present f</w:t>
      </w:r>
      <w:r>
        <w:rPr>
          <w:rFonts w:cs="Times New Roman"/>
        </w:rPr>
        <w:t>or</w:t>
      </w:r>
      <w:r w:rsidRPr="00DA647C">
        <w:rPr>
          <w:rFonts w:cs="Times New Roman"/>
        </w:rPr>
        <w:t xml:space="preserve"> a</w:t>
      </w:r>
      <w:r>
        <w:rPr>
          <w:rFonts w:cs="Times New Roman"/>
        </w:rPr>
        <w:t>ll elements or materials</w:t>
      </w:r>
      <w:r w:rsidRPr="00DA647C">
        <w:rPr>
          <w:rFonts w:cs="Times New Roman"/>
        </w:rPr>
        <w:t>.</w:t>
      </w:r>
    </w:p>
    <w:p w:rsidR="00CD3F77" w:rsidRPr="0055206D" w:rsidRDefault="00CD3F77" w:rsidP="00CD3F77">
      <w:pPr>
        <w:pStyle w:val="Heading2"/>
        <w:rPr>
          <w:szCs w:val="24"/>
        </w:rPr>
      </w:pPr>
      <w:bookmarkStart w:id="31" w:name="_Toc346102805"/>
      <w:bookmarkStart w:id="32" w:name="_Toc346102848"/>
      <w:bookmarkStart w:id="33" w:name="_Toc346102901"/>
      <w:bookmarkStart w:id="34" w:name="_Toc355177422"/>
      <w:bookmarkEnd w:id="31"/>
      <w:bookmarkEnd w:id="32"/>
      <w:bookmarkEnd w:id="33"/>
      <w:r w:rsidRPr="0055206D">
        <w:rPr>
          <w:szCs w:val="24"/>
        </w:rPr>
        <w:t>Support</w:t>
      </w:r>
      <w:bookmarkEnd w:id="34"/>
    </w:p>
    <w:p w:rsidR="00CD3F77" w:rsidRPr="00DA647C" w:rsidRDefault="00CD3F77" w:rsidP="00CD3F77">
      <w:pPr>
        <w:pStyle w:val="Caption"/>
        <w:ind w:right="288"/>
        <w:jc w:val="both"/>
        <w:rPr>
          <w:b w:val="0"/>
          <w:sz w:val="22"/>
        </w:rPr>
      </w:pPr>
      <w:r w:rsidRPr="00DA647C">
        <w:rPr>
          <w:b w:val="0"/>
          <w:sz w:val="22"/>
        </w:rPr>
        <w:t>Users encountering difficulties or potential errors are encouraged to contact NRC</w:t>
      </w:r>
      <w:r w:rsidRPr="00DA647C">
        <w:rPr>
          <w:rStyle w:val="FootnoteReference"/>
          <w:b w:val="0"/>
          <w:sz w:val="22"/>
        </w:rPr>
        <w:footnoteReference w:id="3"/>
      </w:r>
      <w:r w:rsidRPr="00DA647C">
        <w:rPr>
          <w:b w:val="0"/>
          <w:sz w:val="22"/>
        </w:rPr>
        <w:t xml:space="preserve"> for guidance and to have such issues addressed in future updates. Users are also encouraged to send suggestions for additional features and databases for inclusion in future updates to the </w:t>
      </w:r>
      <w:r>
        <w:rPr>
          <w:b w:val="0"/>
          <w:sz w:val="22"/>
        </w:rPr>
        <w:t>T</w:t>
      </w:r>
      <w:r w:rsidRPr="00DA647C">
        <w:rPr>
          <w:b w:val="0"/>
          <w:sz w:val="22"/>
        </w:rPr>
        <w:t>oolbox.</w:t>
      </w:r>
    </w:p>
    <w:p w:rsidR="00CD3F77" w:rsidRPr="00DA647C" w:rsidRDefault="00CD3F77" w:rsidP="00CD3F77">
      <w:pPr>
        <w:rPr>
          <w:sz w:val="22"/>
          <w:szCs w:val="22"/>
        </w:rPr>
      </w:pPr>
    </w:p>
    <w:p w:rsidR="00CD3F77" w:rsidRDefault="00CD3F77" w:rsidP="00CD3F77">
      <w:pPr>
        <w:pStyle w:val="noindent"/>
        <w:rPr>
          <w:rFonts w:ascii="Times New Roman" w:hAnsi="Times New Roman"/>
          <w:sz w:val="22"/>
          <w:szCs w:val="22"/>
        </w:rPr>
      </w:pPr>
      <w:r w:rsidRPr="00DA647C">
        <w:rPr>
          <w:rFonts w:ascii="Times New Roman" w:hAnsi="Times New Roman"/>
          <w:sz w:val="22"/>
          <w:szCs w:val="22"/>
        </w:rPr>
        <w:t xml:space="preserve">A discussion forum for </w:t>
      </w:r>
      <w:r>
        <w:rPr>
          <w:rFonts w:ascii="Times New Roman" w:hAnsi="Times New Roman"/>
          <w:sz w:val="22"/>
          <w:szCs w:val="22"/>
        </w:rPr>
        <w:t>T</w:t>
      </w:r>
      <w:r w:rsidRPr="00DA647C">
        <w:rPr>
          <w:rFonts w:ascii="Times New Roman" w:hAnsi="Times New Roman"/>
          <w:sz w:val="22"/>
          <w:szCs w:val="22"/>
        </w:rPr>
        <w:t>oolbox users is available</w:t>
      </w:r>
      <w:r>
        <w:rPr>
          <w:rFonts w:ascii="Times New Roman" w:hAnsi="Times New Roman"/>
          <w:sz w:val="22"/>
          <w:szCs w:val="22"/>
        </w:rPr>
        <w:t xml:space="preserve"> at the ORNL Center for Radiation Protection Knowledge</w:t>
      </w:r>
      <w:r w:rsidRPr="00DA647C">
        <w:rPr>
          <w:rFonts w:ascii="Times New Roman" w:hAnsi="Times New Roman"/>
          <w:sz w:val="22"/>
          <w:szCs w:val="22"/>
        </w:rPr>
        <w:t xml:space="preserve"> </w:t>
      </w:r>
      <w:hyperlink r:id="rId12" w:history="1">
        <w:r w:rsidRPr="00032A23">
          <w:rPr>
            <w:rStyle w:val="Hyperlink"/>
            <w:rFonts w:ascii="Times New Roman" w:hAnsi="Times New Roman"/>
            <w:sz w:val="22"/>
            <w:szCs w:val="22"/>
          </w:rPr>
          <w:t>https://ordose.ornl.gov/forum/</w:t>
        </w:r>
      </w:hyperlink>
      <w:r w:rsidRPr="00DA647C">
        <w:rPr>
          <w:rFonts w:ascii="Times New Roman" w:hAnsi="Times New Roman"/>
          <w:sz w:val="22"/>
          <w:szCs w:val="22"/>
        </w:rPr>
        <w:t xml:space="preserve">. This forum will enable users to exchange information and share their experiences with the </w:t>
      </w:r>
      <w:r>
        <w:rPr>
          <w:rFonts w:ascii="Times New Roman" w:hAnsi="Times New Roman"/>
          <w:sz w:val="22"/>
          <w:szCs w:val="22"/>
        </w:rPr>
        <w:t>T</w:t>
      </w:r>
      <w:r w:rsidRPr="00DA647C">
        <w:rPr>
          <w:rFonts w:ascii="Times New Roman" w:hAnsi="Times New Roman"/>
          <w:sz w:val="22"/>
          <w:szCs w:val="22"/>
        </w:rPr>
        <w:t>oolbox.</w:t>
      </w:r>
    </w:p>
    <w:p w:rsidR="00CD3F77" w:rsidRDefault="00CD3F77" w:rsidP="00CD3F77">
      <w:pPr>
        <w:pStyle w:val="noindent"/>
        <w:rPr>
          <w:rFonts w:ascii="Times New Roman" w:hAnsi="Times New Roman"/>
          <w:sz w:val="22"/>
          <w:szCs w:val="22"/>
        </w:rPr>
        <w:sectPr w:rsidR="00CD3F77" w:rsidSect="00CD3F77">
          <w:footerReference w:type="default" r:id="rId13"/>
          <w:footnotePr>
            <w:numFmt w:val="chicago"/>
            <w:numRestart w:val="eachPage"/>
          </w:footnotePr>
          <w:endnotePr>
            <w:numFmt w:val="decimal"/>
          </w:endnotePr>
          <w:type w:val="continuous"/>
          <w:pgSz w:w="12240" w:h="15840" w:code="1"/>
          <w:pgMar w:top="1440" w:right="1440" w:bottom="1440" w:left="1440" w:header="720" w:footer="720" w:gutter="0"/>
          <w:cols w:space="720"/>
        </w:sectPr>
      </w:pPr>
    </w:p>
    <w:p w:rsidR="00CD3F77" w:rsidRPr="006E78A8" w:rsidRDefault="00CD3F77" w:rsidP="00CD3F77">
      <w:pPr>
        <w:pStyle w:val="Heading1"/>
        <w:ind w:hanging="7477"/>
      </w:pPr>
      <w:bookmarkStart w:id="35" w:name="_Toc355177423"/>
      <w:r w:rsidRPr="006E78A8">
        <w:lastRenderedPageBreak/>
        <w:t>TOOLBOX CONTENT</w:t>
      </w:r>
      <w:bookmarkEnd w:id="35"/>
    </w:p>
    <w:p w:rsidR="00CD3F77" w:rsidRPr="00DA647C" w:rsidRDefault="00CD3F77" w:rsidP="00CD3F77">
      <w:pPr>
        <w:pStyle w:val="StyleBaseTimesNewRoman"/>
        <w:ind w:firstLine="0"/>
        <w:jc w:val="both"/>
        <w:rPr>
          <w:rFonts w:cs="Times New Roman"/>
        </w:rPr>
      </w:pPr>
      <w:r w:rsidRPr="00DA647C">
        <w:rPr>
          <w:rFonts w:cs="Times New Roman"/>
        </w:rPr>
        <w:t xml:space="preserve">When the </w:t>
      </w:r>
      <w:r>
        <w:rPr>
          <w:rFonts w:cs="Times New Roman"/>
        </w:rPr>
        <w:t>T</w:t>
      </w:r>
      <w:r w:rsidRPr="00DA647C">
        <w:rPr>
          <w:rFonts w:cs="Times New Roman"/>
        </w:rPr>
        <w:t xml:space="preserve">oolbox is initiated, the screen of Fig. 1.1 appears. The discussion </w:t>
      </w:r>
      <w:proofErr w:type="gramStart"/>
      <w:r w:rsidRPr="00DA647C">
        <w:rPr>
          <w:rFonts w:cs="Times New Roman"/>
        </w:rPr>
        <w:t>below,</w:t>
      </w:r>
      <w:proofErr w:type="gramEnd"/>
      <w:r w:rsidRPr="00DA647C">
        <w:rPr>
          <w:rFonts w:cs="Times New Roman"/>
        </w:rPr>
        <w:t xml:space="preserve"> refers to the column of buttons on the left side of the screen as </w:t>
      </w:r>
      <w:r w:rsidRPr="00E3310C">
        <w:rPr>
          <w:rFonts w:cs="Times New Roman"/>
          <w:i/>
        </w:rPr>
        <w:t>data collections</w:t>
      </w:r>
      <w:r w:rsidRPr="00DA647C">
        <w:rPr>
          <w:rFonts w:cs="Times New Roman"/>
        </w:rPr>
        <w:t xml:space="preserve">, and the structure on the right as </w:t>
      </w:r>
      <w:r w:rsidRPr="00DA647C">
        <w:rPr>
          <w:rFonts w:cs="Times New Roman"/>
          <w:i/>
        </w:rPr>
        <w:t>folders</w:t>
      </w:r>
      <w:r w:rsidRPr="00DA647C">
        <w:rPr>
          <w:rFonts w:cs="Times New Roman"/>
        </w:rPr>
        <w:t xml:space="preserve">. Note these terms do not refer to database structures but are used to facilitate the discussion. The headings of Sect. 2.2 – 2.11 below correspond to the </w:t>
      </w:r>
      <w:r w:rsidRPr="00E3310C">
        <w:rPr>
          <w:rFonts w:cs="Times New Roman"/>
          <w:i/>
        </w:rPr>
        <w:t>data collections</w:t>
      </w:r>
      <w:r>
        <w:rPr>
          <w:rFonts w:cs="Times New Roman"/>
        </w:rPr>
        <w:t xml:space="preserve"> </w:t>
      </w:r>
      <w:r w:rsidRPr="00DA647C">
        <w:rPr>
          <w:rFonts w:cs="Times New Roman"/>
        </w:rPr>
        <w:t xml:space="preserve">of the </w:t>
      </w:r>
      <w:r>
        <w:rPr>
          <w:rFonts w:cs="Times New Roman"/>
        </w:rPr>
        <w:t>T</w:t>
      </w:r>
      <w:r w:rsidRPr="00DA647C">
        <w:rPr>
          <w:rFonts w:cs="Times New Roman"/>
        </w:rPr>
        <w:t>oolbox as indicated in Fig. 1.1.</w:t>
      </w:r>
    </w:p>
    <w:p w:rsidR="00CD3F77" w:rsidRPr="00DA647C" w:rsidRDefault="00CD3F77" w:rsidP="00CD3F77">
      <w:pPr>
        <w:pStyle w:val="StyleBaseTimesNewRoman"/>
        <w:ind w:firstLine="0"/>
        <w:rPr>
          <w:rFonts w:cs="Times New Roman"/>
        </w:rPr>
      </w:pPr>
    </w:p>
    <w:p w:rsidR="00CD3F77" w:rsidRDefault="00CD3F77" w:rsidP="00CD3F77">
      <w:pPr>
        <w:pStyle w:val="Heading2"/>
        <w:spacing w:before="0" w:after="0"/>
        <w:ind w:left="979" w:hanging="979"/>
      </w:pPr>
      <w:bookmarkStart w:id="36" w:name="_Toc355177424"/>
      <w:r>
        <w:t>Main Menu Bar</w:t>
      </w:r>
      <w:bookmarkEnd w:id="36"/>
    </w:p>
    <w:p w:rsidR="00CD3F77" w:rsidRPr="00DA647C" w:rsidRDefault="00CD3F77" w:rsidP="00CD3F77">
      <w:pPr>
        <w:rPr>
          <w:sz w:val="22"/>
          <w:szCs w:val="22"/>
        </w:rPr>
      </w:pPr>
    </w:p>
    <w:p w:rsidR="00CD3F77" w:rsidRPr="00DA647C" w:rsidRDefault="00CD3F77" w:rsidP="00CD3F77">
      <w:pPr>
        <w:pStyle w:val="StyleBaseTimesNewRoman12ptJustified"/>
        <w:ind w:firstLine="0"/>
        <w:rPr>
          <w:rFonts w:cs="Times New Roman"/>
        </w:rPr>
      </w:pPr>
      <w:r w:rsidRPr="00DA647C">
        <w:rPr>
          <w:rFonts w:cs="Times New Roman"/>
        </w:rPr>
        <w:t xml:space="preserve">The menu bar at the top of the screen (see Fig. 1.1) provides access to the software help files. Many of the </w:t>
      </w:r>
      <w:r w:rsidRPr="00DA647C">
        <w:rPr>
          <w:rFonts w:cs="Times New Roman"/>
          <w:i/>
        </w:rPr>
        <w:t>folders</w:t>
      </w:r>
      <w:r w:rsidRPr="00DA647C">
        <w:rPr>
          <w:rFonts w:cs="Times New Roman"/>
        </w:rPr>
        <w:t xml:space="preserve"> include access to additional help file</w:t>
      </w:r>
      <w:r>
        <w:rPr>
          <w:rFonts w:cs="Times New Roman"/>
        </w:rPr>
        <w:t>s</w:t>
      </w:r>
      <w:r w:rsidRPr="00DA647C">
        <w:rPr>
          <w:rFonts w:cs="Times New Roman"/>
        </w:rPr>
        <w:t xml:space="preserve"> </w:t>
      </w:r>
      <w:r>
        <w:rPr>
          <w:rFonts w:cs="Times New Roman"/>
        </w:rPr>
        <w:t xml:space="preserve">on </w:t>
      </w:r>
      <w:r w:rsidRPr="00DA647C">
        <w:rPr>
          <w:rFonts w:cs="Times New Roman"/>
        </w:rPr>
        <w:t>specific data element</w:t>
      </w:r>
      <w:r>
        <w:rPr>
          <w:rFonts w:cs="Times New Roman"/>
        </w:rPr>
        <w:t>s</w:t>
      </w:r>
      <w:r w:rsidRPr="00DA647C">
        <w:rPr>
          <w:rFonts w:cs="Times New Roman"/>
        </w:rPr>
        <w:t>. The items on the main menu bar are:</w:t>
      </w:r>
    </w:p>
    <w:p w:rsidR="00CD3F77" w:rsidRPr="00DA647C" w:rsidRDefault="00CD3F77" w:rsidP="00CD3F77">
      <w:pPr>
        <w:pStyle w:val="Base"/>
        <w:numPr>
          <w:ilvl w:val="0"/>
          <w:numId w:val="19"/>
        </w:numPr>
        <w:jc w:val="both"/>
        <w:rPr>
          <w:rFonts w:ascii="Times New Roman" w:hAnsi="Times New Roman" w:cs="Times New Roman"/>
          <w:b/>
          <w:i/>
        </w:rPr>
      </w:pPr>
      <w:r w:rsidRPr="00E4017D">
        <w:rPr>
          <w:rFonts w:ascii="Times New Roman" w:hAnsi="Times New Roman" w:cs="Times New Roman"/>
        </w:rPr>
        <w:t>General Help</w:t>
      </w:r>
      <w:r w:rsidRPr="00DA647C">
        <w:rPr>
          <w:rFonts w:ascii="Times New Roman" w:hAnsi="Times New Roman" w:cs="Times New Roman"/>
          <w:b/>
          <w:i/>
        </w:rPr>
        <w:t xml:space="preserve"> </w:t>
      </w:r>
      <w:r w:rsidRPr="00DA647C">
        <w:rPr>
          <w:rFonts w:ascii="Times New Roman" w:hAnsi="Times New Roman" w:cs="Times New Roman"/>
        </w:rPr>
        <w:t xml:space="preserve">– Introduction to </w:t>
      </w:r>
      <w:r>
        <w:rPr>
          <w:rFonts w:ascii="Times New Roman" w:hAnsi="Times New Roman" w:cs="Times New Roman"/>
        </w:rPr>
        <w:t>T</w:t>
      </w:r>
      <w:r w:rsidRPr="00DA647C">
        <w:rPr>
          <w:rFonts w:ascii="Times New Roman" w:hAnsi="Times New Roman" w:cs="Times New Roman"/>
        </w:rPr>
        <w:t>oolbox</w:t>
      </w:r>
    </w:p>
    <w:p w:rsidR="00CD3F77" w:rsidRPr="00DA647C" w:rsidRDefault="00CD3F77" w:rsidP="00CD3F77">
      <w:pPr>
        <w:pStyle w:val="Base"/>
        <w:numPr>
          <w:ilvl w:val="0"/>
          <w:numId w:val="19"/>
        </w:numPr>
        <w:jc w:val="both"/>
        <w:rPr>
          <w:rFonts w:ascii="Times New Roman" w:hAnsi="Times New Roman" w:cs="Times New Roman"/>
          <w:b/>
          <w:i/>
        </w:rPr>
      </w:pPr>
      <w:r w:rsidRPr="00D02092">
        <w:rPr>
          <w:rFonts w:ascii="Times New Roman" w:hAnsi="Times New Roman" w:cs="Times New Roman"/>
        </w:rPr>
        <w:t>Glossary</w:t>
      </w:r>
      <w:r w:rsidRPr="00DA647C">
        <w:rPr>
          <w:rFonts w:ascii="Times New Roman" w:hAnsi="Times New Roman" w:cs="Times New Roman"/>
          <w:b/>
          <w:i/>
        </w:rPr>
        <w:t xml:space="preserve"> </w:t>
      </w:r>
      <w:r w:rsidRPr="00DA647C">
        <w:rPr>
          <w:rFonts w:ascii="Times New Roman" w:hAnsi="Times New Roman" w:cs="Times New Roman"/>
        </w:rPr>
        <w:t>– General glossary of radiological terms</w:t>
      </w:r>
    </w:p>
    <w:p w:rsidR="00CD3F77" w:rsidRPr="00DA647C" w:rsidRDefault="00CD3F77" w:rsidP="00CD3F77">
      <w:pPr>
        <w:pStyle w:val="StyleBaseTimesNewRoman"/>
        <w:numPr>
          <w:ilvl w:val="0"/>
          <w:numId w:val="19"/>
        </w:numPr>
        <w:rPr>
          <w:rFonts w:cs="Times New Roman"/>
        </w:rPr>
      </w:pPr>
      <w:r w:rsidRPr="00D02092">
        <w:rPr>
          <w:rFonts w:cs="Times New Roman"/>
        </w:rPr>
        <w:t>View Manual</w:t>
      </w:r>
      <w:r w:rsidRPr="00DA647C">
        <w:rPr>
          <w:rFonts w:cs="Times New Roman"/>
        </w:rPr>
        <w:t xml:space="preserve"> – </w:t>
      </w:r>
      <w:r>
        <w:rPr>
          <w:rFonts w:cs="Times New Roman"/>
        </w:rPr>
        <w:t>An</w:t>
      </w:r>
      <w:r w:rsidRPr="00DA647C">
        <w:rPr>
          <w:rFonts w:cs="Times New Roman"/>
        </w:rPr>
        <w:t xml:space="preserve"> abbreviated form of this report</w:t>
      </w:r>
    </w:p>
    <w:p w:rsidR="00CD3F77" w:rsidRPr="00DA647C" w:rsidRDefault="00CD3F77" w:rsidP="00CD3F77">
      <w:pPr>
        <w:pStyle w:val="StyleBaseTimesNewRoman"/>
        <w:numPr>
          <w:ilvl w:val="0"/>
          <w:numId w:val="19"/>
        </w:numPr>
        <w:rPr>
          <w:rFonts w:cs="Times New Roman"/>
        </w:rPr>
      </w:pPr>
      <w:r w:rsidRPr="00D02092">
        <w:rPr>
          <w:rFonts w:cs="Times New Roman"/>
        </w:rPr>
        <w:t xml:space="preserve">Help Index </w:t>
      </w:r>
      <w:r w:rsidRPr="00DA647C">
        <w:rPr>
          <w:rFonts w:cs="Times New Roman"/>
        </w:rPr>
        <w:t xml:space="preserve">– </w:t>
      </w:r>
      <w:r>
        <w:rPr>
          <w:rFonts w:cs="Times New Roman"/>
        </w:rPr>
        <w:t>I</w:t>
      </w:r>
      <w:r w:rsidRPr="00DA647C">
        <w:rPr>
          <w:rFonts w:cs="Times New Roman"/>
        </w:rPr>
        <w:t xml:space="preserve">ndex of the </w:t>
      </w:r>
      <w:r>
        <w:rPr>
          <w:rFonts w:cs="Times New Roman"/>
        </w:rPr>
        <w:t>T</w:t>
      </w:r>
      <w:r w:rsidRPr="00DA647C">
        <w:rPr>
          <w:rFonts w:cs="Times New Roman"/>
        </w:rPr>
        <w:t xml:space="preserve">oolbox contents </w:t>
      </w:r>
    </w:p>
    <w:p w:rsidR="00CD3F77" w:rsidRPr="00DA647C" w:rsidRDefault="00CD3F77" w:rsidP="00CD3F77">
      <w:pPr>
        <w:pStyle w:val="StyleBaseTimesNewRoman"/>
        <w:numPr>
          <w:ilvl w:val="0"/>
          <w:numId w:val="19"/>
        </w:numPr>
        <w:rPr>
          <w:rFonts w:cs="Times New Roman"/>
        </w:rPr>
      </w:pPr>
      <w:r w:rsidRPr="00D02092">
        <w:rPr>
          <w:rFonts w:cs="Times New Roman"/>
        </w:rPr>
        <w:t>About</w:t>
      </w:r>
      <w:r w:rsidRPr="00DA647C">
        <w:rPr>
          <w:rFonts w:cs="Times New Roman"/>
        </w:rPr>
        <w:t xml:space="preserve"> – </w:t>
      </w:r>
      <w:r>
        <w:rPr>
          <w:rFonts w:cs="Times New Roman"/>
        </w:rPr>
        <w:t>T</w:t>
      </w:r>
      <w:r w:rsidRPr="00DA647C">
        <w:rPr>
          <w:rFonts w:cs="Times New Roman"/>
        </w:rPr>
        <w:t>oolbox version, acknowledgments, and button to check file integrity</w:t>
      </w:r>
    </w:p>
    <w:p w:rsidR="00CD3F77" w:rsidRDefault="00CD3F77" w:rsidP="00CD3F77"/>
    <w:p w:rsidR="00CD3F77" w:rsidRPr="006E601B" w:rsidRDefault="00CD3F77" w:rsidP="00CD3F77">
      <w:pPr>
        <w:pStyle w:val="Heading2"/>
        <w:spacing w:before="0" w:after="0"/>
      </w:pPr>
      <w:bookmarkStart w:id="37" w:name="_Toc355177425"/>
      <w:r w:rsidRPr="006E601B">
        <w:t>B</w:t>
      </w:r>
      <w:r>
        <w:t>iological Data</w:t>
      </w:r>
      <w:bookmarkEnd w:id="37"/>
      <w:r w:rsidRPr="006E601B">
        <w:t xml:space="preserve"> </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Biological Data</w:t>
      </w:r>
      <w:r w:rsidRPr="00DA647C">
        <w:rPr>
          <w:rFonts w:cs="Times New Roman"/>
        </w:rPr>
        <w:t xml:space="preserve"> </w:t>
      </w:r>
      <w:r>
        <w:rPr>
          <w:rFonts w:cs="Times New Roman"/>
        </w:rPr>
        <w:t xml:space="preserve">collection </w:t>
      </w:r>
      <w:r w:rsidRPr="00DA647C">
        <w:rPr>
          <w:rFonts w:cs="Times New Roman"/>
        </w:rPr>
        <w:t xml:space="preserve">(Fig. 2.1) of the </w:t>
      </w:r>
      <w:r>
        <w:rPr>
          <w:rFonts w:cs="Times New Roman"/>
        </w:rPr>
        <w:t>T</w:t>
      </w:r>
      <w:r w:rsidRPr="00DA647C">
        <w:rPr>
          <w:rFonts w:cs="Times New Roman"/>
        </w:rPr>
        <w:t>oolbox contains data on the following:</w:t>
      </w:r>
    </w:p>
    <w:p w:rsidR="00CD3F77" w:rsidRPr="00D02092" w:rsidRDefault="00CD3F77" w:rsidP="00CD3F77">
      <w:pPr>
        <w:pStyle w:val="StyleBaseTimesNewRoman12ptJustified"/>
        <w:numPr>
          <w:ilvl w:val="0"/>
          <w:numId w:val="20"/>
        </w:numPr>
        <w:rPr>
          <w:rFonts w:cs="Times New Roman"/>
        </w:rPr>
      </w:pPr>
      <w:r w:rsidRPr="00D02092">
        <w:rPr>
          <w:rFonts w:cs="Times New Roman"/>
        </w:rPr>
        <w:t>Biokinetic Models</w:t>
      </w:r>
    </w:p>
    <w:p w:rsidR="00CD3F77" w:rsidRPr="00D02092" w:rsidRDefault="00CD3F77" w:rsidP="00CD3F77">
      <w:pPr>
        <w:pStyle w:val="StyleBaseTimesNewRoman12ptJustified"/>
        <w:numPr>
          <w:ilvl w:val="0"/>
          <w:numId w:val="20"/>
        </w:numPr>
        <w:rPr>
          <w:rFonts w:cs="Times New Roman"/>
        </w:rPr>
      </w:pPr>
      <w:r w:rsidRPr="00D02092">
        <w:rPr>
          <w:rFonts w:cs="Times New Roman"/>
        </w:rPr>
        <w:t>Bioassay Data</w:t>
      </w:r>
    </w:p>
    <w:p w:rsidR="00CD3F77" w:rsidRPr="00D02092" w:rsidRDefault="00CD3F77" w:rsidP="00CD3F77">
      <w:pPr>
        <w:pStyle w:val="StyleBaseTimesNewRoman12ptJustified"/>
        <w:numPr>
          <w:ilvl w:val="0"/>
          <w:numId w:val="20"/>
        </w:numPr>
        <w:rPr>
          <w:rFonts w:cs="Times New Roman"/>
        </w:rPr>
      </w:pPr>
      <w:r w:rsidRPr="00D02092">
        <w:rPr>
          <w:rFonts w:cs="Times New Roman"/>
        </w:rPr>
        <w:t xml:space="preserve">Composition of Tissues </w:t>
      </w:r>
    </w:p>
    <w:p w:rsidR="00CD3F77" w:rsidRPr="00D02092" w:rsidRDefault="00CD3F77" w:rsidP="00CD3F77">
      <w:pPr>
        <w:pStyle w:val="StyleBaseTimesNewRoman12ptJustified"/>
        <w:numPr>
          <w:ilvl w:val="0"/>
          <w:numId w:val="20"/>
        </w:numPr>
        <w:rPr>
          <w:rFonts w:cs="Times New Roman"/>
        </w:rPr>
      </w:pPr>
      <w:r w:rsidRPr="00D02092">
        <w:rPr>
          <w:rFonts w:cs="Times New Roman"/>
        </w:rPr>
        <w:t>Organ Masses –ICRP 23/89/72</w:t>
      </w:r>
    </w:p>
    <w:p w:rsidR="00CD3F77" w:rsidRPr="00D02092" w:rsidRDefault="00CD3F77" w:rsidP="00CD3F77">
      <w:pPr>
        <w:pStyle w:val="StyleBaseTimesNewRoman12ptJustified"/>
        <w:numPr>
          <w:ilvl w:val="0"/>
          <w:numId w:val="20"/>
        </w:numPr>
        <w:rPr>
          <w:rFonts w:cs="Times New Roman"/>
        </w:rPr>
      </w:pPr>
      <w:r w:rsidRPr="00D02092">
        <w:rPr>
          <w:rFonts w:cs="Times New Roman"/>
        </w:rPr>
        <w:t xml:space="preserve">ICRP 89 Reference Values </w:t>
      </w:r>
    </w:p>
    <w:p w:rsidR="00CD3F77" w:rsidRPr="00DA647C" w:rsidRDefault="00CD3F77" w:rsidP="00CD3F77">
      <w:pPr>
        <w:pStyle w:val="StyleBaseTimesNewRoman12ptJustified"/>
        <w:numPr>
          <w:ilvl w:val="0"/>
          <w:numId w:val="20"/>
        </w:numPr>
        <w:rPr>
          <w:rFonts w:cs="Times New Roman"/>
          <w:i/>
        </w:rPr>
      </w:pPr>
      <w:r w:rsidRPr="00D02092">
        <w:rPr>
          <w:rFonts w:cs="Times New Roman"/>
        </w:rPr>
        <w:t>Radiation Health Effects</w:t>
      </w:r>
    </w:p>
    <w:p w:rsidR="00CD3F77" w:rsidRPr="00DA647C" w:rsidRDefault="00CD3F77" w:rsidP="00CD3F77">
      <w:pPr>
        <w:pStyle w:val="StyleBaseTimesNewRoman12ptJustified"/>
        <w:ind w:firstLine="0"/>
        <w:rPr>
          <w:rFonts w:cs="Times New Roman"/>
          <w:b/>
          <w:i/>
        </w:rPr>
      </w:pPr>
    </w:p>
    <w:p w:rsidR="00CD3F77" w:rsidRPr="00DA647C" w:rsidRDefault="00CD3F77" w:rsidP="00CD3F77">
      <w:pPr>
        <w:pStyle w:val="StyleBaseTimesNewRoman12ptJustified"/>
        <w:ind w:firstLine="0"/>
        <w:rPr>
          <w:rFonts w:cs="Times New Roman"/>
        </w:rPr>
      </w:pPr>
      <w:r w:rsidRPr="00DA647C">
        <w:rPr>
          <w:rFonts w:cs="Times New Roman"/>
        </w:rPr>
        <w:t xml:space="preserve">These data are displayed in tables many of which can be exported to </w:t>
      </w:r>
      <w:r>
        <w:rPr>
          <w:rFonts w:cs="Times New Roman"/>
        </w:rPr>
        <w:t xml:space="preserve">Microsoft </w:t>
      </w:r>
      <w:r w:rsidRPr="00DA647C">
        <w:rPr>
          <w:rFonts w:cs="Times New Roman"/>
        </w:rPr>
        <w:t>Excel. The biokinetic models are from ICRP Publications 68 (ICRP</w:t>
      </w:r>
      <w:r>
        <w:rPr>
          <w:rFonts w:cs="Times New Roman"/>
        </w:rPr>
        <w:t>,</w:t>
      </w:r>
      <w:r w:rsidRPr="00DA647C">
        <w:rPr>
          <w:rFonts w:cs="Times New Roman"/>
        </w:rPr>
        <w:t xml:space="preserve"> 1994) and 72 (ICRP</w:t>
      </w:r>
      <w:r>
        <w:rPr>
          <w:rFonts w:cs="Times New Roman"/>
        </w:rPr>
        <w:t>,</w:t>
      </w:r>
      <w:r w:rsidRPr="00DA647C">
        <w:rPr>
          <w:rFonts w:cs="Times New Roman"/>
        </w:rPr>
        <w:t xml:space="preserve"> 1996). Urinary and fecal excretion data and retention data in the bioassay data collection were calculated using DCAL (Eckerman </w:t>
      </w:r>
      <w:r w:rsidRPr="00DA647C">
        <w:rPr>
          <w:rFonts w:cs="Times New Roman"/>
          <w:i/>
        </w:rPr>
        <w:t>et al</w:t>
      </w:r>
      <w:r>
        <w:rPr>
          <w:rFonts w:cs="Times New Roman"/>
          <w:i/>
        </w:rPr>
        <w:t>.,</w:t>
      </w:r>
      <w:r w:rsidRPr="00DA647C">
        <w:rPr>
          <w:rFonts w:cs="Times New Roman"/>
        </w:rPr>
        <w:t xml:space="preserve"> 2006) for a limited set of radionuclides based on the models of Publication 68. The information on the compositions of tissues is from </w:t>
      </w:r>
      <w:proofErr w:type="spellStart"/>
      <w:r w:rsidRPr="00DA647C">
        <w:rPr>
          <w:rFonts w:cs="Times New Roman"/>
        </w:rPr>
        <w:t>Coursey</w:t>
      </w:r>
      <w:proofErr w:type="spellEnd"/>
      <w:r w:rsidRPr="00DA647C">
        <w:rPr>
          <w:rFonts w:cs="Times New Roman"/>
        </w:rPr>
        <w:t xml:space="preserve"> </w:t>
      </w:r>
      <w:r w:rsidRPr="00DA647C">
        <w:rPr>
          <w:rFonts w:cs="Times New Roman"/>
          <w:i/>
        </w:rPr>
        <w:t>et al.</w:t>
      </w:r>
      <w:r w:rsidRPr="00DA647C">
        <w:rPr>
          <w:rFonts w:cs="Times New Roman"/>
        </w:rPr>
        <w:t xml:space="preserve"> (2001). The organ mass data are from Publications 23, 72</w:t>
      </w:r>
      <w:r>
        <w:rPr>
          <w:rFonts w:cs="Times New Roman"/>
        </w:rPr>
        <w:t>,</w:t>
      </w:r>
      <w:r w:rsidRPr="00DA647C">
        <w:rPr>
          <w:rFonts w:cs="Times New Roman"/>
        </w:rPr>
        <w:t xml:space="preserve"> and 89 (ICRP</w:t>
      </w:r>
      <w:r>
        <w:rPr>
          <w:rFonts w:cs="Times New Roman"/>
        </w:rPr>
        <w:t>,</w:t>
      </w:r>
      <w:r w:rsidRPr="00DA647C">
        <w:rPr>
          <w:rFonts w:cs="Times New Roman"/>
        </w:rPr>
        <w:t xml:space="preserve"> 1975</w:t>
      </w:r>
      <w:r>
        <w:rPr>
          <w:rFonts w:cs="Times New Roman"/>
        </w:rPr>
        <w:t>,</w:t>
      </w:r>
      <w:r w:rsidRPr="00DA647C">
        <w:rPr>
          <w:rFonts w:cs="Times New Roman"/>
        </w:rPr>
        <w:t xml:space="preserve"> 1995, </w:t>
      </w:r>
      <w:proofErr w:type="gramStart"/>
      <w:r w:rsidRPr="00DA647C">
        <w:rPr>
          <w:rFonts w:cs="Times New Roman"/>
        </w:rPr>
        <w:t>2002</w:t>
      </w:r>
      <w:proofErr w:type="gramEnd"/>
      <w:r w:rsidRPr="00DA647C">
        <w:rPr>
          <w:rFonts w:cs="Times New Roman"/>
        </w:rPr>
        <w:t xml:space="preserve">). The latter is an extensive set of anatomical and physiological reference values. </w:t>
      </w:r>
      <w:r w:rsidRPr="00044430">
        <w:rPr>
          <w:rFonts w:cs="Times New Roman"/>
        </w:rPr>
        <w:t>Information on health effects, both deterministic and stochastic, of ionizing radiation have been summarized from various sources (</w:t>
      </w:r>
      <w:r>
        <w:rPr>
          <w:rFonts w:cs="Times New Roman"/>
        </w:rPr>
        <w:t xml:space="preserve">Evans </w:t>
      </w:r>
      <w:r w:rsidRPr="006A7A21">
        <w:rPr>
          <w:rFonts w:cs="Times New Roman"/>
          <w:i/>
        </w:rPr>
        <w:t>et al</w:t>
      </w:r>
      <w:r>
        <w:rPr>
          <w:rFonts w:cs="Times New Roman"/>
        </w:rPr>
        <w:t xml:space="preserve">., 1983; </w:t>
      </w:r>
      <w:r w:rsidRPr="00044430">
        <w:rPr>
          <w:rFonts w:cs="Times New Roman"/>
        </w:rPr>
        <w:t>ICRP</w:t>
      </w:r>
      <w:r>
        <w:rPr>
          <w:rFonts w:cs="Times New Roman"/>
        </w:rPr>
        <w:t>,</w:t>
      </w:r>
      <w:r w:rsidRPr="00044430">
        <w:rPr>
          <w:rFonts w:cs="Times New Roman"/>
        </w:rPr>
        <w:t xml:space="preserve"> 1990, 2005, 2007; EPA 1994, 2011; BEIR</w:t>
      </w:r>
      <w:r>
        <w:rPr>
          <w:rFonts w:cs="Times New Roman"/>
        </w:rPr>
        <w:t>,</w:t>
      </w:r>
      <w:r w:rsidRPr="00044430">
        <w:rPr>
          <w:rFonts w:cs="Times New Roman"/>
        </w:rPr>
        <w:t xml:space="preserve"> 2006; IAEA</w:t>
      </w:r>
      <w:r>
        <w:rPr>
          <w:rFonts w:cs="Times New Roman"/>
        </w:rPr>
        <w:t>,</w:t>
      </w:r>
      <w:r w:rsidRPr="00044430">
        <w:rPr>
          <w:rFonts w:cs="Times New Roman"/>
        </w:rPr>
        <w:t xml:space="preserve"> 1998, 2005; Scott</w:t>
      </w:r>
      <w:r>
        <w:rPr>
          <w:rFonts w:cs="Times New Roman"/>
        </w:rPr>
        <w:t>,</w:t>
      </w:r>
      <w:r w:rsidRPr="00044430">
        <w:rPr>
          <w:rFonts w:cs="Times New Roman"/>
        </w:rPr>
        <w:t xml:space="preserve"> 2004; NCRP 2008</w:t>
      </w:r>
      <w:r>
        <w:rPr>
          <w:rFonts w:cs="Times New Roman"/>
        </w:rPr>
        <w:t>, 2009</w:t>
      </w:r>
      <w:r w:rsidRPr="00044430">
        <w:rPr>
          <w:rFonts w:cs="Times New Roman"/>
        </w:rPr>
        <w:t>; Rathbone</w:t>
      </w:r>
      <w:r>
        <w:rPr>
          <w:rFonts w:cs="Times New Roman"/>
        </w:rPr>
        <w:t>,</w:t>
      </w:r>
      <w:r w:rsidRPr="00044430">
        <w:rPr>
          <w:rFonts w:cs="Times New Roman"/>
        </w:rPr>
        <w:t xml:space="preserve"> 2007; </w:t>
      </w:r>
      <w:proofErr w:type="spellStart"/>
      <w:r w:rsidRPr="00044430">
        <w:rPr>
          <w:rFonts w:cs="Times New Roman"/>
        </w:rPr>
        <w:t>Gusev</w:t>
      </w:r>
      <w:proofErr w:type="spellEnd"/>
      <w:r w:rsidRPr="00044430">
        <w:rPr>
          <w:rFonts w:cs="Times New Roman"/>
        </w:rPr>
        <w:t xml:space="preserve"> </w:t>
      </w:r>
      <w:r w:rsidRPr="00E3310C">
        <w:rPr>
          <w:rFonts w:cs="Times New Roman"/>
          <w:i/>
        </w:rPr>
        <w:t>et al.</w:t>
      </w:r>
      <w:r>
        <w:rPr>
          <w:rFonts w:cs="Times New Roman"/>
          <w:i/>
        </w:rPr>
        <w:t>,</w:t>
      </w:r>
      <w:r w:rsidRPr="00044430">
        <w:rPr>
          <w:rFonts w:cs="Times New Roman"/>
        </w:rPr>
        <w:t xml:space="preserve"> 2001).</w:t>
      </w:r>
    </w:p>
    <w:p w:rsidR="00CD3F77" w:rsidRDefault="00CD3F77" w:rsidP="00CD3F77">
      <w:pPr>
        <w:pStyle w:val="StyleBaseTimesNewRoman12ptCentered"/>
        <w:keepNext/>
      </w:pPr>
      <w:r>
        <w:rPr>
          <w:noProof/>
        </w:rPr>
        <w:lastRenderedPageBreak/>
        <w:drawing>
          <wp:inline distT="0" distB="0" distL="0" distR="0" wp14:anchorId="62903A1B" wp14:editId="521200A3">
            <wp:extent cx="4489704" cy="3657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9704" cy="3657600"/>
                    </a:xfrm>
                    <a:prstGeom prst="rect">
                      <a:avLst/>
                    </a:prstGeom>
                  </pic:spPr>
                </pic:pic>
              </a:graphicData>
            </a:graphic>
          </wp:inline>
        </w:drawing>
      </w:r>
    </w:p>
    <w:p w:rsidR="00CD3F77" w:rsidRDefault="00CD3F77" w:rsidP="00CD3F77">
      <w:pPr>
        <w:pStyle w:val="Caption"/>
      </w:pPr>
      <w:bookmarkStart w:id="38" w:name="_Toc345695568"/>
      <w:bookmarkStart w:id="39" w:name="_Toc355177551"/>
      <w:proofErr w:type="gramStart"/>
      <w:r>
        <w:t>Fig.</w:t>
      </w:r>
      <w:proofErr w:type="gramEnd"/>
      <w:r>
        <w:t xml:space="preserve"> </w:t>
      </w:r>
      <w:r w:rsidR="00A218AF">
        <w:fldChar w:fldCharType="begin"/>
      </w:r>
      <w:r w:rsidR="00A218AF">
        <w:instrText xml:space="preserve"> STYLEREF 1 \s </w:instrText>
      </w:r>
      <w:r w:rsidR="00A218AF">
        <w:fldChar w:fldCharType="separate"/>
      </w:r>
      <w:r w:rsidR="00A218AF">
        <w:rPr>
          <w:noProof/>
        </w:rPr>
        <w:t>2</w:t>
      </w:r>
      <w:r w:rsidR="00A218AF">
        <w:rPr>
          <w:noProof/>
        </w:rPr>
        <w:fldChar w:fldCharType="end"/>
      </w:r>
      <w:r>
        <w:t>.</w:t>
      </w:r>
      <w:r w:rsidR="00A218AF">
        <w:fldChar w:fldCharType="begin"/>
      </w:r>
      <w:r w:rsidR="00A218AF">
        <w:instrText xml:space="preserve"> SEQ Fig._ \* ARABIC \s 1 </w:instrText>
      </w:r>
      <w:r w:rsidR="00A218AF">
        <w:fldChar w:fldCharType="separate"/>
      </w:r>
      <w:r w:rsidR="00A218AF">
        <w:rPr>
          <w:noProof/>
        </w:rPr>
        <w:t>1</w:t>
      </w:r>
      <w:r w:rsidR="00A218AF">
        <w:rPr>
          <w:noProof/>
        </w:rPr>
        <w:fldChar w:fldCharType="end"/>
      </w:r>
      <w:r>
        <w:t xml:space="preserve">.  </w:t>
      </w:r>
      <w:proofErr w:type="gramStart"/>
      <w:r>
        <w:t>The initial screen for biological data.</w:t>
      </w:r>
      <w:bookmarkEnd w:id="38"/>
      <w:bookmarkEnd w:id="39"/>
      <w:proofErr w:type="gramEnd"/>
      <w:r>
        <w:t xml:space="preserve">  </w:t>
      </w:r>
    </w:p>
    <w:p w:rsidR="00CD3F77" w:rsidRPr="00BC7D38" w:rsidRDefault="00CD3F77" w:rsidP="00CD3F77">
      <w:pPr>
        <w:pStyle w:val="StyleBaseTimesNewRoman12ptJustified"/>
        <w:ind w:firstLine="0"/>
        <w:rPr>
          <w:rFonts w:cs="Times New Roman"/>
        </w:rPr>
      </w:pPr>
    </w:p>
    <w:p w:rsidR="00CD3F77" w:rsidRPr="00BC7D38" w:rsidRDefault="00CD3F77" w:rsidP="00CD3F77">
      <w:pPr>
        <w:pStyle w:val="StyleBaseTimesNewRoman12ptJustified"/>
        <w:ind w:firstLine="0"/>
        <w:rPr>
          <w:rFonts w:cs="Times New Roman"/>
        </w:rPr>
      </w:pPr>
    </w:p>
    <w:p w:rsidR="00CD3F77" w:rsidRPr="00FC237E" w:rsidRDefault="00CD3F77" w:rsidP="00CD3F77">
      <w:pPr>
        <w:pStyle w:val="Heading2"/>
        <w:spacing w:before="0" w:after="0"/>
      </w:pPr>
      <w:bookmarkStart w:id="40" w:name="_Toc355177426"/>
      <w:r w:rsidRPr="00FC237E">
        <w:rPr>
          <w:bCs w:val="0"/>
        </w:rPr>
        <w:t>Decay Data</w:t>
      </w:r>
      <w:bookmarkEnd w:id="40"/>
    </w:p>
    <w:p w:rsidR="00CD3F77" w:rsidRPr="00FC237E" w:rsidRDefault="00CD3F77" w:rsidP="00CD3F77">
      <w:pPr>
        <w:pStyle w:val="StyleBaseTimesNewRoman12ptJustified"/>
        <w:keepNext/>
        <w:ind w:firstLine="0"/>
        <w:rPr>
          <w:rFonts w:cs="Times New Roman"/>
          <w:b/>
        </w:rPr>
      </w:pPr>
    </w:p>
    <w:p w:rsidR="00CD3F77" w:rsidRPr="00DA647C" w:rsidRDefault="00CD3F77" w:rsidP="00CD3F77">
      <w:pPr>
        <w:pStyle w:val="StyleBaseTimesNewRoman12ptJustified"/>
        <w:keepNext/>
        <w:ind w:firstLine="0"/>
        <w:rPr>
          <w:rFonts w:cs="Times New Roman"/>
        </w:rPr>
      </w:pPr>
      <w:r w:rsidRPr="00DA647C">
        <w:rPr>
          <w:rFonts w:cs="Times New Roman"/>
        </w:rPr>
        <w:t xml:space="preserve">The </w:t>
      </w:r>
      <w:r w:rsidRPr="00DA647C">
        <w:rPr>
          <w:rFonts w:cs="Times New Roman"/>
          <w:i/>
        </w:rPr>
        <w:t>Decay Data</w:t>
      </w:r>
      <w:r w:rsidRPr="00DA647C">
        <w:rPr>
          <w:rFonts w:cs="Times New Roman"/>
        </w:rPr>
        <w:t xml:space="preserve"> </w:t>
      </w:r>
      <w:r>
        <w:rPr>
          <w:rFonts w:cs="Times New Roman"/>
        </w:rPr>
        <w:t>collection</w:t>
      </w:r>
      <w:r w:rsidRPr="00DA647C">
        <w:rPr>
          <w:rFonts w:cs="Times New Roman"/>
        </w:rPr>
        <w:t xml:space="preserve"> (Fig. 2.2</w:t>
      </w:r>
      <w:r>
        <w:rPr>
          <w:rFonts w:cs="Times New Roman"/>
        </w:rPr>
        <w:t>) of the T</w:t>
      </w:r>
      <w:r w:rsidRPr="00DA647C">
        <w:rPr>
          <w:rFonts w:cs="Times New Roman"/>
        </w:rPr>
        <w:t>oolbox provides detailed data on the energy and intensities of the radiations emitted during nuclear transformations (decays). The data are from ICRP Publication 107 (ICRP</w:t>
      </w:r>
      <w:r>
        <w:rPr>
          <w:rFonts w:cs="Times New Roman"/>
        </w:rPr>
        <w:t>,</w:t>
      </w:r>
      <w:r w:rsidRPr="00DA647C">
        <w:rPr>
          <w:rFonts w:cs="Times New Roman"/>
        </w:rPr>
        <w:t xml:space="preserve"> 2008); </w:t>
      </w:r>
      <w:r>
        <w:rPr>
          <w:rFonts w:cs="Times New Roman"/>
        </w:rPr>
        <w:t>an earlier version of the T</w:t>
      </w:r>
      <w:r w:rsidRPr="00DA647C">
        <w:rPr>
          <w:rFonts w:cs="Times New Roman"/>
        </w:rPr>
        <w:t>oolbox included data from ICRP Publication 38 (ICRP</w:t>
      </w:r>
      <w:r>
        <w:rPr>
          <w:rFonts w:cs="Times New Roman"/>
        </w:rPr>
        <w:t>,</w:t>
      </w:r>
      <w:r w:rsidRPr="00DA647C">
        <w:rPr>
          <w:rFonts w:cs="Times New Roman"/>
        </w:rPr>
        <w:t xml:space="preserve"> 1983) with a second set of data from published compilation (Endo </w:t>
      </w:r>
      <w:r w:rsidRPr="00DA647C">
        <w:rPr>
          <w:rFonts w:cs="Times New Roman"/>
          <w:i/>
        </w:rPr>
        <w:t>et al.</w:t>
      </w:r>
      <w:r>
        <w:rPr>
          <w:rFonts w:cs="Times New Roman"/>
          <w:i/>
        </w:rPr>
        <w:t>,</w:t>
      </w:r>
      <w:r w:rsidRPr="00DA647C">
        <w:rPr>
          <w:rFonts w:cs="Times New Roman"/>
        </w:rPr>
        <w:t xml:space="preserve"> 1999; Endo and Yamaguchi</w:t>
      </w:r>
      <w:r>
        <w:rPr>
          <w:rFonts w:cs="Times New Roman"/>
        </w:rPr>
        <w:t>,</w:t>
      </w:r>
      <w:r w:rsidRPr="00DA647C">
        <w:rPr>
          <w:rFonts w:cs="Times New Roman"/>
        </w:rPr>
        <w:t xml:space="preserve"> 2001). The ICRP Publication 107 data are in the format of the file structure detailed in Publication 107. The updating of the Toolbox to ICRP Publication 107 </w:t>
      </w:r>
      <w:r>
        <w:rPr>
          <w:rFonts w:cs="Times New Roman"/>
        </w:rPr>
        <w:t>e</w:t>
      </w:r>
      <w:r w:rsidRPr="00DA647C">
        <w:rPr>
          <w:rFonts w:cs="Times New Roman"/>
        </w:rPr>
        <w:t xml:space="preserve">nsures that these data reflect current </w:t>
      </w:r>
      <w:r>
        <w:rPr>
          <w:rFonts w:cs="Times New Roman"/>
        </w:rPr>
        <w:t>knowledge</w:t>
      </w:r>
      <w:r w:rsidRPr="00DA647C">
        <w:rPr>
          <w:rFonts w:cs="Times New Roman"/>
        </w:rPr>
        <w:t>. All nuclide specific dat</w:t>
      </w:r>
      <w:r>
        <w:rPr>
          <w:rFonts w:cs="Times New Roman"/>
        </w:rPr>
        <w:t>a</w:t>
      </w:r>
      <w:r w:rsidRPr="00DA647C">
        <w:rPr>
          <w:rFonts w:cs="Times New Roman"/>
        </w:rPr>
        <w:t xml:space="preserve"> within the </w:t>
      </w:r>
      <w:r>
        <w:rPr>
          <w:rFonts w:cs="Times New Roman"/>
        </w:rPr>
        <w:t>T</w:t>
      </w:r>
      <w:r w:rsidRPr="00DA647C">
        <w:rPr>
          <w:rFonts w:cs="Times New Roman"/>
        </w:rPr>
        <w:t>oolbox conf</w:t>
      </w:r>
      <w:r>
        <w:rPr>
          <w:rFonts w:cs="Times New Roman"/>
        </w:rPr>
        <w:t>o</w:t>
      </w:r>
      <w:r w:rsidRPr="00DA647C">
        <w:rPr>
          <w:rFonts w:cs="Times New Roman"/>
        </w:rPr>
        <w:t xml:space="preserve">rm to the nuclide identity of </w:t>
      </w:r>
      <w:r>
        <w:rPr>
          <w:rFonts w:cs="Times New Roman"/>
        </w:rPr>
        <w:t>Publication 107</w:t>
      </w:r>
      <w:r w:rsidRPr="00DA647C">
        <w:rPr>
          <w:rFonts w:cs="Times New Roman"/>
        </w:rPr>
        <w:t>. See Appendix A for additional details.</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Information on the energy and intensity of the emitted radiations are displayed in separate tables for alpha particles, beta transitions (average energy), photons, and mono-energetic electrons. The type of radiation is identified in each table and its associated code, the variable </w:t>
      </w:r>
      <w:r w:rsidRPr="00DA647C">
        <w:rPr>
          <w:rFonts w:cs="Times New Roman"/>
          <w:i/>
        </w:rPr>
        <w:t>ICODE</w:t>
      </w:r>
      <w:r w:rsidRPr="00DA647C">
        <w:rPr>
          <w:rFonts w:cs="Times New Roman"/>
        </w:rPr>
        <w:t xml:space="preserve"> – as defined in ICRP Publication 107, is displayed. The beta table contains information on both β+ and β– transitions; however, the plotted spectrum is the composite. X-rays, gamma rays, and annihilation quanta are included in the photon table with their assigned </w:t>
      </w:r>
      <w:r w:rsidRPr="00DA647C">
        <w:rPr>
          <w:rFonts w:cs="Times New Roman"/>
          <w:i/>
        </w:rPr>
        <w:t>ICODE</w:t>
      </w:r>
      <w:r w:rsidRPr="00DA647C">
        <w:rPr>
          <w:rFonts w:cs="Times New Roman"/>
        </w:rPr>
        <w:t>. The data for internal conversion and Auger electrons are included in the mono-energetic electron table. The caption of each table lists the number of radiations of the indicated type emitted in the decay processes.</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lastRenderedPageBreak/>
        <w:t xml:space="preserve">The activity of the selected radionuclide (including its radioactive daughter products) can be calculated by selecting </w:t>
      </w:r>
      <w:r w:rsidRPr="00DA647C">
        <w:rPr>
          <w:rFonts w:cs="Times New Roman"/>
          <w:i/>
        </w:rPr>
        <w:t>Activity</w:t>
      </w:r>
      <w:r w:rsidRPr="00DA647C">
        <w:rPr>
          <w:rFonts w:cs="Times New Roman"/>
        </w:rPr>
        <w:t xml:space="preserve"> as the data type, entering the time of interest, and pressing </w:t>
      </w:r>
      <w:r w:rsidRPr="00DA647C">
        <w:rPr>
          <w:rFonts w:cs="Times New Roman"/>
          <w:i/>
        </w:rPr>
        <w:t>Display</w:t>
      </w:r>
      <w:r w:rsidRPr="00DA647C">
        <w:rPr>
          <w:rFonts w:cs="Times New Roman"/>
        </w:rPr>
        <w:t xml:space="preserve">. The calculation assumes a unit activity of the radionuclide (the parent in the case of a chain) at time </w:t>
      </w:r>
      <w:r>
        <w:rPr>
          <w:rFonts w:cs="Times New Roman"/>
        </w:rPr>
        <w:t>zero</w:t>
      </w:r>
      <w:r w:rsidRPr="00DA647C">
        <w:rPr>
          <w:rFonts w:cs="Times New Roman"/>
        </w:rPr>
        <w:t>. The displayed results can then be scaled by a user-specified value. This feature is discussed further in Sect. 3.4.</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All tables of energy-intensity data are sorted by increasing energy of the emitted radiation. The tables include all emitted radiations without regard to the potential significance. It is possible to specify a fractional energy cutoff in percent thus limiting the tables to those radiations that contribute more that the percent</w:t>
      </w:r>
      <w:r>
        <w:rPr>
          <w:rFonts w:cs="Times New Roman"/>
        </w:rPr>
        <w:t>age</w:t>
      </w:r>
      <w:r w:rsidRPr="00DA647C">
        <w:rPr>
          <w:rFonts w:cs="Times New Roman"/>
        </w:rPr>
        <w:t xml:space="preserve"> cutoff to the total emitted energy. For example, a cutoff of 1% would result in the table containing only radiations contributing more than 1% to the total energy for that radiation type. It is possible to sort the data by increasing intensity (yield) or by energy (the default sort variable) by clicking on the column heading. Each table may be separately exported to Excel. (When the </w:t>
      </w:r>
      <w:r w:rsidRPr="00DA647C">
        <w:rPr>
          <w:rFonts w:cs="Times New Roman"/>
          <w:i/>
        </w:rPr>
        <w:t>Export</w:t>
      </w:r>
      <w:r w:rsidRPr="00DA647C">
        <w:rPr>
          <w:rFonts w:cs="Times New Roman"/>
        </w:rPr>
        <w:t xml:space="preserve"> button is pressed only the displayed table is exported.)</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 xml:space="preserve">The beta spectrum is displayed as a graph and exported as a tabulation of the number of electrons </w:t>
      </w:r>
      <w:proofErr w:type="gramStart"/>
      <w:r w:rsidRPr="00DA647C">
        <w:rPr>
          <w:rFonts w:cs="Times New Roman"/>
          <w:i/>
        </w:rPr>
        <w:t>Y(</w:t>
      </w:r>
      <w:proofErr w:type="gramEnd"/>
      <w:r w:rsidRPr="00DA647C">
        <w:rPr>
          <w:rFonts w:cs="Times New Roman"/>
          <w:i/>
        </w:rPr>
        <w:t>E)</w:t>
      </w:r>
      <w:r w:rsidRPr="00DA647C">
        <w:rPr>
          <w:rFonts w:cs="Times New Roman"/>
        </w:rPr>
        <w:t xml:space="preserve"> emitted with energy between </w:t>
      </w:r>
      <w:r w:rsidRPr="00DA647C">
        <w:rPr>
          <w:rFonts w:cs="Times New Roman"/>
          <w:i/>
        </w:rPr>
        <w:t>E</w:t>
      </w:r>
      <w:r w:rsidRPr="00DA647C">
        <w:rPr>
          <w:rFonts w:cs="Times New Roman"/>
        </w:rPr>
        <w:t xml:space="preserve"> and </w:t>
      </w:r>
      <w:proofErr w:type="spellStart"/>
      <w:r w:rsidRPr="00DA647C">
        <w:rPr>
          <w:rFonts w:cs="Times New Roman"/>
          <w:i/>
        </w:rPr>
        <w:t>E+dE</w:t>
      </w:r>
      <w:proofErr w:type="spellEnd"/>
      <w:r w:rsidRPr="00DA647C">
        <w:rPr>
          <w:rFonts w:cs="Times New Roman"/>
        </w:rPr>
        <w:t xml:space="preserve"> as a function of energy </w:t>
      </w:r>
      <w:r w:rsidRPr="00DA647C">
        <w:rPr>
          <w:rFonts w:cs="Times New Roman"/>
          <w:i/>
        </w:rPr>
        <w:t>E</w:t>
      </w:r>
      <w:r w:rsidRPr="00DA647C">
        <w:rPr>
          <w:rFonts w:cs="Times New Roman"/>
        </w:rPr>
        <w:t>. That is, as a differential energy spectrum. For further information see Sect</w:t>
      </w:r>
      <w:r>
        <w:rPr>
          <w:rFonts w:cs="Times New Roman"/>
        </w:rPr>
        <w:t>.</w:t>
      </w:r>
      <w:r w:rsidRPr="00DA647C">
        <w:rPr>
          <w:rFonts w:cs="Times New Roman"/>
        </w:rPr>
        <w:t xml:space="preserve"> 3.6.</w:t>
      </w:r>
    </w:p>
    <w:p w:rsidR="00CD3F77" w:rsidRPr="00DA647C"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 xml:space="preserve">Provisions are provided to display the air </w:t>
      </w:r>
      <w:proofErr w:type="spellStart"/>
      <w:r w:rsidRPr="00DA647C">
        <w:rPr>
          <w:rFonts w:cs="Times New Roman"/>
        </w:rPr>
        <w:t>kerma</w:t>
      </w:r>
      <w:proofErr w:type="spellEnd"/>
      <w:r w:rsidRPr="00DA647C">
        <w:rPr>
          <w:rFonts w:cs="Times New Roman"/>
        </w:rPr>
        <w:t>-rate constant, as defined by ICRU (1998), and the point source air-</w:t>
      </w:r>
      <w:proofErr w:type="spellStart"/>
      <w:r w:rsidRPr="00DA647C">
        <w:rPr>
          <w:rFonts w:cs="Times New Roman"/>
        </w:rPr>
        <w:t>kerma</w:t>
      </w:r>
      <w:proofErr w:type="spellEnd"/>
      <w:r w:rsidRPr="00DA647C">
        <w:rPr>
          <w:rFonts w:cs="Times New Roman"/>
        </w:rPr>
        <w:t xml:space="preserve"> coefficient for the radionuclides of the ICRP 107 collection. </w:t>
      </w:r>
    </w:p>
    <w:p w:rsidR="00CD3F77" w:rsidRPr="00DA647C" w:rsidRDefault="00CD3F77" w:rsidP="00CD3F77">
      <w:pPr>
        <w:pStyle w:val="StyleBaseTimesNewRoman"/>
        <w:widowControl/>
        <w:ind w:firstLine="0"/>
        <w:jc w:val="both"/>
        <w:rPr>
          <w:rFonts w:cs="Times New Roman"/>
        </w:rPr>
      </w:pPr>
    </w:p>
    <w:p w:rsidR="00CD3F77" w:rsidRPr="00DA647C" w:rsidRDefault="00CD3F77" w:rsidP="00CD3F77">
      <w:pPr>
        <w:pStyle w:val="StyleBaseTimesNewRoman"/>
        <w:widowControl/>
        <w:ind w:firstLine="0"/>
        <w:jc w:val="both"/>
        <w:rPr>
          <w:rFonts w:cs="Times New Roman"/>
        </w:rPr>
      </w:pPr>
      <w:r w:rsidRPr="00DA647C">
        <w:rPr>
          <w:rFonts w:cs="Times New Roman"/>
        </w:rPr>
        <w:t xml:space="preserve">The air </w:t>
      </w:r>
      <w:proofErr w:type="spellStart"/>
      <w:r w:rsidRPr="00DA647C">
        <w:rPr>
          <w:rFonts w:cs="Times New Roman"/>
        </w:rPr>
        <w:t>kerma</w:t>
      </w:r>
      <w:proofErr w:type="spellEnd"/>
      <w:r w:rsidRPr="00DA647C">
        <w:rPr>
          <w:rFonts w:cs="Times New Roman"/>
        </w:rPr>
        <w:t xml:space="preserve">-rate constant as defined by ICRU is for an ideal point source of the radionuclide and is </w:t>
      </w:r>
      <w:r>
        <w:rPr>
          <w:rFonts w:cs="Times New Roman"/>
        </w:rPr>
        <w:t xml:space="preserve">due </w:t>
      </w:r>
      <w:r w:rsidRPr="00DA647C">
        <w:rPr>
          <w:rFonts w:cs="Times New Roman"/>
        </w:rPr>
        <w:t xml:space="preserve">only to photons emitted by the source in a vacuum. Annihilation photons, included in the tabulated emissions in the case of beta plus decay, are not emitted by the radionuclide but rather arise in the absorbing media and thus are not include in the </w:t>
      </w:r>
      <w:r>
        <w:rPr>
          <w:rFonts w:cs="Times New Roman"/>
        </w:rPr>
        <w:t>air-</w:t>
      </w:r>
      <w:proofErr w:type="spellStart"/>
      <w:r>
        <w:rPr>
          <w:rFonts w:cs="Times New Roman"/>
        </w:rPr>
        <w:t>kerma</w:t>
      </w:r>
      <w:proofErr w:type="spellEnd"/>
      <w:r>
        <w:rPr>
          <w:rFonts w:cs="Times New Roman"/>
        </w:rPr>
        <w:t xml:space="preserve"> </w:t>
      </w:r>
      <w:r w:rsidRPr="00DA647C">
        <w:rPr>
          <w:rFonts w:cs="Times New Roman"/>
        </w:rPr>
        <w:t>constant. The point source air-</w:t>
      </w:r>
      <w:proofErr w:type="spellStart"/>
      <w:r w:rsidRPr="00DA647C">
        <w:rPr>
          <w:rFonts w:cs="Times New Roman"/>
        </w:rPr>
        <w:t>kerma</w:t>
      </w:r>
      <w:proofErr w:type="spellEnd"/>
      <w:r w:rsidRPr="00DA647C">
        <w:rPr>
          <w:rFonts w:cs="Times New Roman"/>
        </w:rPr>
        <w:t xml:space="preserve"> coefficient is defined to include the contribution of annihilation photons and</w:t>
      </w:r>
      <w:r>
        <w:rPr>
          <w:rFonts w:cs="Times New Roman"/>
        </w:rPr>
        <w:t>, in the case of spontaneous fission,</w:t>
      </w:r>
      <w:r w:rsidRPr="00DA647C">
        <w:rPr>
          <w:rFonts w:cs="Times New Roman"/>
        </w:rPr>
        <w:t xml:space="preserve"> that of neutrons. Shown below are the constant and coefficient for I-122</w:t>
      </w:r>
      <w:r>
        <w:rPr>
          <w:rFonts w:cs="Times New Roman"/>
        </w:rPr>
        <w:t>,</w:t>
      </w:r>
      <w:r w:rsidRPr="00DA647C">
        <w:rPr>
          <w:rFonts w:cs="Times New Roman"/>
        </w:rPr>
        <w:t xml:space="preserve"> which decays by electron capture and beta plus decay.  The two quantities are explained under the help button.</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jc w:val="center"/>
        <w:rPr>
          <w:rFonts w:cs="Times New Roman"/>
        </w:rPr>
      </w:pPr>
      <w:r>
        <w:rPr>
          <w:noProof/>
        </w:rPr>
        <w:drawing>
          <wp:inline distT="0" distB="0" distL="0" distR="0" wp14:anchorId="17AF5D76" wp14:editId="3DA12F17">
            <wp:extent cx="38862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1676400"/>
                    </a:xfrm>
                    <a:prstGeom prst="rect">
                      <a:avLst/>
                    </a:prstGeom>
                  </pic:spPr>
                </pic:pic>
              </a:graphicData>
            </a:graphic>
          </wp:inline>
        </w:drawing>
      </w:r>
    </w:p>
    <w:p w:rsidR="00CD3F77" w:rsidRPr="006E601B" w:rsidRDefault="00CD3F77" w:rsidP="00CD3F77">
      <w:pPr>
        <w:pStyle w:val="StyleBaseTimesNewRoman12ptJustified"/>
        <w:keepNext/>
        <w:keepLines/>
        <w:widowControl/>
        <w:ind w:firstLine="0"/>
        <w:jc w:val="center"/>
        <w:rPr>
          <w:rFonts w:cs="Times New Roman"/>
          <w:sz w:val="24"/>
          <w:szCs w:val="24"/>
        </w:rPr>
      </w:pPr>
    </w:p>
    <w:p w:rsidR="00CD3F77" w:rsidRDefault="00CD3F77" w:rsidP="00CD3F77">
      <w:pPr>
        <w:pStyle w:val="StyleBaseTimesNewRoman12ptCentered"/>
        <w:keepNext/>
        <w:keepLines/>
        <w:widowControl/>
      </w:pPr>
      <w:r>
        <w:rPr>
          <w:noProof/>
        </w:rPr>
        <w:drawing>
          <wp:inline distT="0" distB="0" distL="0" distR="0" wp14:anchorId="6B985A2C" wp14:editId="4EC83B80">
            <wp:extent cx="4526280" cy="3657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6280" cy="3657600"/>
                    </a:xfrm>
                    <a:prstGeom prst="rect">
                      <a:avLst/>
                    </a:prstGeom>
                  </pic:spPr>
                </pic:pic>
              </a:graphicData>
            </a:graphic>
          </wp:inline>
        </w:drawing>
      </w:r>
    </w:p>
    <w:p w:rsidR="00CD3F77" w:rsidRPr="00A81684" w:rsidRDefault="00CD3F77" w:rsidP="00CD3F77">
      <w:pPr>
        <w:pStyle w:val="Caption"/>
        <w:keepNext/>
        <w:keepLines/>
      </w:pPr>
      <w:bookmarkStart w:id="41" w:name="_Toc355177552"/>
      <w:proofErr w:type="gramStart"/>
      <w:r w:rsidRPr="00A81684">
        <w:t>Fig.</w:t>
      </w:r>
      <w:proofErr w:type="gramEnd"/>
      <w:r w:rsidRPr="00A81684">
        <w:t xml:space="preserve"> </w:t>
      </w:r>
      <w:r w:rsidR="00A218AF">
        <w:fldChar w:fldCharType="begin"/>
      </w:r>
      <w:r w:rsidR="00A218AF">
        <w:instrText xml:space="preserve"> STYLEREF 1 \s </w:instrText>
      </w:r>
      <w:r w:rsidR="00A218AF">
        <w:fldChar w:fldCharType="separate"/>
      </w:r>
      <w:r w:rsidR="00A218AF">
        <w:rPr>
          <w:noProof/>
        </w:rPr>
        <w:t>2</w:t>
      </w:r>
      <w:r w:rsidR="00A218AF">
        <w:rPr>
          <w:noProof/>
        </w:rPr>
        <w:fldChar w:fldCharType="end"/>
      </w:r>
      <w:r w:rsidRPr="00A81684">
        <w:t>.</w:t>
      </w:r>
      <w:r w:rsidR="00A218AF">
        <w:fldChar w:fldCharType="begin"/>
      </w:r>
      <w:r w:rsidR="00A218AF">
        <w:instrText xml:space="preserve"> SEQ Fig._ \* ARABIC \s 1 </w:instrText>
      </w:r>
      <w:r w:rsidR="00A218AF">
        <w:fldChar w:fldCharType="separate"/>
      </w:r>
      <w:r w:rsidR="00A218AF">
        <w:rPr>
          <w:noProof/>
        </w:rPr>
        <w:t>2</w:t>
      </w:r>
      <w:r w:rsidR="00A218AF">
        <w:rPr>
          <w:noProof/>
        </w:rPr>
        <w:fldChar w:fldCharType="end"/>
      </w:r>
      <w:r w:rsidRPr="00A81684">
        <w:t xml:space="preserve">.  </w:t>
      </w:r>
      <w:proofErr w:type="gramStart"/>
      <w:r w:rsidRPr="00A81684">
        <w:t>The initial screen for decay data.</w:t>
      </w:r>
      <w:bookmarkEnd w:id="41"/>
      <w:proofErr w:type="gramEnd"/>
      <w:r>
        <w:t xml:space="preserve">  </w:t>
      </w:r>
    </w:p>
    <w:p w:rsidR="00CD3F77" w:rsidRPr="00DA647C" w:rsidRDefault="00CD3F77" w:rsidP="00CD3F77">
      <w:pPr>
        <w:pStyle w:val="Base"/>
        <w:keepLines/>
        <w:ind w:firstLine="0"/>
        <w:jc w:val="both"/>
        <w:rPr>
          <w:rFonts w:ascii="Times New Roman" w:hAnsi="Times New Roman" w:cs="Times New Roman"/>
        </w:rPr>
      </w:pPr>
    </w:p>
    <w:p w:rsidR="00CD3F77" w:rsidRPr="00DA647C" w:rsidRDefault="00CD3F77" w:rsidP="00CD3F77">
      <w:pPr>
        <w:pStyle w:val="StyleBaseTimesNewRoman"/>
        <w:widowControl/>
        <w:ind w:firstLine="0"/>
        <w:rPr>
          <w:rFonts w:cs="Times New Roman"/>
        </w:rPr>
      </w:pPr>
    </w:p>
    <w:p w:rsidR="00CD3F77" w:rsidRPr="00DA647C" w:rsidRDefault="00CD3F77" w:rsidP="00CD3F77">
      <w:pPr>
        <w:pStyle w:val="StyleBaseTimesNewRoman"/>
        <w:widowControl/>
        <w:ind w:firstLine="0"/>
        <w:jc w:val="both"/>
        <w:rPr>
          <w:rFonts w:cs="Times New Roman"/>
        </w:rPr>
      </w:pPr>
      <w:r w:rsidRPr="00DA647C">
        <w:rPr>
          <w:rFonts w:cs="Times New Roman"/>
        </w:rPr>
        <w:t xml:space="preserve">The decay chain table includes the specific activity, half-life, decay mode, and identification of radioactive daughters with their branching fractions. The </w:t>
      </w:r>
      <w:r w:rsidRPr="00DA647C">
        <w:rPr>
          <w:rFonts w:cs="Times New Roman"/>
          <w:i/>
        </w:rPr>
        <w:t>Summary</w:t>
      </w:r>
      <w:r w:rsidRPr="00DA647C">
        <w:rPr>
          <w:rFonts w:cs="Times New Roman"/>
        </w:rPr>
        <w:t xml:space="preserve"> display lists the various types of radiations (alpha, electrons, photons, etc.) emitted by the radionuclide including their average and total energy (MeV) per nuclear transformation (</w:t>
      </w:r>
      <w:proofErr w:type="spellStart"/>
      <w:r w:rsidRPr="00DA647C">
        <w:rPr>
          <w:rFonts w:cs="Times New Roman"/>
        </w:rPr>
        <w:t>nt</w:t>
      </w:r>
      <w:proofErr w:type="spellEnd"/>
      <w:r w:rsidRPr="00DA647C">
        <w:rPr>
          <w:rFonts w:cs="Times New Roman"/>
        </w:rPr>
        <w:t xml:space="preserve"> or </w:t>
      </w:r>
      <w:proofErr w:type="spellStart"/>
      <w:r w:rsidRPr="00DA647C">
        <w:rPr>
          <w:rFonts w:cs="Times New Roman"/>
        </w:rPr>
        <w:t>Bq</w:t>
      </w:r>
      <w:proofErr w:type="spellEnd"/>
      <w:r w:rsidRPr="00DA647C">
        <w:rPr>
          <w:rFonts w:cs="Times New Roman"/>
        </w:rPr>
        <w:t xml:space="preserve"> s) </w:t>
      </w:r>
      <w:bookmarkStart w:id="42" w:name="_Toc210544300"/>
      <w:bookmarkStart w:id="43" w:name="_Toc210544306"/>
      <w:bookmarkStart w:id="44" w:name="_Toc210544310"/>
      <w:bookmarkStart w:id="45" w:name="_Toc210544312"/>
      <w:bookmarkStart w:id="46" w:name="_Toc210544313"/>
      <w:bookmarkStart w:id="47" w:name="_Toc210544340"/>
      <w:bookmarkStart w:id="48" w:name="_Toc210544342"/>
      <w:bookmarkStart w:id="49" w:name="_Toc210544354"/>
      <w:bookmarkStart w:id="50" w:name="_Toc279229786"/>
      <w:bookmarkEnd w:id="23"/>
      <w:bookmarkEnd w:id="24"/>
      <w:bookmarkEnd w:id="25"/>
      <w:bookmarkEnd w:id="26"/>
      <w:bookmarkEnd w:id="27"/>
      <w:bookmarkEnd w:id="28"/>
      <w:bookmarkEnd w:id="42"/>
      <w:bookmarkEnd w:id="43"/>
      <w:bookmarkEnd w:id="44"/>
      <w:bookmarkEnd w:id="45"/>
      <w:bookmarkEnd w:id="46"/>
      <w:bookmarkEnd w:id="47"/>
      <w:bookmarkEnd w:id="48"/>
      <w:bookmarkEnd w:id="49"/>
      <w:r w:rsidRPr="00DA647C">
        <w:rPr>
          <w:rFonts w:cs="Times New Roman"/>
        </w:rPr>
        <w:t xml:space="preserve">and the radionuclide’s specific activity (default units being </w:t>
      </w:r>
      <w:proofErr w:type="spellStart"/>
      <w:r w:rsidRPr="00DA647C">
        <w:rPr>
          <w:rFonts w:cs="Times New Roman"/>
        </w:rPr>
        <w:t>Bq</w:t>
      </w:r>
      <w:proofErr w:type="spellEnd"/>
      <w:r w:rsidRPr="00DA647C">
        <w:rPr>
          <w:rFonts w:cs="Times New Roman"/>
        </w:rPr>
        <w:t>/kg).</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Caption"/>
        <w:ind w:right="288"/>
        <w:jc w:val="both"/>
        <w:rPr>
          <w:b w:val="0"/>
          <w:sz w:val="22"/>
        </w:rPr>
      </w:pPr>
      <w:r w:rsidRPr="00DA647C">
        <w:rPr>
          <w:b w:val="0"/>
          <w:sz w:val="22"/>
        </w:rPr>
        <w:t xml:space="preserve">The decay chain graphic includes half-lives </w:t>
      </w:r>
      <w:r>
        <w:rPr>
          <w:b w:val="0"/>
          <w:sz w:val="22"/>
        </w:rPr>
        <w:t xml:space="preserve">of the chain members; see </w:t>
      </w:r>
      <w:r w:rsidRPr="00DA647C">
        <w:rPr>
          <w:b w:val="0"/>
          <w:sz w:val="22"/>
        </w:rPr>
        <w:t>Fig. 2.3. The stable end product of the chain is included in the graphic but not in the decay chain table. The graphic cannot be exported.</w:t>
      </w:r>
    </w:p>
    <w:p w:rsidR="00CD3F77" w:rsidRDefault="00CD3F77" w:rsidP="00CD3F77">
      <w:pPr>
        <w:pStyle w:val="StyleBaseTimesNewRoman"/>
        <w:keepNext/>
        <w:jc w:val="center"/>
      </w:pPr>
      <w:r>
        <w:rPr>
          <w:noProof/>
        </w:rPr>
        <w:lastRenderedPageBreak/>
        <w:drawing>
          <wp:inline distT="0" distB="0" distL="0" distR="0" wp14:anchorId="729F7E88" wp14:editId="6BC609DC">
            <wp:extent cx="4590288" cy="3172968"/>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0288" cy="3172968"/>
                    </a:xfrm>
                    <a:prstGeom prst="rect">
                      <a:avLst/>
                    </a:prstGeom>
                  </pic:spPr>
                </pic:pic>
              </a:graphicData>
            </a:graphic>
          </wp:inline>
        </w:drawing>
      </w:r>
    </w:p>
    <w:p w:rsidR="00CD3F77" w:rsidRDefault="00CD3F77" w:rsidP="00CD3F77">
      <w:pPr>
        <w:pStyle w:val="Caption"/>
      </w:pPr>
      <w:bookmarkStart w:id="51" w:name="_Toc355177553"/>
      <w:proofErr w:type="gramStart"/>
      <w:r>
        <w:t>Fig.</w:t>
      </w:r>
      <w:proofErr w:type="gramEnd"/>
      <w:r>
        <w:t xml:space="preserve"> </w:t>
      </w:r>
      <w:r w:rsidR="00A218AF">
        <w:fldChar w:fldCharType="begin"/>
      </w:r>
      <w:r w:rsidR="00A218AF">
        <w:instrText xml:space="preserve"> STYLEREF 1 \s </w:instrText>
      </w:r>
      <w:r w:rsidR="00A218AF">
        <w:fldChar w:fldCharType="separate"/>
      </w:r>
      <w:r w:rsidR="00A218AF">
        <w:rPr>
          <w:noProof/>
        </w:rPr>
        <w:t>2</w:t>
      </w:r>
      <w:r w:rsidR="00A218AF">
        <w:rPr>
          <w:noProof/>
        </w:rPr>
        <w:fldChar w:fldCharType="end"/>
      </w:r>
      <w:r>
        <w:t>.</w:t>
      </w:r>
      <w:r w:rsidR="00A218AF">
        <w:fldChar w:fldCharType="begin"/>
      </w:r>
      <w:r w:rsidR="00A218AF">
        <w:instrText xml:space="preserve"> SEQ Fig._ \* ARABIC \s 1 </w:instrText>
      </w:r>
      <w:r w:rsidR="00A218AF">
        <w:fldChar w:fldCharType="separate"/>
      </w:r>
      <w:r w:rsidR="00A218AF">
        <w:rPr>
          <w:noProof/>
        </w:rPr>
        <w:t>3</w:t>
      </w:r>
      <w:r w:rsidR="00A218AF">
        <w:rPr>
          <w:noProof/>
        </w:rPr>
        <w:fldChar w:fldCharType="end"/>
      </w:r>
      <w:r>
        <w:t>.  An example graphic of the Ac-223 decay chain.</w:t>
      </w:r>
      <w:bookmarkEnd w:id="51"/>
      <w:r>
        <w:t xml:space="preserve">  </w:t>
      </w:r>
    </w:p>
    <w:p w:rsidR="00CD3F77" w:rsidRDefault="00CD3F77" w:rsidP="00CD3F77">
      <w:pPr>
        <w:pStyle w:val="Base"/>
        <w:ind w:firstLine="0"/>
        <w:rPr>
          <w:rFonts w:ascii="Times New Roman" w:hAnsi="Times New Roman" w:cs="Times New Roman"/>
          <w:b/>
        </w:rPr>
      </w:pPr>
    </w:p>
    <w:p w:rsidR="00CD3F77" w:rsidRPr="00BC7D38" w:rsidRDefault="00CD3F77" w:rsidP="00CD3F77">
      <w:pPr>
        <w:pStyle w:val="Base"/>
        <w:ind w:firstLine="0"/>
        <w:rPr>
          <w:rFonts w:ascii="Times New Roman" w:hAnsi="Times New Roman" w:cs="Times New Roman"/>
          <w:b/>
        </w:rPr>
      </w:pPr>
    </w:p>
    <w:p w:rsidR="00CD3F77" w:rsidRPr="002C7822" w:rsidRDefault="00CD3F77" w:rsidP="00CD3F77">
      <w:pPr>
        <w:pStyle w:val="Heading2"/>
        <w:numPr>
          <w:ilvl w:val="1"/>
          <w:numId w:val="21"/>
        </w:numPr>
        <w:spacing w:before="0" w:after="0"/>
      </w:pPr>
      <w:bookmarkStart w:id="52" w:name="_Toc355177427"/>
      <w:r w:rsidRPr="002C7822">
        <w:t>Dose Coefficients</w:t>
      </w:r>
      <w:bookmarkEnd w:id="52"/>
    </w:p>
    <w:p w:rsidR="00CD3F77" w:rsidRPr="00DA647C" w:rsidRDefault="00CD3F77" w:rsidP="00CD3F77">
      <w:pPr>
        <w:pStyle w:val="StyleBaseTimesNewRoman12ptJustified"/>
        <w:keepNext/>
        <w:keepLines/>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t xml:space="preserve">The </w:t>
      </w:r>
      <w:r w:rsidRPr="00DA647C">
        <w:rPr>
          <w:rFonts w:cs="Times New Roman"/>
          <w:i/>
        </w:rPr>
        <w:t>Dose Coefficients</w:t>
      </w:r>
      <w:r w:rsidRPr="00DA647C">
        <w:rPr>
          <w:rFonts w:cs="Times New Roman"/>
        </w:rPr>
        <w:t xml:space="preserve"> </w:t>
      </w:r>
      <w:r>
        <w:rPr>
          <w:rFonts w:cs="Times New Roman"/>
        </w:rPr>
        <w:t>collection</w:t>
      </w:r>
      <w:r w:rsidRPr="00DA647C">
        <w:rPr>
          <w:rFonts w:cs="Times New Roman"/>
        </w:rPr>
        <w:t xml:space="preserve"> (Fig. 2.4) of the </w:t>
      </w:r>
      <w:r>
        <w:rPr>
          <w:rFonts w:cs="Times New Roman"/>
        </w:rPr>
        <w:t>T</w:t>
      </w:r>
      <w:r w:rsidRPr="00DA647C">
        <w:rPr>
          <w:rFonts w:cs="Times New Roman"/>
        </w:rPr>
        <w:t>oolbox provides access to five sets of nuclide-specific dose coefficients. These are: external dose rate coefficients for 826 radionuclides from Federal Guidance Report 12 (EPA 1993), the committed dose coefficients for inhalation and ingestion intakes of 738 radionuclides by workers in ICRP Publications 30 and 68 (ICRP</w:t>
      </w:r>
      <w:r>
        <w:rPr>
          <w:rFonts w:cs="Times New Roman"/>
        </w:rPr>
        <w:t>,</w:t>
      </w:r>
      <w:r w:rsidRPr="00DA647C">
        <w:rPr>
          <w:rFonts w:cs="Times New Roman"/>
        </w:rPr>
        <w:t xml:space="preserve"> 1979</w:t>
      </w:r>
      <w:r>
        <w:rPr>
          <w:rFonts w:cs="Times New Roman"/>
        </w:rPr>
        <w:t xml:space="preserve">, </w:t>
      </w:r>
      <w:r w:rsidRPr="00DA647C">
        <w:rPr>
          <w:rFonts w:cs="Times New Roman"/>
        </w:rPr>
        <w:t>1994</w:t>
      </w:r>
      <w:r>
        <w:rPr>
          <w:rFonts w:cs="Times New Roman"/>
        </w:rPr>
        <w:t>; EPA, 1988</w:t>
      </w:r>
      <w:r w:rsidRPr="00DA647C">
        <w:rPr>
          <w:rFonts w:cs="Times New Roman"/>
        </w:rPr>
        <w:t>), and age-dependent committed dose coefficients for the inhalation and ingestion intakes of 738 radionuclides</w:t>
      </w:r>
      <w:r w:rsidRPr="00DA647C">
        <w:rPr>
          <w:rStyle w:val="FootnoteReference"/>
        </w:rPr>
        <w:footnoteReference w:id="4"/>
      </w:r>
      <w:r w:rsidRPr="00DA647C">
        <w:rPr>
          <w:rFonts w:cs="Times New Roman"/>
        </w:rPr>
        <w:t xml:space="preserve"> by members of the public (six ages at intake) in ICRP Publication 72 (ICRP</w:t>
      </w:r>
      <w:r>
        <w:rPr>
          <w:rFonts w:cs="Times New Roman"/>
        </w:rPr>
        <w:t>,</w:t>
      </w:r>
      <w:r w:rsidRPr="00DA647C">
        <w:rPr>
          <w:rFonts w:cs="Times New Roman"/>
        </w:rPr>
        <w:t xml:space="preserve"> 199</w:t>
      </w:r>
      <w:r>
        <w:rPr>
          <w:rFonts w:cs="Times New Roman"/>
        </w:rPr>
        <w:t>5</w:t>
      </w:r>
      <w:r w:rsidRPr="00DA647C">
        <w:rPr>
          <w:rFonts w:cs="Times New Roman"/>
        </w:rPr>
        <w:t>). The coefficients are consistent with those of ICRP Publications 68 and 72 and were extracted, with permission, from the ICRP CD (ICRP</w:t>
      </w:r>
      <w:r>
        <w:rPr>
          <w:rFonts w:cs="Times New Roman"/>
        </w:rPr>
        <w:t>,</w:t>
      </w:r>
      <w:r w:rsidRPr="00DA647C">
        <w:rPr>
          <w:rFonts w:cs="Times New Roman"/>
        </w:rPr>
        <w:t xml:space="preserve"> 200</w:t>
      </w:r>
      <w:r>
        <w:rPr>
          <w:rFonts w:cs="Times New Roman"/>
        </w:rPr>
        <w:t>2</w:t>
      </w:r>
      <w:r w:rsidRPr="00DA647C">
        <w:rPr>
          <w:rFonts w:cs="Times New Roman"/>
        </w:rPr>
        <w:t>)</w:t>
      </w:r>
      <w:r w:rsidRPr="00DA647C">
        <w:rPr>
          <w:rStyle w:val="FootnoteReference"/>
        </w:rPr>
        <w:footnoteReference w:id="5"/>
      </w:r>
      <w:r w:rsidRPr="00DA647C">
        <w:rPr>
          <w:rFonts w:cs="Times New Roman"/>
        </w:rPr>
        <w:t>. The coefficients of ICRP Publication 30 were available in data files at ORNL. For each coefficient</w:t>
      </w:r>
      <w:r>
        <w:rPr>
          <w:rFonts w:cs="Times New Roman"/>
        </w:rPr>
        <w:t xml:space="preserve"> </w:t>
      </w:r>
      <w:r w:rsidRPr="00DA647C">
        <w:rPr>
          <w:rFonts w:cs="Times New Roman"/>
        </w:rPr>
        <w:t>s</w:t>
      </w:r>
      <w:r>
        <w:rPr>
          <w:rFonts w:cs="Times New Roman"/>
        </w:rPr>
        <w:t>et</w:t>
      </w:r>
      <w:r w:rsidRPr="00DA647C">
        <w:rPr>
          <w:rFonts w:cs="Times New Roman"/>
        </w:rPr>
        <w:t xml:space="preserve"> it is possible to display up to 20 nuclides at a time for a chosen route of exposure or intake. The displayed table can be exported to an Excel spreadsheet. The default units used are the SI units, i.e., the units of the original data. However, the user may specify non-SI units for display and export. </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277530D6" wp14:editId="55DF5B95">
            <wp:extent cx="448056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80560" cy="3657600"/>
                    </a:xfrm>
                    <a:prstGeom prst="rect">
                      <a:avLst/>
                    </a:prstGeom>
                  </pic:spPr>
                </pic:pic>
              </a:graphicData>
            </a:graphic>
          </wp:inline>
        </w:drawing>
      </w:r>
    </w:p>
    <w:p w:rsidR="00CD3F77" w:rsidRDefault="00CD3F77" w:rsidP="00CD3F77">
      <w:pPr>
        <w:pStyle w:val="Caption"/>
      </w:pPr>
      <w:bookmarkStart w:id="53" w:name="_Toc355177554"/>
      <w:proofErr w:type="gramStart"/>
      <w:r>
        <w:t>Fig. 2.</w:t>
      </w:r>
      <w:proofErr w:type="gramEnd"/>
      <w:r>
        <w:fldChar w:fldCharType="begin"/>
      </w:r>
      <w:r>
        <w:instrText xml:space="preserve"> SEQ Fig._ \* ARABIC \s 1 </w:instrText>
      </w:r>
      <w:r>
        <w:fldChar w:fldCharType="separate"/>
      </w:r>
      <w:r w:rsidR="00A218AF">
        <w:rPr>
          <w:noProof/>
        </w:rPr>
        <w:t>4</w:t>
      </w:r>
      <w:r>
        <w:fldChar w:fldCharType="end"/>
      </w:r>
      <w:r>
        <w:t xml:space="preserve">.  </w:t>
      </w:r>
      <w:proofErr w:type="gramStart"/>
      <w:r>
        <w:t>The initial screen for dose coefficient data.</w:t>
      </w:r>
      <w:bookmarkEnd w:id="53"/>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Coefficients are displayed for the organ equivalent dose and the effective dose for the selected radionuclide. For exposure to radionuclide contamination outside the body, the coefficients are for the adult as considered in Federal Guidance Report 12 (EPA</w:t>
      </w:r>
      <w:r>
        <w:rPr>
          <w:rFonts w:cs="Times New Roman"/>
        </w:rPr>
        <w:t>,</w:t>
      </w:r>
      <w:r w:rsidRPr="00DA647C">
        <w:rPr>
          <w:rFonts w:cs="Times New Roman"/>
        </w:rPr>
        <w:t xml:space="preserve"> 1993). For inhalation intakes of radionuclides the dose coefficients are displayed for all particulate absorption types (or clearance class in the ICRP 30 data set) and for gases and vapors, if applicable. For ingestion intakes, the coefficients for all chemical forms, characterized by the </w:t>
      </w:r>
      <w:r w:rsidRPr="00DA647C">
        <w:rPr>
          <w:rFonts w:cs="Times New Roman"/>
          <w:i/>
        </w:rPr>
        <w:t>f</w:t>
      </w:r>
      <w:r w:rsidRPr="00DA647C">
        <w:rPr>
          <w:rFonts w:cs="Times New Roman"/>
          <w:vertAlign w:val="subscript"/>
        </w:rPr>
        <w:t>1</w:t>
      </w:r>
      <w:r w:rsidRPr="00DA647C">
        <w:rPr>
          <w:rFonts w:cs="Times New Roman"/>
        </w:rPr>
        <w:t xml:space="preserve"> value defining the fractional absorption from gastrointestinal (GI) tract, are shown for the selected radionuclide. The absorption type or class, </w:t>
      </w:r>
      <w:r w:rsidRPr="00DA647C">
        <w:rPr>
          <w:rFonts w:cs="Times New Roman"/>
          <w:i/>
        </w:rPr>
        <w:t>f</w:t>
      </w:r>
      <w:r w:rsidRPr="00DA647C">
        <w:rPr>
          <w:rFonts w:cs="Times New Roman"/>
          <w:vertAlign w:val="subscript"/>
        </w:rPr>
        <w:t>1</w:t>
      </w:r>
      <w:r w:rsidRPr="00DA647C">
        <w:rPr>
          <w:rFonts w:cs="Times New Roman"/>
        </w:rPr>
        <w:t xml:space="preserve"> value, and half-life are included in the display and in tables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A note of caution: The set of nuclides selected for display and selected units of the coefficients ‘sticks’ across the folders (data sets) of the section. That is, once a set of nuclides or units has been specified, this request applies to all dose coefficients to be displayed until the user changes the request. If inhalation and ingestion coefficients are not available for a nuclide initially specified in the external coefficient folder a suitable message is displayed.</w:t>
      </w:r>
    </w:p>
    <w:p w:rsidR="00CD3F77" w:rsidRDefault="00CD3F77" w:rsidP="00CD3F77">
      <w:pPr>
        <w:pStyle w:val="noindent"/>
      </w:pPr>
    </w:p>
    <w:p w:rsidR="00CD3F77" w:rsidRPr="006E601B" w:rsidRDefault="00CD3F77" w:rsidP="00CD3F77">
      <w:pPr>
        <w:pStyle w:val="Heading2"/>
        <w:spacing w:before="0" w:after="0"/>
      </w:pPr>
      <w:bookmarkStart w:id="54" w:name="_Toc355177428"/>
      <w:r w:rsidRPr="006E601B">
        <w:t>D</w:t>
      </w:r>
      <w:r>
        <w:t xml:space="preserve">ose </w:t>
      </w:r>
      <w:r w:rsidRPr="006E601B">
        <w:t>C</w:t>
      </w:r>
      <w:r>
        <w:t>alculations</w:t>
      </w:r>
      <w:bookmarkEnd w:id="54"/>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widowControl/>
        <w:ind w:firstLine="0"/>
        <w:rPr>
          <w:rFonts w:cs="Times New Roman"/>
        </w:rPr>
      </w:pPr>
      <w:r w:rsidRPr="00DA647C">
        <w:rPr>
          <w:rFonts w:cs="Times New Roman"/>
        </w:rPr>
        <w:t xml:space="preserve">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(Fig. 2.5) was developed to enable rather simple numerical calculations of dose for a mixture of radionuclides. The user selects the folder with the appropriate dose coefficients and then identifies the nuclides and their activity. The mixture can consist of up to 20 radionuclides. In the case of external exposure the dose coefficients are uniquely identified by the route of exposure and the radionuclide. Thus it is possible to include the total dose for the mixture in the table. This is not the situation for the intake of radionuclide where multiple coefficients exist for a nuclide due to different chemical forms. Thus for inhalation and ingestion intakes it is not possible to include the total dose in the </w:t>
      </w:r>
      <w:r w:rsidRPr="00DA647C">
        <w:rPr>
          <w:rFonts w:cs="Times New Roman"/>
        </w:rPr>
        <w:lastRenderedPageBreak/>
        <w:t>table but rather the table includes the dose for intake of each chemical form. The user should export the</w:t>
      </w:r>
      <w:r w:rsidRPr="006E601B">
        <w:rPr>
          <w:rFonts w:cs="Times New Roman"/>
          <w:sz w:val="24"/>
          <w:szCs w:val="24"/>
        </w:rPr>
        <w:t xml:space="preserve"> </w:t>
      </w:r>
      <w:r w:rsidRPr="00DA647C">
        <w:rPr>
          <w:rFonts w:cs="Times New Roman"/>
        </w:rPr>
        <w:t xml:space="preserve">table to Excel, delete columns </w:t>
      </w:r>
      <w:r>
        <w:rPr>
          <w:rFonts w:cs="Times New Roman"/>
        </w:rPr>
        <w:t>o</w:t>
      </w:r>
      <w:r w:rsidRPr="00DA647C">
        <w:rPr>
          <w:rFonts w:cs="Times New Roman"/>
        </w:rPr>
        <w:t>f irrelevant chemical forms, and derive the total dose within Excel.</w:t>
      </w:r>
    </w:p>
    <w:p w:rsidR="00CD3F77" w:rsidRDefault="00CD3F77" w:rsidP="00CD3F77">
      <w:pPr>
        <w:pStyle w:val="StyleBaseTimesNewRoman12ptJustified"/>
        <w:ind w:firstLine="0"/>
        <w:rPr>
          <w:rFonts w:cs="Times New Roman"/>
          <w:sz w:val="24"/>
          <w:szCs w:val="24"/>
        </w:rPr>
      </w:pPr>
    </w:p>
    <w:p w:rsidR="00CD3F77" w:rsidRPr="006E601B" w:rsidRDefault="00CD3F77" w:rsidP="00CD3F77">
      <w:pPr>
        <w:pStyle w:val="StyleBaseTimesNewRoman12ptJustified"/>
        <w:ind w:firstLine="0"/>
        <w:rPr>
          <w:rFonts w:cs="Times New Roman"/>
          <w:sz w:val="24"/>
          <w:szCs w:val="24"/>
        </w:rPr>
      </w:pPr>
    </w:p>
    <w:p w:rsidR="00CD3F77" w:rsidRDefault="00CD3F77" w:rsidP="00CD3F77">
      <w:pPr>
        <w:pStyle w:val="StyleBaseTimesNewRoman12ptJustified"/>
        <w:keepNext/>
        <w:ind w:firstLine="0"/>
        <w:jc w:val="center"/>
      </w:pPr>
      <w:r>
        <w:rPr>
          <w:noProof/>
        </w:rPr>
        <w:drawing>
          <wp:inline distT="0" distB="0" distL="0" distR="0" wp14:anchorId="74C934CC" wp14:editId="65FB75DC">
            <wp:extent cx="4498848" cy="36606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98848" cy="3660601"/>
                    </a:xfrm>
                    <a:prstGeom prst="rect">
                      <a:avLst/>
                    </a:prstGeom>
                  </pic:spPr>
                </pic:pic>
              </a:graphicData>
            </a:graphic>
          </wp:inline>
        </w:drawing>
      </w:r>
    </w:p>
    <w:p w:rsidR="00CD3F77" w:rsidRDefault="00CD3F77" w:rsidP="00CD3F77">
      <w:pPr>
        <w:pStyle w:val="Caption"/>
      </w:pPr>
      <w:bookmarkStart w:id="55" w:name="_Toc355177555"/>
      <w:proofErr w:type="gramStart"/>
      <w:r>
        <w:t>Fig. 2.</w:t>
      </w:r>
      <w:proofErr w:type="gramEnd"/>
      <w:r>
        <w:fldChar w:fldCharType="begin"/>
      </w:r>
      <w:r>
        <w:instrText xml:space="preserve"> SEQ Fig._ \* ARABIC \s 1 </w:instrText>
      </w:r>
      <w:r>
        <w:fldChar w:fldCharType="separate"/>
      </w:r>
      <w:r w:rsidR="00A218AF">
        <w:rPr>
          <w:noProof/>
        </w:rPr>
        <w:t>5</w:t>
      </w:r>
      <w:r>
        <w:fldChar w:fldCharType="end"/>
      </w:r>
      <w:r>
        <w:t xml:space="preserve">.  </w:t>
      </w:r>
      <w:proofErr w:type="gramStart"/>
      <w:r>
        <w:t>The initial screen for calculation of dose.</w:t>
      </w:r>
      <w:bookmarkEnd w:id="55"/>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Activity</w:t>
      </w:r>
      <w:r w:rsidRPr="00DA647C">
        <w:rPr>
          <w:rFonts w:cs="Times New Roman"/>
        </w:rPr>
        <w:t xml:space="preserve"> feature of the </w:t>
      </w:r>
      <w:r w:rsidRPr="00DA647C">
        <w:rPr>
          <w:rFonts w:cs="Times New Roman"/>
          <w:i/>
        </w:rPr>
        <w:t>Decay Data</w:t>
      </w:r>
      <w:r w:rsidRPr="00DA647C">
        <w:rPr>
          <w:rFonts w:cs="Times New Roman"/>
        </w:rPr>
        <w:t xml:space="preserve"> </w:t>
      </w:r>
      <w:r>
        <w:rPr>
          <w:rFonts w:cs="Times New Roman"/>
        </w:rPr>
        <w:t xml:space="preserve">collection </w:t>
      </w:r>
      <w:r w:rsidRPr="00DA647C">
        <w:rPr>
          <w:rFonts w:cs="Times New Roman"/>
        </w:rPr>
        <w:t xml:space="preserve">can be used to derive the activity (and time-integrated activity) of the members of a decay chain. That information can be imported to 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(see </w:t>
      </w:r>
      <w:r w:rsidRPr="00DA647C">
        <w:rPr>
          <w:rFonts w:cs="Times New Roman"/>
          <w:i/>
        </w:rPr>
        <w:t>Paste Decay Results</w:t>
      </w:r>
      <w:r w:rsidRPr="00DA647C">
        <w:rPr>
          <w:rFonts w:cs="Times New Roman"/>
        </w:rPr>
        <w:t xml:space="preserve"> button) and the calculations for the chain displayed. This feature is discussed further in Sect. 3.4.</w:t>
      </w:r>
    </w:p>
    <w:p w:rsidR="00CD3F77" w:rsidRPr="006E601B" w:rsidRDefault="00CD3F77" w:rsidP="00CD3F77">
      <w:pPr>
        <w:pStyle w:val="Heading2"/>
      </w:pPr>
      <w:bookmarkStart w:id="56" w:name="_Toc355177429"/>
      <w:r w:rsidRPr="006E601B">
        <w:t>E</w:t>
      </w:r>
      <w:r>
        <w:t xml:space="preserve">arly </w:t>
      </w:r>
      <w:r w:rsidRPr="006E601B">
        <w:t>I</w:t>
      </w:r>
      <w:r>
        <w:t>nhalation</w:t>
      </w:r>
      <w:bookmarkEnd w:id="56"/>
      <w:r w:rsidRPr="006E601B">
        <w:t xml:space="preserve"> </w:t>
      </w: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Early Inhalation</w:t>
      </w:r>
      <w:r w:rsidRPr="00DA647C">
        <w:rPr>
          <w:rFonts w:cs="Times New Roman"/>
        </w:rPr>
        <w:t xml:space="preserve"> </w:t>
      </w:r>
      <w:r>
        <w:rPr>
          <w:rFonts w:cs="Times New Roman"/>
        </w:rPr>
        <w:t>collection</w:t>
      </w:r>
      <w:r w:rsidRPr="00DA647C">
        <w:rPr>
          <w:rFonts w:cs="Times New Roman"/>
        </w:rPr>
        <w:t xml:space="preserve"> (Fig. 2.6</w:t>
      </w:r>
      <w:r>
        <w:rPr>
          <w:rFonts w:cs="Times New Roman"/>
        </w:rPr>
        <w:t>) of the T</w:t>
      </w:r>
      <w:r w:rsidRPr="00DA647C">
        <w:rPr>
          <w:rFonts w:cs="Times New Roman"/>
        </w:rPr>
        <w:t xml:space="preserve">oolbox provides a means to derive inhalation dose coefficients for deterministic health effects. Absorbed dose is the </w:t>
      </w:r>
      <w:r>
        <w:rPr>
          <w:rFonts w:cs="Times New Roman"/>
        </w:rPr>
        <w:t>relative</w:t>
      </w:r>
      <w:r w:rsidRPr="00DA647C">
        <w:rPr>
          <w:rFonts w:cs="Times New Roman"/>
        </w:rPr>
        <w:t xml:space="preserve"> </w:t>
      </w:r>
      <w:proofErr w:type="spellStart"/>
      <w:r w:rsidRPr="00DA647C">
        <w:rPr>
          <w:rFonts w:cs="Times New Roman"/>
        </w:rPr>
        <w:t>dosimetric</w:t>
      </w:r>
      <w:proofErr w:type="spellEnd"/>
      <w:r w:rsidRPr="00DA647C">
        <w:rPr>
          <w:rFonts w:cs="Times New Roman"/>
        </w:rPr>
        <w:t xml:space="preserve"> quantity and separate values are given for radiations of low and high linear energy transfer (LET). Appropriate values of the relative biological effectiveness </w:t>
      </w:r>
      <w:r>
        <w:rPr>
          <w:rFonts w:cs="Times New Roman"/>
        </w:rPr>
        <w:t>(</w:t>
      </w:r>
      <w:r w:rsidRPr="00DA647C">
        <w:rPr>
          <w:rFonts w:cs="Times New Roman"/>
          <w:i/>
        </w:rPr>
        <w:t>RBE</w:t>
      </w:r>
      <w:proofErr w:type="gramStart"/>
      <w:r>
        <w:rPr>
          <w:rFonts w:cs="Times New Roman"/>
          <w:i/>
        </w:rPr>
        <w:t>)</w:t>
      </w:r>
      <w:r w:rsidRPr="00DA647C">
        <w:rPr>
          <w:rFonts w:cs="Times New Roman"/>
        </w:rPr>
        <w:t>,</w:t>
      </w:r>
      <w:proofErr w:type="gramEnd"/>
      <w:r w:rsidRPr="00DA647C">
        <w:rPr>
          <w:rFonts w:cs="Times New Roman"/>
        </w:rPr>
        <w:t xml:space="preserve"> see the suggested values (IAEA</w:t>
      </w:r>
      <w:r>
        <w:rPr>
          <w:rFonts w:cs="Times New Roman"/>
        </w:rPr>
        <w:t>,</w:t>
      </w:r>
      <w:r w:rsidRPr="00DA647C">
        <w:rPr>
          <w:rFonts w:cs="Times New Roman"/>
        </w:rPr>
        <w:t xml:space="preserve"> 2005) under </w:t>
      </w:r>
      <w:r w:rsidRPr="00DA647C">
        <w:rPr>
          <w:rFonts w:cs="Times New Roman"/>
          <w:i/>
        </w:rPr>
        <w:t>Radiation Health Effects</w:t>
      </w:r>
      <w:r w:rsidRPr="00DA647C">
        <w:rPr>
          <w:rFonts w:cs="Times New Roman"/>
        </w:rPr>
        <w:t xml:space="preserve"> in the </w:t>
      </w:r>
      <w:r w:rsidRPr="00180EEF">
        <w:rPr>
          <w:rFonts w:cs="Times New Roman"/>
          <w:i/>
        </w:rPr>
        <w:t xml:space="preserve">Biological Data </w:t>
      </w:r>
      <w:r>
        <w:rPr>
          <w:rFonts w:cs="Times New Roman"/>
        </w:rPr>
        <w:t>collection</w:t>
      </w:r>
      <w:r w:rsidRPr="00DA647C">
        <w:rPr>
          <w:rFonts w:cs="Times New Roman"/>
        </w:rPr>
        <w:t xml:space="preserve">, can then be applied to the absorbed dose components. Coefficients for the small intestine, red marrow, lung (mass average), and alveolar interstitial region can be displayed. The coefficients are derived from </w:t>
      </w:r>
      <w:proofErr w:type="spellStart"/>
      <w:r w:rsidRPr="00DA647C">
        <w:rPr>
          <w:rFonts w:cs="Times New Roman"/>
        </w:rPr>
        <w:t>dosimetric</w:t>
      </w:r>
      <w:proofErr w:type="spellEnd"/>
      <w:r w:rsidRPr="00DA647C">
        <w:rPr>
          <w:rFonts w:cs="Times New Roman"/>
        </w:rPr>
        <w:t xml:space="preserve"> data for the adult archived on the Federal Guidance Report 13 CD (EPA</w:t>
      </w:r>
      <w:r>
        <w:rPr>
          <w:rFonts w:cs="Times New Roman"/>
        </w:rPr>
        <w:t>,</w:t>
      </w:r>
      <w:r w:rsidRPr="00DA647C">
        <w:rPr>
          <w:rFonts w:cs="Times New Roman"/>
        </w:rPr>
        <w:t xml:space="preserve"> 200</w:t>
      </w:r>
      <w:r>
        <w:rPr>
          <w:rFonts w:cs="Times New Roman"/>
        </w:rPr>
        <w:t>2</w:t>
      </w:r>
      <w:r w:rsidRPr="00DA647C">
        <w:rPr>
          <w:rFonts w:cs="Times New Roman"/>
        </w:rPr>
        <w:t>). These data were based on an aerosol characterized by an activity median aerodynamic diameter (AMAD) of 1 µm. The user may specify integration times (up to 20 times) from 1</w:t>
      </w:r>
      <w:r>
        <w:rPr>
          <w:rFonts w:cs="Times New Roman"/>
        </w:rPr>
        <w:t> </w:t>
      </w:r>
      <w:r w:rsidRPr="00DA647C">
        <w:rPr>
          <w:rFonts w:cs="Times New Roman"/>
        </w:rPr>
        <w:t>day to 10 years. The units of these absorbed dose coefficients may be changed and the values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widowControl/>
        <w:ind w:firstLine="0"/>
        <w:rPr>
          <w:rFonts w:cs="Times New Roman"/>
        </w:rPr>
      </w:pPr>
      <w:r w:rsidRPr="00DA647C">
        <w:rPr>
          <w:rFonts w:cs="Times New Roman"/>
        </w:rPr>
        <w:lastRenderedPageBreak/>
        <w:t xml:space="preserve">A complete set of age-specified absorbed dose coefficients for all organs/tissues and either inhalation or ingestion intakes is available within the Acute Dose Calculator software. This software is available from </w:t>
      </w:r>
      <w:proofErr w:type="gramStart"/>
      <w:r w:rsidRPr="00DA647C">
        <w:rPr>
          <w:rFonts w:cs="Times New Roman"/>
        </w:rPr>
        <w:t>EPA  (</w:t>
      </w:r>
      <w:proofErr w:type="gramEnd"/>
      <w:r>
        <w:fldChar w:fldCharType="begin"/>
      </w:r>
      <w:r>
        <w:instrText xml:space="preserve"> HYPERLINK "http://www.epa.gov/radiation/federal/techdocs.html" </w:instrText>
      </w:r>
      <w:r>
        <w:fldChar w:fldCharType="separate"/>
      </w:r>
      <w:r w:rsidRPr="00152073">
        <w:rPr>
          <w:rStyle w:val="Hyperlink"/>
          <w:rFonts w:cs="Times New Roman"/>
        </w:rPr>
        <w:t>http://www.epa.gov/radiation/federal/techdocs.html</w:t>
      </w:r>
      <w:r>
        <w:rPr>
          <w:rStyle w:val="Hyperlink"/>
          <w:rFonts w:cs="Times New Roman"/>
        </w:rPr>
        <w:fldChar w:fldCharType="end"/>
      </w:r>
      <w:r>
        <w:rPr>
          <w:rFonts w:cs="Times New Roman"/>
        </w:rPr>
        <w:t xml:space="preserve">). </w:t>
      </w:r>
    </w:p>
    <w:p w:rsidR="00CD3F77" w:rsidRDefault="00CD3F77" w:rsidP="00CD3F77">
      <w:pPr>
        <w:pStyle w:val="StyleBaseTimesNewRoman12ptJustified"/>
        <w:ind w:firstLine="0"/>
        <w:rPr>
          <w:rFonts w:cs="Times New Roman"/>
          <w:sz w:val="24"/>
          <w:szCs w:val="24"/>
        </w:rPr>
      </w:pPr>
    </w:p>
    <w:p w:rsidR="00CD3F77" w:rsidRPr="006E601B" w:rsidRDefault="00CD3F77" w:rsidP="00CD3F77">
      <w:pPr>
        <w:pStyle w:val="StyleBaseTimesNewRoman12ptJustified"/>
        <w:ind w:firstLine="0"/>
        <w:rPr>
          <w:rFonts w:cs="Times New Roman"/>
          <w:sz w:val="24"/>
          <w:szCs w:val="24"/>
        </w:rPr>
      </w:pPr>
    </w:p>
    <w:p w:rsidR="00CD3F77" w:rsidRDefault="00CD3F77" w:rsidP="00CD3F77">
      <w:pPr>
        <w:pStyle w:val="StyleBaseTimesNewRoman12ptJustified"/>
        <w:keepNext/>
        <w:jc w:val="center"/>
      </w:pPr>
      <w:r>
        <w:rPr>
          <w:noProof/>
        </w:rPr>
        <w:drawing>
          <wp:inline distT="0" distB="0" distL="0" distR="0" wp14:anchorId="7AE56D95" wp14:editId="4EA9E636">
            <wp:extent cx="4471416" cy="3657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1416" cy="3657600"/>
                    </a:xfrm>
                    <a:prstGeom prst="rect">
                      <a:avLst/>
                    </a:prstGeom>
                  </pic:spPr>
                </pic:pic>
              </a:graphicData>
            </a:graphic>
          </wp:inline>
        </w:drawing>
      </w:r>
    </w:p>
    <w:p w:rsidR="00CD3F77" w:rsidRDefault="00CD3F77" w:rsidP="00CD3F77">
      <w:pPr>
        <w:pStyle w:val="Caption"/>
      </w:pPr>
      <w:bookmarkStart w:id="57" w:name="_Toc355177556"/>
      <w:proofErr w:type="gramStart"/>
      <w:r>
        <w:t>Fig. 2.</w:t>
      </w:r>
      <w:proofErr w:type="gramEnd"/>
      <w:r>
        <w:fldChar w:fldCharType="begin"/>
      </w:r>
      <w:r>
        <w:instrText xml:space="preserve"> SEQ Fig._ \* ARABIC \s 1 </w:instrText>
      </w:r>
      <w:r>
        <w:fldChar w:fldCharType="separate"/>
      </w:r>
      <w:r w:rsidR="00A218AF">
        <w:rPr>
          <w:noProof/>
        </w:rPr>
        <w:t>6</w:t>
      </w:r>
      <w:r>
        <w:fldChar w:fldCharType="end"/>
      </w:r>
      <w:r>
        <w:t xml:space="preserve">.  </w:t>
      </w:r>
      <w:proofErr w:type="gramStart"/>
      <w:r>
        <w:t>The initial screen for absorbed dose coefficients for early effects.</w:t>
      </w:r>
      <w:bookmarkEnd w:id="57"/>
      <w:proofErr w:type="gramEnd"/>
      <w:r>
        <w:t xml:space="preserve">  </w:t>
      </w:r>
    </w:p>
    <w:p w:rsidR="00CD3F77" w:rsidRDefault="00CD3F77" w:rsidP="00CD3F77">
      <w:pPr>
        <w:pStyle w:val="Caption"/>
        <w:spacing w:before="0"/>
        <w:jc w:val="left"/>
      </w:pPr>
    </w:p>
    <w:p w:rsidR="00CD3F77" w:rsidRPr="00BC7D38" w:rsidRDefault="00CD3F77" w:rsidP="00CD3F77"/>
    <w:p w:rsidR="00CD3F77" w:rsidRPr="006E601B" w:rsidRDefault="00CD3F77" w:rsidP="00CD3F77">
      <w:pPr>
        <w:pStyle w:val="Heading2"/>
        <w:spacing w:before="0" w:after="0"/>
      </w:pPr>
      <w:bookmarkStart w:id="58" w:name="_Toc355177430"/>
      <w:r w:rsidRPr="006E601B">
        <w:t>R</w:t>
      </w:r>
      <w:r>
        <w:t xml:space="preserve">isk </w:t>
      </w:r>
      <w:r w:rsidRPr="006E601B">
        <w:t>C</w:t>
      </w:r>
      <w:r>
        <w:t>oefficients</w:t>
      </w:r>
      <w:bookmarkEnd w:id="58"/>
    </w:p>
    <w:p w:rsidR="00CD3F77" w:rsidRPr="00DA647C"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r w:rsidRPr="00DA647C">
        <w:rPr>
          <w:rFonts w:ascii="Times New Roman" w:hAnsi="Times New Roman" w:cs="Times New Roman"/>
        </w:rPr>
        <w:t xml:space="preserve">The </w:t>
      </w:r>
      <w:r w:rsidRPr="00833422">
        <w:rPr>
          <w:rFonts w:ascii="Times New Roman" w:hAnsi="Times New Roman" w:cs="Times New Roman"/>
          <w:i/>
        </w:rPr>
        <w:t>Risk Coefficients</w:t>
      </w:r>
      <w:r w:rsidRPr="00DA647C">
        <w:rPr>
          <w:rFonts w:ascii="Times New Roman" w:hAnsi="Times New Roman" w:cs="Times New Roman"/>
        </w:rPr>
        <w:t xml:space="preserve"> </w:t>
      </w:r>
      <w:r>
        <w:rPr>
          <w:rFonts w:ascii="Times New Roman" w:hAnsi="Times New Roman" w:cs="Times New Roman"/>
        </w:rPr>
        <w:t>collection of the T</w:t>
      </w:r>
      <w:r w:rsidRPr="00DA647C">
        <w:rPr>
          <w:rFonts w:ascii="Times New Roman" w:hAnsi="Times New Roman" w:cs="Times New Roman"/>
        </w:rPr>
        <w:t xml:space="preserve">oolbox provides access to the risk coefficients of Federal Guidance Report 13 </w:t>
      </w:r>
      <w:r>
        <w:rPr>
          <w:rFonts w:ascii="Times New Roman" w:hAnsi="Times New Roman" w:cs="Times New Roman"/>
        </w:rPr>
        <w:t xml:space="preserve">(EPA, 1999, 2002) </w:t>
      </w:r>
      <w:r w:rsidRPr="00DA647C">
        <w:rPr>
          <w:rFonts w:ascii="Times New Roman" w:hAnsi="Times New Roman" w:cs="Times New Roman"/>
        </w:rPr>
        <w:t>as shown in Fig. 2.7. The risk coefficients of that report apply to an average member of the US public in the sense that the estimated risk are averaged over the age and gender distribution of a hypothetical closed “stationary” population whose survival functions and cancer mortality rates are based on those of the US. The hypothetical population is referred to as “stationary” because the gender-specific birth rates and survival functions are assumed to remain invariant over time.</w:t>
      </w:r>
    </w:p>
    <w:p w:rsidR="00CD3F77" w:rsidRPr="00DA647C" w:rsidRDefault="00CD3F77" w:rsidP="00CD3F77">
      <w:pPr>
        <w:pStyle w:val="Base"/>
        <w:ind w:firstLine="0"/>
        <w:jc w:val="both"/>
        <w:rPr>
          <w:rFonts w:ascii="Times New Roman" w:hAnsi="Times New Roman" w:cs="Times New Roman"/>
        </w:rPr>
      </w:pPr>
    </w:p>
    <w:p w:rsidR="00CD3F77" w:rsidRPr="00F30D8E" w:rsidRDefault="00CD3F77" w:rsidP="00CD3F77">
      <w:pPr>
        <w:pStyle w:val="StyleBaseTimesNewRoman"/>
        <w:ind w:firstLine="0"/>
        <w:jc w:val="both"/>
        <w:rPr>
          <w:sz w:val="24"/>
          <w:szCs w:val="24"/>
        </w:rPr>
      </w:pPr>
      <w:r w:rsidRPr="00DA647C">
        <w:t>For a given radionuclide and exposure mode, both a mortality and morbidity risk coefficient are displayed. The mortality risk coefficient is an estimate of the risk to an average member of the US population, per unit activity inhaled or ingested for internal exposures or per unit time-integrated activity concentration in air or soil for external exposure, of dying from cancer as a result of the intake of the radionuclide or external exposure to its emitted radiations. The morbidity risk coefficient is a comparable estimate of the average total risk of experiencing a radiogenic cancer, whether or not the cancer is fatal. The data are presented for each of 14 cancer sites</w:t>
      </w:r>
      <w:r>
        <w:t>.</w:t>
      </w:r>
      <w:r w:rsidRPr="00DA647C">
        <w:t xml:space="preserve"> For details regarding how the coefficient</w:t>
      </w:r>
      <w:r>
        <w:t>s</w:t>
      </w:r>
      <w:r w:rsidRPr="00DA647C">
        <w:t xml:space="preserve"> were derived, how to apply the </w:t>
      </w:r>
      <w:r>
        <w:t>c</w:t>
      </w:r>
      <w:r w:rsidRPr="00DA647C">
        <w:t>oefficients and their limitations the user should consult Federal Guidance Report 13 (EPA</w:t>
      </w:r>
      <w:r>
        <w:t>,</w:t>
      </w:r>
      <w:r w:rsidRPr="00DA647C">
        <w:t xml:space="preserve"> 1999).</w:t>
      </w:r>
    </w:p>
    <w:p w:rsidR="00CD3F77" w:rsidRPr="006E601B" w:rsidRDefault="00CD3F77" w:rsidP="00CD3F77">
      <w:pPr>
        <w:pStyle w:val="Base"/>
        <w:jc w:val="center"/>
        <w:rPr>
          <w:rFonts w:ascii="Times New Roman" w:hAnsi="Times New Roman" w:cs="Times New Roman"/>
          <w:noProof/>
          <w:sz w:val="24"/>
          <w:szCs w:val="24"/>
        </w:rPr>
      </w:pPr>
    </w:p>
    <w:p w:rsidR="00CD3F77" w:rsidRDefault="00CD3F77" w:rsidP="00CD3F77">
      <w:pPr>
        <w:pStyle w:val="Base"/>
        <w:keepNext/>
        <w:jc w:val="center"/>
      </w:pPr>
      <w:r>
        <w:rPr>
          <w:noProof/>
        </w:rPr>
        <w:lastRenderedPageBreak/>
        <w:drawing>
          <wp:inline distT="0" distB="0" distL="0" distR="0" wp14:anchorId="66F193D6" wp14:editId="5CC159FF">
            <wp:extent cx="4498848"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8848" cy="3657600"/>
                    </a:xfrm>
                    <a:prstGeom prst="rect">
                      <a:avLst/>
                    </a:prstGeom>
                  </pic:spPr>
                </pic:pic>
              </a:graphicData>
            </a:graphic>
          </wp:inline>
        </w:drawing>
      </w:r>
    </w:p>
    <w:p w:rsidR="00CD3F77" w:rsidRPr="00160DCE" w:rsidRDefault="00CD3F77" w:rsidP="00CD3F77">
      <w:pPr>
        <w:pStyle w:val="Caption"/>
      </w:pPr>
      <w:bookmarkStart w:id="59" w:name="_Toc355177557"/>
      <w:proofErr w:type="gramStart"/>
      <w:r>
        <w:t>Fig. 2.</w:t>
      </w:r>
      <w:proofErr w:type="gramEnd"/>
      <w:r>
        <w:fldChar w:fldCharType="begin"/>
      </w:r>
      <w:r>
        <w:instrText xml:space="preserve"> SEQ Fig._ \* ARABIC \s 1 </w:instrText>
      </w:r>
      <w:r>
        <w:fldChar w:fldCharType="separate"/>
      </w:r>
      <w:r w:rsidR="00A218AF">
        <w:rPr>
          <w:noProof/>
        </w:rPr>
        <w:t>7</w:t>
      </w:r>
      <w:r>
        <w:fldChar w:fldCharType="end"/>
      </w:r>
      <w:r>
        <w:t xml:space="preserve">.  </w:t>
      </w:r>
      <w:r w:rsidRPr="00160DCE">
        <w:t xml:space="preserve">Federal Guidance Report 13 </w:t>
      </w:r>
      <w:r>
        <w:t>r</w:t>
      </w:r>
      <w:r w:rsidRPr="00160DCE">
        <w:t xml:space="preserve">isk </w:t>
      </w:r>
      <w:r>
        <w:t>c</w:t>
      </w:r>
      <w:r w:rsidRPr="00160DCE">
        <w:t>oefficients.</w:t>
      </w:r>
      <w:bookmarkEnd w:id="59"/>
      <w:r>
        <w:t xml:space="preserve">  </w:t>
      </w:r>
    </w:p>
    <w:p w:rsidR="00CD3F77" w:rsidRDefault="00CD3F77" w:rsidP="00CD3F77">
      <w:pPr>
        <w:pStyle w:val="Caption"/>
        <w:jc w:val="left"/>
      </w:pPr>
    </w:p>
    <w:p w:rsidR="00CD3F77" w:rsidRPr="00BC7D38" w:rsidRDefault="00CD3F77" w:rsidP="00CD3F77"/>
    <w:p w:rsidR="00CD3F77" w:rsidRPr="006E601B" w:rsidRDefault="00CD3F77" w:rsidP="00CD3F77">
      <w:pPr>
        <w:pStyle w:val="Heading2"/>
        <w:spacing w:before="0"/>
        <w:ind w:left="979" w:hanging="979"/>
      </w:pPr>
      <w:bookmarkStart w:id="60" w:name="_Toc355177431"/>
      <w:r w:rsidRPr="006E601B">
        <w:t>E</w:t>
      </w:r>
      <w:r>
        <w:t xml:space="preserve">lement </w:t>
      </w:r>
      <w:r w:rsidRPr="006E601B">
        <w:t>D</w:t>
      </w:r>
      <w:r>
        <w:t>ata</w:t>
      </w:r>
      <w:bookmarkEnd w:id="60"/>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Element Data</w:t>
      </w:r>
      <w:r w:rsidRPr="00DA647C">
        <w:rPr>
          <w:rFonts w:cs="Times New Roman"/>
        </w:rPr>
        <w:t xml:space="preserve"> </w:t>
      </w:r>
      <w:r>
        <w:rPr>
          <w:rFonts w:cs="Times New Roman"/>
        </w:rPr>
        <w:t>collection of the T</w:t>
      </w:r>
      <w:r w:rsidRPr="00DA647C">
        <w:rPr>
          <w:rFonts w:cs="Times New Roman"/>
        </w:rPr>
        <w:t>oolbox provides access to interaction coefficients for alpha, electron, photon</w:t>
      </w:r>
      <w:r>
        <w:rPr>
          <w:rFonts w:cs="Times New Roman"/>
        </w:rPr>
        <w:t>,</w:t>
      </w:r>
      <w:r w:rsidRPr="00DA647C">
        <w:rPr>
          <w:rFonts w:cs="Times New Roman"/>
        </w:rPr>
        <w:t xml:space="preserve"> and neutron radiations in passing through elemental absorbers (Fig. 2.8). The user may select the type</w:t>
      </w:r>
      <w:r>
        <w:rPr>
          <w:rFonts w:cs="Times New Roman"/>
        </w:rPr>
        <w:t xml:space="preserve"> </w:t>
      </w:r>
      <w:r w:rsidRPr="00DA647C">
        <w:rPr>
          <w:rFonts w:cs="Times New Roman"/>
        </w:rPr>
        <w:t xml:space="preserve">of data (coefficient) for display and its units. Once the data table (Fig. 2.8) is displayed, the data may be plotted (Fig. 2.9) as a function of energy, by double clicking on the data column of interest. The entire table may be exported to Excel. Coefficients are not available for every element or for each radiation type. The photon cross section, alpha, and electron data are from Berger </w:t>
      </w:r>
      <w:r w:rsidRPr="00DA647C">
        <w:rPr>
          <w:rFonts w:cs="Times New Roman"/>
          <w:i/>
        </w:rPr>
        <w:t>et al.</w:t>
      </w:r>
      <w:r w:rsidRPr="00DA647C">
        <w:rPr>
          <w:rFonts w:cs="Times New Roman"/>
        </w:rPr>
        <w:t xml:space="preserve"> (1999, 2005). The parameters of the geometric progression (GP) form of the photon build-up factor (</w:t>
      </w:r>
      <w:proofErr w:type="spellStart"/>
      <w:r>
        <w:rPr>
          <w:rFonts w:cs="Times New Roman"/>
        </w:rPr>
        <w:t>Harina</w:t>
      </w:r>
      <w:proofErr w:type="spellEnd"/>
      <w:r>
        <w:rPr>
          <w:rFonts w:cs="Times New Roman"/>
        </w:rPr>
        <w:t xml:space="preserve">, 1983; </w:t>
      </w:r>
      <w:r w:rsidRPr="00DA647C">
        <w:rPr>
          <w:rFonts w:cs="Times New Roman"/>
        </w:rPr>
        <w:t xml:space="preserve">Harima </w:t>
      </w:r>
      <w:r w:rsidRPr="00DA647C">
        <w:rPr>
          <w:rFonts w:cs="Times New Roman"/>
          <w:i/>
        </w:rPr>
        <w:t>et al</w:t>
      </w:r>
      <w:r w:rsidRPr="00DA647C">
        <w:rPr>
          <w:rFonts w:cs="Times New Roman"/>
        </w:rPr>
        <w:t>.</w:t>
      </w:r>
      <w:r>
        <w:rPr>
          <w:rFonts w:cs="Times New Roman"/>
        </w:rPr>
        <w:t>,</w:t>
      </w:r>
      <w:r w:rsidRPr="00DA647C">
        <w:rPr>
          <w:rFonts w:cs="Times New Roman"/>
        </w:rPr>
        <w:t xml:space="preserve"> 19</w:t>
      </w:r>
      <w:r>
        <w:rPr>
          <w:rFonts w:cs="Times New Roman"/>
        </w:rPr>
        <w:t>86</w:t>
      </w:r>
      <w:r w:rsidRPr="00DA647C">
        <w:rPr>
          <w:rFonts w:cs="Times New Roman"/>
        </w:rPr>
        <w:t xml:space="preserve">) are from ANSI Standard 6.4 (1991). The user can display the parameter values or a table of the buildup factors for photon of energy between 0.015 and 15 MeV at distances ranging from 0.5 to 60 mean free paths (MFP). The </w:t>
      </w:r>
      <w:r w:rsidRPr="00DA647C">
        <w:rPr>
          <w:rFonts w:cs="Times New Roman"/>
          <w:i/>
        </w:rPr>
        <w:t>Photon Buildup</w:t>
      </w:r>
      <w:r w:rsidRPr="00DA647C">
        <w:rPr>
          <w:rFonts w:cs="Times New Roman"/>
        </w:rPr>
        <w:t xml:space="preserve"> folder contains a graphic of the equation for the GP build-up factor. The </w:t>
      </w:r>
      <w:r>
        <w:rPr>
          <w:rFonts w:cs="Times New Roman"/>
        </w:rPr>
        <w:t xml:space="preserve">photon and neutron </w:t>
      </w:r>
      <w:proofErr w:type="spellStart"/>
      <w:r w:rsidRPr="00DA647C">
        <w:rPr>
          <w:rFonts w:cs="Times New Roman"/>
        </w:rPr>
        <w:t>kerma</w:t>
      </w:r>
      <w:proofErr w:type="spellEnd"/>
      <w:r w:rsidRPr="00DA647C">
        <w:rPr>
          <w:rFonts w:cs="Times New Roman"/>
        </w:rPr>
        <w:t xml:space="preserve"> coefficients were taken from KERMAL, RSICC package DLC-143 </w:t>
      </w:r>
      <w:r>
        <w:rPr>
          <w:rFonts w:cs="Times New Roman"/>
        </w:rPr>
        <w:t>(</w:t>
      </w:r>
      <w:proofErr w:type="spellStart"/>
      <w:r w:rsidRPr="00DA647C">
        <w:rPr>
          <w:rFonts w:cs="Times New Roman"/>
        </w:rPr>
        <w:t>Howerton</w:t>
      </w:r>
      <w:proofErr w:type="spellEnd"/>
      <w:r>
        <w:rPr>
          <w:rFonts w:cs="Times New Roman"/>
        </w:rPr>
        <w:t xml:space="preserve">, </w:t>
      </w:r>
      <w:r w:rsidRPr="00DA647C">
        <w:rPr>
          <w:rFonts w:cs="Times New Roman"/>
        </w:rPr>
        <w:t>1986a</w:t>
      </w:r>
      <w:r>
        <w:rPr>
          <w:rFonts w:cs="Times New Roman"/>
        </w:rPr>
        <w:t xml:space="preserve">, </w:t>
      </w:r>
      <w:r w:rsidRPr="00DA647C">
        <w:rPr>
          <w:rFonts w:cs="Times New Roman"/>
        </w:rPr>
        <w:t>1986b).</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Atomic Mass</w:t>
      </w:r>
      <w:r w:rsidRPr="00DA647C">
        <w:rPr>
          <w:rFonts w:cs="Times New Roman"/>
        </w:rPr>
        <w:t xml:space="preserve"> folder of the </w:t>
      </w:r>
      <w:r w:rsidRPr="00DA647C">
        <w:rPr>
          <w:rFonts w:cs="Times New Roman"/>
          <w:i/>
        </w:rPr>
        <w:t>Element Data</w:t>
      </w:r>
      <w:r w:rsidRPr="00DA647C">
        <w:rPr>
          <w:rFonts w:cs="Times New Roman"/>
        </w:rPr>
        <w:t xml:space="preserve"> </w:t>
      </w:r>
      <w:r>
        <w:rPr>
          <w:rFonts w:cs="Times New Roman"/>
        </w:rPr>
        <w:t>collection</w:t>
      </w:r>
      <w:r w:rsidRPr="00DA647C">
        <w:rPr>
          <w:rFonts w:cs="Times New Roman"/>
        </w:rPr>
        <w:t xml:space="preserve"> provides access to atomic mass and isotopic abundance data. These data, which can be exported to Excel, are from </w:t>
      </w:r>
      <w:proofErr w:type="spellStart"/>
      <w:r w:rsidRPr="00DA647C">
        <w:rPr>
          <w:rFonts w:cs="Times New Roman"/>
        </w:rPr>
        <w:t>Coursey</w:t>
      </w:r>
      <w:proofErr w:type="spellEnd"/>
      <w:r w:rsidRPr="00DA647C">
        <w:rPr>
          <w:rFonts w:cs="Times New Roman"/>
        </w:rPr>
        <w:t xml:space="preserve"> </w:t>
      </w:r>
      <w:r w:rsidRPr="00DA647C">
        <w:rPr>
          <w:rFonts w:cs="Times New Roman"/>
          <w:i/>
        </w:rPr>
        <w:t>et al.</w:t>
      </w:r>
      <w:r w:rsidRPr="00DA647C">
        <w:rPr>
          <w:rFonts w:cs="Times New Roman"/>
        </w:rPr>
        <w:t xml:space="preserve"> (2001). Stable, primordial, and </w:t>
      </w:r>
      <w:proofErr w:type="spellStart"/>
      <w:r w:rsidRPr="00DA647C">
        <w:rPr>
          <w:rFonts w:cs="Times New Roman"/>
        </w:rPr>
        <w:t>cosmogenic</w:t>
      </w:r>
      <w:proofErr w:type="spellEnd"/>
      <w:r w:rsidRPr="00DA647C">
        <w:rPr>
          <w:rFonts w:cs="Times New Roman"/>
        </w:rPr>
        <w:t xml:space="preserve"> radioactive isotopes are marked with a colored background. This information was abstracted from the 16</w:t>
      </w:r>
      <w:r w:rsidRPr="00DA647C">
        <w:rPr>
          <w:rFonts w:cs="Times New Roman"/>
          <w:vertAlign w:val="superscript"/>
        </w:rPr>
        <w:t>th</w:t>
      </w:r>
      <w:r w:rsidRPr="00DA647C">
        <w:rPr>
          <w:rFonts w:cs="Times New Roman"/>
        </w:rPr>
        <w:t xml:space="preserve"> edition of the </w:t>
      </w:r>
      <w:r w:rsidRPr="00DA647C">
        <w:rPr>
          <w:rFonts w:cs="Times New Roman"/>
          <w:i/>
        </w:rPr>
        <w:t>Chart of the Nuclides</w:t>
      </w:r>
      <w:r w:rsidRPr="00DA647C">
        <w:rPr>
          <w:rFonts w:cs="Times New Roman"/>
        </w:rPr>
        <w:t xml:space="preserve"> (Baum </w:t>
      </w:r>
      <w:r w:rsidRPr="00DA647C">
        <w:rPr>
          <w:rFonts w:cs="Times New Roman"/>
          <w:i/>
        </w:rPr>
        <w:t>et al.</w:t>
      </w:r>
      <w:r>
        <w:rPr>
          <w:rFonts w:cs="Times New Roman"/>
          <w:i/>
        </w:rPr>
        <w:t>,</w:t>
      </w:r>
      <w:r w:rsidRPr="00DA647C">
        <w:rPr>
          <w:rFonts w:cs="Times New Roman"/>
        </w:rPr>
        <w:t xml:space="preserve"> 2002).</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Centered"/>
        <w:keepNext/>
      </w:pPr>
      <w:r>
        <w:rPr>
          <w:noProof/>
        </w:rPr>
        <w:lastRenderedPageBreak/>
        <w:drawing>
          <wp:inline distT="0" distB="0" distL="0" distR="0" wp14:anchorId="00A68300" wp14:editId="0EFC580B">
            <wp:extent cx="4498848"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98848" cy="3657600"/>
                    </a:xfrm>
                    <a:prstGeom prst="rect">
                      <a:avLst/>
                    </a:prstGeom>
                  </pic:spPr>
                </pic:pic>
              </a:graphicData>
            </a:graphic>
          </wp:inline>
        </w:drawing>
      </w:r>
    </w:p>
    <w:p w:rsidR="00CD3F77" w:rsidRDefault="00CD3F77" w:rsidP="00CD3F77">
      <w:pPr>
        <w:pStyle w:val="Caption"/>
      </w:pPr>
      <w:bookmarkStart w:id="61" w:name="_Toc355177558"/>
      <w:proofErr w:type="gramStart"/>
      <w:r>
        <w:t>Fig. 2.</w:t>
      </w:r>
      <w:proofErr w:type="gramEnd"/>
      <w:r>
        <w:fldChar w:fldCharType="begin"/>
      </w:r>
      <w:r>
        <w:instrText xml:space="preserve"> SEQ Fig._ \* ARABIC \s 1 </w:instrText>
      </w:r>
      <w:r>
        <w:fldChar w:fldCharType="separate"/>
      </w:r>
      <w:r w:rsidR="00A218AF">
        <w:rPr>
          <w:noProof/>
        </w:rPr>
        <w:t>8</w:t>
      </w:r>
      <w:r>
        <w:fldChar w:fldCharType="end"/>
      </w:r>
      <w:r>
        <w:t xml:space="preserve">.  </w:t>
      </w:r>
      <w:proofErr w:type="gramStart"/>
      <w:r>
        <w:t>The initial screen for element data collection.</w:t>
      </w:r>
      <w:bookmarkEnd w:id="61"/>
      <w:proofErr w:type="gramEnd"/>
      <w:r>
        <w:t xml:space="preserve">  </w:t>
      </w:r>
    </w:p>
    <w:p w:rsidR="00CD3F77" w:rsidRPr="001B7671" w:rsidRDefault="00CD3F77" w:rsidP="00CD3F77"/>
    <w:p w:rsidR="00CD3F77" w:rsidRDefault="00CD3F77" w:rsidP="00CD3F77">
      <w:pPr>
        <w:pStyle w:val="noindent"/>
      </w:pPr>
    </w:p>
    <w:p w:rsidR="00CD3F77" w:rsidRDefault="00CD3F77" w:rsidP="00CD3F77">
      <w:pPr>
        <w:pStyle w:val="Base"/>
        <w:keepNext/>
        <w:jc w:val="center"/>
      </w:pPr>
      <w:r>
        <w:rPr>
          <w:noProof/>
        </w:rPr>
        <w:drawing>
          <wp:inline distT="0" distB="0" distL="0" distR="0" wp14:anchorId="01CA4497" wp14:editId="47B60260">
            <wp:extent cx="4572000" cy="37124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0" cy="3712464"/>
                    </a:xfrm>
                    <a:prstGeom prst="rect">
                      <a:avLst/>
                    </a:prstGeom>
                  </pic:spPr>
                </pic:pic>
              </a:graphicData>
            </a:graphic>
          </wp:inline>
        </w:drawing>
      </w:r>
    </w:p>
    <w:p w:rsidR="00CD3F77" w:rsidRDefault="00CD3F77" w:rsidP="00CD3F77">
      <w:pPr>
        <w:pStyle w:val="Caption"/>
      </w:pPr>
      <w:bookmarkStart w:id="62" w:name="_Toc355177559"/>
      <w:proofErr w:type="gramStart"/>
      <w:r>
        <w:t>Fig. 2.</w:t>
      </w:r>
      <w:proofErr w:type="gramEnd"/>
      <w:r>
        <w:fldChar w:fldCharType="begin"/>
      </w:r>
      <w:r>
        <w:instrText xml:space="preserve"> SEQ Fig._ \* ARABIC \s 1 </w:instrText>
      </w:r>
      <w:r>
        <w:fldChar w:fldCharType="separate"/>
      </w:r>
      <w:r w:rsidR="00A218AF">
        <w:rPr>
          <w:noProof/>
        </w:rPr>
        <w:t>9</w:t>
      </w:r>
      <w:r>
        <w:fldChar w:fldCharType="end"/>
      </w:r>
      <w:r>
        <w:t xml:space="preserve">.  </w:t>
      </w:r>
      <w:proofErr w:type="gramStart"/>
      <w:r>
        <w:t>An example of a data table for actinium (Ac).</w:t>
      </w:r>
      <w:bookmarkEnd w:id="62"/>
      <w:proofErr w:type="gramEnd"/>
      <w:r>
        <w:t xml:space="preserve">  </w:t>
      </w:r>
    </w:p>
    <w:p w:rsidR="00CD3F77" w:rsidRPr="00A81684" w:rsidRDefault="00CD3F77" w:rsidP="00CD3F77">
      <w:pPr>
        <w:pStyle w:val="Caption"/>
      </w:pPr>
      <w:r>
        <w:rPr>
          <w:noProof/>
        </w:rPr>
        <w:lastRenderedPageBreak/>
        <mc:AlternateContent>
          <mc:Choice Requires="wps">
            <w:drawing>
              <wp:anchor distT="0" distB="0" distL="114300" distR="114300" simplePos="0" relativeHeight="251666432" behindDoc="0" locked="0" layoutInCell="1" allowOverlap="1" wp14:anchorId="2C85F0D6" wp14:editId="29750D46">
                <wp:simplePos x="0" y="0"/>
                <wp:positionH relativeFrom="column">
                  <wp:posOffset>332740</wp:posOffset>
                </wp:positionH>
                <wp:positionV relativeFrom="paragraph">
                  <wp:posOffset>3726815</wp:posOffset>
                </wp:positionV>
                <wp:extent cx="4857750" cy="353060"/>
                <wp:effectExtent l="0" t="0" r="0" b="889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0" cy="353060"/>
                        </a:xfrm>
                        <a:prstGeom prst="rect">
                          <a:avLst/>
                        </a:prstGeom>
                        <a:solidFill>
                          <a:prstClr val="white"/>
                        </a:solidFill>
                        <a:ln>
                          <a:noFill/>
                        </a:ln>
                        <a:effectLst/>
                      </wps:spPr>
                      <wps:txbx>
                        <w:txbxContent>
                          <w:p w:rsidR="004677BE" w:rsidRDefault="004677BE" w:rsidP="00CD3F77">
                            <w:pPr>
                              <w:pStyle w:val="Caption"/>
                            </w:pPr>
                            <w:bookmarkStart w:id="63" w:name="_Toc355177560"/>
                            <w:proofErr w:type="gramStart"/>
                            <w:r>
                              <w:t>Fig. 2.</w:t>
                            </w:r>
                            <w:proofErr w:type="gramEnd"/>
                            <w:r>
                              <w:fldChar w:fldCharType="begin"/>
                            </w:r>
                            <w:r>
                              <w:instrText xml:space="preserve"> SEQ Fig._ \* ARABIC \s 1 </w:instrText>
                            </w:r>
                            <w:r>
                              <w:fldChar w:fldCharType="separate"/>
                            </w:r>
                            <w:r w:rsidR="00A218AF">
                              <w:rPr>
                                <w:noProof/>
                              </w:rPr>
                              <w:t>10</w:t>
                            </w:r>
                            <w:r>
                              <w:rPr>
                                <w:noProof/>
                              </w:rPr>
                              <w:fldChar w:fldCharType="end"/>
                            </w:r>
                            <w:r>
                              <w:t xml:space="preserve">.  </w:t>
                            </w:r>
                            <w:proofErr w:type="gramStart"/>
                            <w:r>
                              <w:t>An example data plot.</w:t>
                            </w:r>
                            <w:bookmarkEnd w:id="63"/>
                            <w:proofErr w:type="gramEnd"/>
                            <w:r>
                              <w:t xml:space="preserve">  </w:t>
                            </w:r>
                          </w:p>
                          <w:p w:rsidR="004677BE" w:rsidRPr="007D15AF" w:rsidRDefault="004677BE" w:rsidP="00CD3F77">
                            <w:pPr>
                              <w:pStyle w:val="Caption"/>
                              <w:jc w:val="left"/>
                              <w:rPr>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7" o:spid="_x0000_s1026" type="#_x0000_t202" style="position:absolute;left:0;text-align:left;margin-left:26.2pt;margin-top:293.45pt;width:382.5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" stroked="f">
                <v:path arrowok="t"/>
                <v:textbox inset="0,0,0,0">
                  <w:txbxContent>
                    <w:p w:rsidR="004677BE" w:rsidRDefault="004677BE" w:rsidP="00CD3F77">
                      <w:pPr>
                        <w:pStyle w:val="Caption"/>
                      </w:pPr>
                      <w:bookmarkStart w:id="64" w:name="_Toc355177560"/>
                      <w:proofErr w:type="gramStart"/>
                      <w:r>
                        <w:t>Fig. 2.</w:t>
                      </w:r>
                      <w:proofErr w:type="gramEnd"/>
                      <w:r>
                        <w:fldChar w:fldCharType="begin"/>
                      </w:r>
                      <w:r>
                        <w:instrText xml:space="preserve"> SEQ Fig._ \* ARABIC \s 1 </w:instrText>
                      </w:r>
                      <w:r>
                        <w:fldChar w:fldCharType="separate"/>
                      </w:r>
                      <w:r w:rsidR="00A218AF">
                        <w:rPr>
                          <w:noProof/>
                        </w:rPr>
                        <w:t>10</w:t>
                      </w:r>
                      <w:r>
                        <w:rPr>
                          <w:noProof/>
                        </w:rPr>
                        <w:fldChar w:fldCharType="end"/>
                      </w:r>
                      <w:r>
                        <w:t xml:space="preserve">.  </w:t>
                      </w:r>
                      <w:proofErr w:type="gramStart"/>
                      <w:r>
                        <w:t>An example data plot.</w:t>
                      </w:r>
                      <w:bookmarkEnd w:id="64"/>
                      <w:proofErr w:type="gramEnd"/>
                      <w:r>
                        <w:t xml:space="preserve">  </w:t>
                      </w:r>
                    </w:p>
                    <w:p w:rsidR="004677BE" w:rsidRPr="007D15AF" w:rsidRDefault="004677BE" w:rsidP="00CD3F77">
                      <w:pPr>
                        <w:pStyle w:val="Caption"/>
                        <w:jc w:val="left"/>
                        <w:rPr>
                          <w:noProof/>
                          <w:sz w:val="22"/>
                        </w:rPr>
                      </w:pPr>
                    </w:p>
                  </w:txbxContent>
                </v:textbox>
              </v:shape>
            </w:pict>
          </mc:Fallback>
        </mc:AlternateContent>
      </w:r>
      <w:r>
        <w:rPr>
          <w:noProof/>
        </w:rPr>
        <w:drawing>
          <wp:inline distT="0" distB="0" distL="0" distR="0" wp14:anchorId="0A8AED81" wp14:editId="0EC634C0">
            <wp:extent cx="4440382" cy="37268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3984" cy="3729896"/>
                    </a:xfrm>
                    <a:prstGeom prst="rect">
                      <a:avLst/>
                    </a:prstGeom>
                  </pic:spPr>
                </pic:pic>
              </a:graphicData>
            </a:graphic>
          </wp:inline>
        </w:drawing>
      </w:r>
    </w:p>
    <w:p w:rsidR="00CD3F77" w:rsidRPr="00A81684" w:rsidRDefault="00CD3F77" w:rsidP="00CD3F77">
      <w:pPr>
        <w:pStyle w:val="Caption"/>
        <w:jc w:val="left"/>
      </w:pPr>
    </w:p>
    <w:p w:rsidR="00CD3F77" w:rsidRDefault="00CD3F77" w:rsidP="00CD3F77">
      <w:pPr>
        <w:pStyle w:val="Base"/>
        <w:keepNext/>
        <w:ind w:firstLine="0"/>
        <w:jc w:val="both"/>
        <w:rPr>
          <w:rFonts w:ascii="Times New Roman" w:hAnsi="Times New Roman" w:cs="Times New Roman"/>
          <w:b/>
        </w:rPr>
      </w:pPr>
    </w:p>
    <w:p w:rsidR="00CD3F77" w:rsidRPr="00DA647C" w:rsidRDefault="00CD3F77" w:rsidP="00CD3F77">
      <w:pPr>
        <w:pStyle w:val="Base"/>
        <w:keepNext/>
        <w:ind w:firstLine="0"/>
        <w:jc w:val="both"/>
        <w:rPr>
          <w:rFonts w:ascii="Times New Roman" w:hAnsi="Times New Roman" w:cs="Times New Roman"/>
          <w:b/>
        </w:rPr>
      </w:pPr>
    </w:p>
    <w:p w:rsidR="00CD3F77" w:rsidRPr="006E601B" w:rsidRDefault="00CD3F77" w:rsidP="00CD3F77">
      <w:pPr>
        <w:pStyle w:val="Heading2"/>
        <w:spacing w:before="0"/>
        <w:ind w:left="979" w:hanging="979"/>
      </w:pPr>
      <w:bookmarkStart w:id="65" w:name="_Toc355177432"/>
      <w:r w:rsidRPr="006E601B">
        <w:t>M</w:t>
      </w:r>
      <w:r>
        <w:t xml:space="preserve">aterial </w:t>
      </w:r>
      <w:r w:rsidRPr="006E601B">
        <w:t>D</w:t>
      </w:r>
      <w:r>
        <w:t>ata</w:t>
      </w:r>
      <w:bookmarkEnd w:id="65"/>
      <w:r w:rsidRPr="006E601B">
        <w:t xml:space="preserve"> </w:t>
      </w:r>
    </w:p>
    <w:p w:rsidR="00CD3F77" w:rsidRPr="00910A7C" w:rsidRDefault="00CD3F77" w:rsidP="00CD3F77">
      <w:pPr>
        <w:pStyle w:val="StyleBaseTimesNewRoman12ptJustified"/>
        <w:keepNext/>
        <w:ind w:firstLine="0"/>
        <w:rPr>
          <w:rFonts w:cs="Times New Roman"/>
        </w:rPr>
      </w:pPr>
      <w:r w:rsidRPr="00910A7C">
        <w:rPr>
          <w:rFonts w:cs="Times New Roman"/>
        </w:rPr>
        <w:t xml:space="preserve">The </w:t>
      </w:r>
      <w:r w:rsidRPr="00833422">
        <w:rPr>
          <w:rFonts w:cs="Times New Roman"/>
          <w:i/>
        </w:rPr>
        <w:t>Material Data</w:t>
      </w:r>
      <w:r w:rsidRPr="00910A7C">
        <w:rPr>
          <w:rFonts w:cs="Times New Roman"/>
        </w:rPr>
        <w:t xml:space="preserve"> </w:t>
      </w:r>
      <w:r>
        <w:rPr>
          <w:rFonts w:cs="Times New Roman"/>
        </w:rPr>
        <w:t>collection</w:t>
      </w:r>
      <w:r w:rsidRPr="00910A7C">
        <w:rPr>
          <w:rFonts w:cs="Times New Roman"/>
        </w:rPr>
        <w:t xml:space="preserve"> (Fig. 2.11) provides access to various radiological properties of materials. Interaction and </w:t>
      </w:r>
      <w:proofErr w:type="spellStart"/>
      <w:r w:rsidRPr="00910A7C">
        <w:rPr>
          <w:rFonts w:cs="Times New Roman"/>
        </w:rPr>
        <w:t>kerma</w:t>
      </w:r>
      <w:proofErr w:type="spellEnd"/>
      <w:r w:rsidRPr="00910A7C">
        <w:rPr>
          <w:rFonts w:cs="Times New Roman"/>
        </w:rPr>
        <w:t xml:space="preserve"> coefficients for the materials (Berger </w:t>
      </w:r>
      <w:r w:rsidRPr="00833422">
        <w:rPr>
          <w:rFonts w:cs="Times New Roman"/>
          <w:i/>
        </w:rPr>
        <w:t>et al</w:t>
      </w:r>
      <w:r w:rsidRPr="00910A7C">
        <w:rPr>
          <w:rFonts w:cs="Times New Roman"/>
        </w:rPr>
        <w:t>.</w:t>
      </w:r>
      <w:r>
        <w:rPr>
          <w:rFonts w:cs="Times New Roman"/>
        </w:rPr>
        <w:t>,</w:t>
      </w:r>
      <w:r w:rsidRPr="00910A7C">
        <w:rPr>
          <w:rFonts w:cs="Times New Roman"/>
        </w:rPr>
        <w:t xml:space="preserve"> 2005) are derived using the elemental compositions specified by </w:t>
      </w:r>
      <w:proofErr w:type="spellStart"/>
      <w:r w:rsidRPr="00910A7C">
        <w:rPr>
          <w:rFonts w:cs="Times New Roman"/>
        </w:rPr>
        <w:t>Coursey</w:t>
      </w:r>
      <w:proofErr w:type="spellEnd"/>
      <w:r w:rsidRPr="00910A7C">
        <w:rPr>
          <w:rFonts w:cs="Times New Roman"/>
        </w:rPr>
        <w:t> e</w:t>
      </w:r>
      <w:r w:rsidRPr="00910A7C">
        <w:rPr>
          <w:rFonts w:cs="Times New Roman"/>
          <w:i/>
        </w:rPr>
        <w:t>t al</w:t>
      </w:r>
      <w:r w:rsidRPr="00910A7C">
        <w:rPr>
          <w:rFonts w:cs="Times New Roman"/>
        </w:rPr>
        <w:t xml:space="preserve">. (2001) </w:t>
      </w:r>
      <w:r>
        <w:rPr>
          <w:rFonts w:cs="Times New Roman"/>
        </w:rPr>
        <w:t xml:space="preserve">with reference to </w:t>
      </w:r>
      <w:proofErr w:type="spellStart"/>
      <w:r w:rsidRPr="00910A7C">
        <w:rPr>
          <w:rFonts w:cs="Times New Roman"/>
        </w:rPr>
        <w:t>Coplen</w:t>
      </w:r>
      <w:proofErr w:type="spellEnd"/>
      <w:r w:rsidRPr="00910A7C">
        <w:rPr>
          <w:rFonts w:cs="Times New Roman"/>
        </w:rPr>
        <w:t xml:space="preserve"> </w:t>
      </w:r>
      <w:r>
        <w:rPr>
          <w:rFonts w:cs="Times New Roman"/>
        </w:rPr>
        <w:t>(</w:t>
      </w:r>
      <w:r w:rsidRPr="00910A7C">
        <w:rPr>
          <w:rFonts w:cs="Times New Roman"/>
        </w:rPr>
        <w:t>2001</w:t>
      </w:r>
      <w:r>
        <w:rPr>
          <w:rFonts w:cs="Times New Roman"/>
        </w:rPr>
        <w:t xml:space="preserve">), </w:t>
      </w:r>
      <w:proofErr w:type="spellStart"/>
      <w:r w:rsidRPr="00910A7C">
        <w:rPr>
          <w:rFonts w:cs="Times New Roman"/>
        </w:rPr>
        <w:t>Rosman</w:t>
      </w:r>
      <w:proofErr w:type="spellEnd"/>
      <w:r w:rsidRPr="00910A7C">
        <w:rPr>
          <w:rFonts w:cs="Times New Roman"/>
        </w:rPr>
        <w:t xml:space="preserve"> and Taylor </w:t>
      </w:r>
      <w:r>
        <w:rPr>
          <w:rFonts w:cs="Times New Roman"/>
        </w:rPr>
        <w:t>(</w:t>
      </w:r>
      <w:r w:rsidRPr="00910A7C">
        <w:rPr>
          <w:rFonts w:cs="Times New Roman"/>
        </w:rPr>
        <w:t>1998</w:t>
      </w:r>
      <w:r>
        <w:rPr>
          <w:rFonts w:cs="Times New Roman"/>
        </w:rPr>
        <w:t>)</w:t>
      </w:r>
      <w:r w:rsidRPr="00910A7C">
        <w:rPr>
          <w:rFonts w:cs="Times New Roman"/>
        </w:rPr>
        <w:t xml:space="preserve"> and Audi and </w:t>
      </w:r>
      <w:proofErr w:type="spellStart"/>
      <w:r w:rsidRPr="00910A7C">
        <w:rPr>
          <w:rFonts w:cs="Times New Roman"/>
        </w:rPr>
        <w:t>Wapstra</w:t>
      </w:r>
      <w:proofErr w:type="spellEnd"/>
      <w:r w:rsidRPr="00910A7C">
        <w:rPr>
          <w:rFonts w:cs="Times New Roman"/>
        </w:rPr>
        <w:t xml:space="preserve"> </w:t>
      </w:r>
      <w:r>
        <w:rPr>
          <w:rFonts w:cs="Times New Roman"/>
        </w:rPr>
        <w:t>(</w:t>
      </w:r>
      <w:r w:rsidRPr="00910A7C">
        <w:rPr>
          <w:rFonts w:cs="Times New Roman"/>
        </w:rPr>
        <w:t xml:space="preserve">1995). Within the </w:t>
      </w:r>
      <w:r w:rsidRPr="00910A7C">
        <w:rPr>
          <w:rFonts w:cs="Times New Roman"/>
          <w:i/>
        </w:rPr>
        <w:t>Composition</w:t>
      </w:r>
      <w:r w:rsidRPr="00910A7C">
        <w:rPr>
          <w:rFonts w:cs="Times New Roman"/>
        </w:rPr>
        <w:t xml:space="preserve"> folder the elemental composition and assume </w:t>
      </w:r>
      <w:r w:rsidRPr="00A368D5">
        <w:rPr>
          <w:rFonts w:cs="Times New Roman"/>
        </w:rPr>
        <w:t>density</w:t>
      </w:r>
      <w:r w:rsidRPr="00910A7C">
        <w:rPr>
          <w:rFonts w:cs="Times New Roman"/>
        </w:rPr>
        <w:t xml:space="preserve"> of the material can be viewed and exported. In addition, the PNNL-15870 compendium of material compositions (Williams </w:t>
      </w:r>
      <w:r w:rsidRPr="00833422">
        <w:rPr>
          <w:rFonts w:cs="Times New Roman"/>
          <w:i/>
        </w:rPr>
        <w:t>et al</w:t>
      </w:r>
      <w:r w:rsidRPr="00910A7C">
        <w:rPr>
          <w:rFonts w:cs="Times New Roman"/>
        </w:rPr>
        <w:t>.</w:t>
      </w:r>
      <w:r>
        <w:rPr>
          <w:rFonts w:cs="Times New Roman"/>
        </w:rPr>
        <w:t>,</w:t>
      </w:r>
      <w:r w:rsidRPr="00910A7C">
        <w:rPr>
          <w:rFonts w:cs="Times New Roman"/>
        </w:rPr>
        <w:t xml:space="preserve"> 2006)</w:t>
      </w:r>
      <w:r>
        <w:rPr>
          <w:rFonts w:cs="Times New Roman"/>
        </w:rPr>
        <w:t xml:space="preserve"> </w:t>
      </w:r>
      <w:r w:rsidRPr="00910A7C">
        <w:rPr>
          <w:rFonts w:cs="Times New Roman"/>
        </w:rPr>
        <w:t xml:space="preserve">tabulated for use in radiation transport modeling </w:t>
      </w:r>
      <w:r>
        <w:rPr>
          <w:rFonts w:cs="Times New Roman"/>
        </w:rPr>
        <w:t>is available for viewing</w:t>
      </w:r>
      <w:r w:rsidRPr="00910A7C">
        <w:rPr>
          <w:rFonts w:cs="Times New Roman"/>
        </w:rPr>
        <w:t xml:space="preserve">. The material definitions in the </w:t>
      </w:r>
      <w:proofErr w:type="spellStart"/>
      <w:r w:rsidRPr="00910A7C">
        <w:rPr>
          <w:rFonts w:cs="Times New Roman"/>
        </w:rPr>
        <w:t>kerma</w:t>
      </w:r>
      <w:proofErr w:type="spellEnd"/>
      <w:r w:rsidRPr="00910A7C">
        <w:rPr>
          <w:rFonts w:cs="Times New Roman"/>
        </w:rPr>
        <w:t xml:space="preserve"> references (</w:t>
      </w:r>
      <w:proofErr w:type="spellStart"/>
      <w:r w:rsidRPr="00910A7C">
        <w:rPr>
          <w:rFonts w:cs="Times New Roman"/>
        </w:rPr>
        <w:t>Howerton</w:t>
      </w:r>
      <w:proofErr w:type="spellEnd"/>
      <w:r w:rsidRPr="00910A7C">
        <w:rPr>
          <w:rFonts w:cs="Times New Roman"/>
        </w:rPr>
        <w:t xml:space="preserve">, 1986a, 1986b) are not used. </w:t>
      </w:r>
      <w:r>
        <w:rPr>
          <w:rFonts w:cs="Times New Roman"/>
        </w:rPr>
        <w:t xml:space="preserve">As </w:t>
      </w:r>
      <w:proofErr w:type="spellStart"/>
      <w:r w:rsidRPr="00910A7C">
        <w:rPr>
          <w:rFonts w:cs="Times New Roman"/>
        </w:rPr>
        <w:t>kerma</w:t>
      </w:r>
      <w:proofErr w:type="spellEnd"/>
      <w:r w:rsidRPr="00910A7C">
        <w:rPr>
          <w:rFonts w:cs="Times New Roman"/>
        </w:rPr>
        <w:t xml:space="preserve"> values were only available for element of atomic numbers less than 30, </w:t>
      </w:r>
      <w:r>
        <w:rPr>
          <w:rFonts w:cs="Times New Roman"/>
        </w:rPr>
        <w:t xml:space="preserve">only </w:t>
      </w:r>
      <w:r w:rsidRPr="00910A7C">
        <w:rPr>
          <w:rFonts w:cs="Times New Roman"/>
        </w:rPr>
        <w:t xml:space="preserve">materials composed of these elements </w:t>
      </w:r>
      <w:r>
        <w:rPr>
          <w:rFonts w:cs="Times New Roman"/>
        </w:rPr>
        <w:t xml:space="preserve">can be </w:t>
      </w:r>
      <w:r w:rsidRPr="00910A7C">
        <w:rPr>
          <w:rFonts w:cs="Times New Roman"/>
        </w:rPr>
        <w:t>considered.</w:t>
      </w:r>
      <w:r>
        <w:rPr>
          <w:rFonts w:cs="Times New Roman"/>
        </w:rPr>
        <w:t xml:space="preserve"> </w:t>
      </w:r>
      <w:r w:rsidRPr="00910A7C">
        <w:rPr>
          <w:rFonts w:cs="Times New Roman"/>
        </w:rPr>
        <w:t>In computing the coefficients, the isotopes of the composition were assumed to be either the natural occurring isotope or the most abundant isotope of the element. The</w:t>
      </w:r>
      <w:r>
        <w:rPr>
          <w:rFonts w:cs="Times New Roman"/>
        </w:rPr>
        <w:t xml:space="preserve"> interaction and </w:t>
      </w:r>
      <w:proofErr w:type="spellStart"/>
      <w:r>
        <w:rPr>
          <w:rFonts w:cs="Times New Roman"/>
        </w:rPr>
        <w:t>kerma</w:t>
      </w:r>
      <w:proofErr w:type="spellEnd"/>
      <w:r>
        <w:rPr>
          <w:rFonts w:cs="Times New Roman"/>
        </w:rPr>
        <w:t xml:space="preserve"> coefficients can </w:t>
      </w:r>
      <w:r w:rsidRPr="00910A7C">
        <w:rPr>
          <w:rFonts w:cs="Times New Roman"/>
        </w:rPr>
        <w:t>be exported to Excel spreadsheets.</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64E256C8" wp14:editId="5A2816DD">
            <wp:extent cx="4498848"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98848" cy="3657600"/>
                    </a:xfrm>
                    <a:prstGeom prst="rect">
                      <a:avLst/>
                    </a:prstGeom>
                  </pic:spPr>
                </pic:pic>
              </a:graphicData>
            </a:graphic>
          </wp:inline>
        </w:drawing>
      </w:r>
    </w:p>
    <w:p w:rsidR="00CD3F77" w:rsidRPr="00A81684" w:rsidRDefault="00CD3F77" w:rsidP="00CD3F77">
      <w:pPr>
        <w:pStyle w:val="Caption"/>
      </w:pPr>
      <w:bookmarkStart w:id="66" w:name="_Toc355177561"/>
      <w:proofErr w:type="gramStart"/>
      <w:r>
        <w:t>Fig. 2.</w:t>
      </w:r>
      <w:proofErr w:type="gramEnd"/>
      <w:r>
        <w:fldChar w:fldCharType="begin"/>
      </w:r>
      <w:r>
        <w:instrText xml:space="preserve"> SEQ Fig._ \* ARABIC \s 1 </w:instrText>
      </w:r>
      <w:r>
        <w:fldChar w:fldCharType="separate"/>
      </w:r>
      <w:r w:rsidR="00A218AF">
        <w:rPr>
          <w:noProof/>
        </w:rPr>
        <w:t>11</w:t>
      </w:r>
      <w:r>
        <w:fldChar w:fldCharType="end"/>
      </w:r>
      <w:r>
        <w:t xml:space="preserve">.  </w:t>
      </w:r>
      <w:proofErr w:type="gramStart"/>
      <w:r w:rsidRPr="00A81684">
        <w:t>The initial screen for material data.</w:t>
      </w:r>
      <w:bookmarkEnd w:id="66"/>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Photon build-up factors (geometric progression GP form) are derived for materials following the procedure outlined by </w:t>
      </w:r>
      <w:proofErr w:type="spellStart"/>
      <w:r w:rsidRPr="00DA647C">
        <w:rPr>
          <w:rFonts w:cs="Times New Roman"/>
        </w:rPr>
        <w:t>Sidhu</w:t>
      </w:r>
      <w:proofErr w:type="spellEnd"/>
      <w:r w:rsidRPr="00DA647C">
        <w:rPr>
          <w:rFonts w:cs="Times New Roman"/>
        </w:rPr>
        <w:t xml:space="preserve"> </w:t>
      </w:r>
      <w:r w:rsidRPr="00DA647C">
        <w:rPr>
          <w:rFonts w:cs="Times New Roman"/>
          <w:i/>
        </w:rPr>
        <w:t>et al</w:t>
      </w:r>
      <w:r w:rsidRPr="00DA647C">
        <w:rPr>
          <w:rFonts w:cs="Times New Roman"/>
        </w:rPr>
        <w:t>. (1999, 2000). The procedure estimates the parameters of the GP form for the mixture using the parameters tabulated for the 23 elements specified in the ANSI standard (ANSI, 1964). The parameters of the GP form or a table of the build-up factors for photon of energy between 0.015 and 15 MeV at distance ranging from 0.5 to 60 mean-free paths (MFP) can be displayed and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t xml:space="preserve">Provisions are included in this release to enable the user to define a material and calculate its interaction coefficients. See Sect. 3.5 for an illustration of this feature. </w:t>
      </w:r>
    </w:p>
    <w:p w:rsidR="00CD3F77" w:rsidRPr="006E601B" w:rsidRDefault="00CD3F77" w:rsidP="00CD3F77">
      <w:pPr>
        <w:pStyle w:val="Heading2"/>
      </w:pPr>
      <w:bookmarkStart w:id="67" w:name="_Toc346102817"/>
      <w:bookmarkStart w:id="68" w:name="_Toc346102860"/>
      <w:bookmarkStart w:id="69" w:name="_Toc346102913"/>
      <w:bookmarkStart w:id="70" w:name="_Toc355177433"/>
      <w:bookmarkEnd w:id="67"/>
      <w:bookmarkEnd w:id="68"/>
      <w:bookmarkEnd w:id="69"/>
      <w:r w:rsidRPr="006E601B">
        <w:t>P</w:t>
      </w:r>
      <w:r>
        <w:t xml:space="preserve">ublic </w:t>
      </w:r>
      <w:r w:rsidRPr="006E601B">
        <w:t>E</w:t>
      </w:r>
      <w:r>
        <w:t xml:space="preserve">xposure </w:t>
      </w:r>
      <w:r w:rsidRPr="006E601B">
        <w:t>D</w:t>
      </w:r>
      <w:r>
        <w:t>ata</w:t>
      </w:r>
      <w:bookmarkEnd w:id="70"/>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Public Exposure Data</w:t>
      </w:r>
      <w:r w:rsidRPr="00DA647C">
        <w:rPr>
          <w:rFonts w:cs="Times New Roman"/>
        </w:rPr>
        <w:t xml:space="preserve"> </w:t>
      </w:r>
      <w:r>
        <w:rPr>
          <w:rFonts w:cs="Times New Roman"/>
        </w:rPr>
        <w:t xml:space="preserve">collection </w:t>
      </w:r>
      <w:r w:rsidRPr="00DA647C">
        <w:rPr>
          <w:rFonts w:cs="Times New Roman"/>
        </w:rPr>
        <w:t>(Fig. 2.12) contains data such as:</w:t>
      </w:r>
      <w:r w:rsidRPr="00DA647C">
        <w:rPr>
          <w:rFonts w:cs="Times New Roman"/>
        </w:rPr>
        <w:tab/>
      </w:r>
    </w:p>
    <w:p w:rsidR="00CD3F77" w:rsidRPr="00833422" w:rsidRDefault="00CD3F77" w:rsidP="00CD3F77">
      <w:pPr>
        <w:pStyle w:val="StyleBaseTimesNewRoman12ptJustified"/>
        <w:numPr>
          <w:ilvl w:val="0"/>
          <w:numId w:val="22"/>
        </w:numPr>
        <w:rPr>
          <w:rFonts w:cs="Times New Roman"/>
        </w:rPr>
      </w:pPr>
      <w:r w:rsidRPr="00833422">
        <w:rPr>
          <w:rFonts w:cs="Times New Roman"/>
        </w:rPr>
        <w:t>Natural Background Radiation</w:t>
      </w:r>
    </w:p>
    <w:p w:rsidR="00CD3F77" w:rsidRPr="00833422" w:rsidRDefault="00CD3F77" w:rsidP="00CD3F77">
      <w:pPr>
        <w:pStyle w:val="StyleBaseTimesNewRoman12ptJustified"/>
        <w:numPr>
          <w:ilvl w:val="0"/>
          <w:numId w:val="22"/>
        </w:numPr>
        <w:rPr>
          <w:rFonts w:cs="Times New Roman"/>
        </w:rPr>
      </w:pPr>
      <w:r w:rsidRPr="00833422">
        <w:rPr>
          <w:rFonts w:cs="Times New Roman"/>
        </w:rPr>
        <w:t>Background Radiation in the Body</w:t>
      </w:r>
    </w:p>
    <w:p w:rsidR="00CD3F77" w:rsidRPr="00833422" w:rsidRDefault="00CD3F77" w:rsidP="00CD3F77">
      <w:pPr>
        <w:pStyle w:val="StyleBaseTimesNewRoman12ptJustified"/>
        <w:numPr>
          <w:ilvl w:val="0"/>
          <w:numId w:val="22"/>
        </w:numPr>
        <w:rPr>
          <w:rFonts w:cs="Times New Roman"/>
        </w:rPr>
      </w:pPr>
      <w:r w:rsidRPr="00833422">
        <w:rPr>
          <w:rFonts w:cs="Times New Roman"/>
        </w:rPr>
        <w:t xml:space="preserve">Radionuclides in Materials </w:t>
      </w:r>
    </w:p>
    <w:p w:rsidR="00CD3F77" w:rsidRPr="00833422" w:rsidRDefault="00CD3F77" w:rsidP="00CD3F77">
      <w:pPr>
        <w:pStyle w:val="Base"/>
        <w:numPr>
          <w:ilvl w:val="0"/>
          <w:numId w:val="22"/>
        </w:numPr>
        <w:jc w:val="both"/>
        <w:rPr>
          <w:rFonts w:ascii="Times New Roman" w:hAnsi="Times New Roman" w:cs="Times New Roman"/>
        </w:rPr>
      </w:pPr>
      <w:r w:rsidRPr="00833422">
        <w:rPr>
          <w:rFonts w:ascii="Times New Roman" w:hAnsi="Times New Roman" w:cs="Times New Roman"/>
        </w:rPr>
        <w:t>Radionuclides in Devices</w:t>
      </w:r>
    </w:p>
    <w:p w:rsidR="00CD3F77" w:rsidRPr="00833422" w:rsidRDefault="00CD3F77" w:rsidP="00CD3F77">
      <w:pPr>
        <w:pStyle w:val="StyleBaseTimesNewRoman12ptJustified"/>
        <w:numPr>
          <w:ilvl w:val="0"/>
          <w:numId w:val="22"/>
        </w:numPr>
        <w:rPr>
          <w:rFonts w:cs="Times New Roman"/>
        </w:rPr>
      </w:pPr>
      <w:r w:rsidRPr="00833422">
        <w:rPr>
          <w:rFonts w:cs="Times New Roman"/>
        </w:rPr>
        <w:t>Primordial Radionuclides</w:t>
      </w:r>
    </w:p>
    <w:p w:rsidR="00CD3F77" w:rsidRPr="00833422" w:rsidRDefault="00CD3F77" w:rsidP="00CD3F77">
      <w:pPr>
        <w:pStyle w:val="StyleBaseTimesNewRoman12ptJustified"/>
        <w:numPr>
          <w:ilvl w:val="0"/>
          <w:numId w:val="22"/>
        </w:numPr>
        <w:rPr>
          <w:rFonts w:cs="Times New Roman"/>
        </w:rPr>
      </w:pPr>
      <w:r w:rsidRPr="00833422">
        <w:rPr>
          <w:rFonts w:cs="Times New Roman"/>
        </w:rPr>
        <w:t>Typical Exposures during Medical Procedures</w:t>
      </w:r>
    </w:p>
    <w:p w:rsidR="00CD3F77" w:rsidRPr="00DA647C" w:rsidRDefault="00CD3F77" w:rsidP="00CD3F77">
      <w:pPr>
        <w:pStyle w:val="StyleBaseTimesNewRoman12ptJustified"/>
        <w:ind w:firstLine="0"/>
        <w:rPr>
          <w:rFonts w:cs="Times New Roman"/>
        </w:rPr>
      </w:pPr>
    </w:p>
    <w:p w:rsidR="00CD3F77" w:rsidRPr="003B2139" w:rsidRDefault="00CD3F77" w:rsidP="00CD3F77">
      <w:pPr>
        <w:pStyle w:val="Base"/>
        <w:ind w:firstLine="0"/>
        <w:jc w:val="both"/>
        <w:rPr>
          <w:rFonts w:ascii="Times New Roman" w:hAnsi="Times New Roman" w:cs="Times New Roman"/>
          <w:b/>
        </w:rPr>
      </w:pPr>
      <w:r w:rsidRPr="003B2139">
        <w:rPr>
          <w:rFonts w:ascii="Times New Roman" w:hAnsi="Times New Roman" w:cs="Times New Roman"/>
        </w:rPr>
        <w:t>The annual dose from natural background radiation in the United States and radionuclides in the body are from Report 160 of the National Council on Radiation Protection and Measurement</w:t>
      </w:r>
      <w:r w:rsidRPr="003B2139">
        <w:rPr>
          <w:rFonts w:ascii="Times New Roman" w:hAnsi="Times New Roman" w:cs="Times New Roman"/>
          <w:sz w:val="24"/>
          <w:szCs w:val="24"/>
        </w:rPr>
        <w:t xml:space="preserve"> </w:t>
      </w:r>
      <w:r w:rsidRPr="003B2139">
        <w:rPr>
          <w:rFonts w:ascii="Times New Roman" w:hAnsi="Times New Roman" w:cs="Times New Roman"/>
        </w:rPr>
        <w:t>(NCRP</w:t>
      </w:r>
      <w:r>
        <w:rPr>
          <w:rFonts w:ascii="Times New Roman" w:hAnsi="Times New Roman" w:cs="Times New Roman"/>
        </w:rPr>
        <w:t>,</w:t>
      </w:r>
      <w:r w:rsidRPr="003B2139">
        <w:rPr>
          <w:rFonts w:ascii="Times New Roman" w:hAnsi="Times New Roman" w:cs="Times New Roman"/>
        </w:rPr>
        <w:t xml:space="preserve"> 2009). Information on radionuclides in material and the primordial radionuclides are from the Radiation</w:t>
      </w:r>
      <w:r w:rsidRPr="003B2139">
        <w:rPr>
          <w:rFonts w:ascii="Times New Roman" w:hAnsi="Times New Roman" w:cs="Times New Roman"/>
          <w:sz w:val="24"/>
          <w:szCs w:val="24"/>
        </w:rPr>
        <w:t xml:space="preserve"> </w:t>
      </w:r>
      <w:r w:rsidRPr="003B2139">
        <w:rPr>
          <w:rFonts w:ascii="Times New Roman" w:hAnsi="Times New Roman" w:cs="Times New Roman"/>
        </w:rPr>
        <w:t>Information Network (</w:t>
      </w:r>
      <w:hyperlink r:id="rId26" w:history="1">
        <w:r w:rsidRPr="003B2139">
          <w:rPr>
            <w:rStyle w:val="Hyperlink"/>
            <w:rFonts w:ascii="Times New Roman" w:hAnsi="Times New Roman" w:cs="Times New Roman"/>
          </w:rPr>
          <w:t>http://www.physics.isu.edu/radinf/</w:t>
        </w:r>
      </w:hyperlink>
      <w:r w:rsidRPr="003B2139">
        <w:rPr>
          <w:rFonts w:ascii="Times New Roman" w:hAnsi="Times New Roman" w:cs="Times New Roman"/>
        </w:rPr>
        <w:t xml:space="preserve">). The information on radionuclides in devices is </w:t>
      </w:r>
      <w:r w:rsidRPr="003B2139">
        <w:rPr>
          <w:rFonts w:ascii="Times New Roman" w:hAnsi="Times New Roman" w:cs="Times New Roman"/>
        </w:rPr>
        <w:lastRenderedPageBreak/>
        <w:t>from a report of the International Atomic Energy Agency (IAEA</w:t>
      </w:r>
      <w:r>
        <w:rPr>
          <w:rFonts w:ascii="Times New Roman" w:hAnsi="Times New Roman" w:cs="Times New Roman"/>
        </w:rPr>
        <w:t>,</w:t>
      </w:r>
      <w:r w:rsidRPr="003B2139">
        <w:rPr>
          <w:rFonts w:ascii="Times New Roman" w:hAnsi="Times New Roman" w:cs="Times New Roman"/>
        </w:rPr>
        <w:t xml:space="preserve"> 2003). The typical exposures during medical procedures are from the DOE Dose Range Graphic (the graphic is included in the Toolbox – see </w:t>
      </w:r>
      <w:r w:rsidRPr="003B2139">
        <w:rPr>
          <w:rFonts w:ascii="Times New Roman" w:hAnsi="Times New Roman" w:cs="Times New Roman"/>
          <w:i/>
        </w:rPr>
        <w:t>Supplemental Data</w:t>
      </w:r>
      <w:r w:rsidRPr="003B2139">
        <w:rPr>
          <w:rFonts w:ascii="Times New Roman" w:hAnsi="Times New Roman" w:cs="Times New Roman"/>
        </w:rPr>
        <w:t xml:space="preserve"> collection). The concentrations of radionuclides in materials are from Schneider </w:t>
      </w:r>
      <w:r w:rsidRPr="003B2139">
        <w:rPr>
          <w:rFonts w:ascii="Times New Roman" w:hAnsi="Times New Roman" w:cs="Times New Roman"/>
          <w:i/>
        </w:rPr>
        <w:t>et al.</w:t>
      </w:r>
      <w:r w:rsidRPr="003B2139">
        <w:rPr>
          <w:rFonts w:ascii="Times New Roman" w:hAnsi="Times New Roman" w:cs="Times New Roman"/>
        </w:rPr>
        <w:t xml:space="preserve"> (2001). The typical exposures during medical procedures are from </w:t>
      </w:r>
      <w:proofErr w:type="spellStart"/>
      <w:r w:rsidRPr="003B2139">
        <w:rPr>
          <w:rFonts w:ascii="Times New Roman" w:hAnsi="Times New Roman" w:cs="Times New Roman"/>
        </w:rPr>
        <w:t>Mettler</w:t>
      </w:r>
      <w:proofErr w:type="spellEnd"/>
      <w:r w:rsidRPr="003B2139">
        <w:rPr>
          <w:rFonts w:ascii="Times New Roman" w:hAnsi="Times New Roman" w:cs="Times New Roman"/>
        </w:rPr>
        <w:t xml:space="preserve"> </w:t>
      </w:r>
      <w:r w:rsidRPr="003B2139">
        <w:rPr>
          <w:rFonts w:ascii="Times New Roman" w:hAnsi="Times New Roman" w:cs="Times New Roman"/>
          <w:i/>
        </w:rPr>
        <w:t>et al.</w:t>
      </w:r>
      <w:r w:rsidRPr="003B2139">
        <w:rPr>
          <w:rFonts w:ascii="Times New Roman" w:hAnsi="Times New Roman" w:cs="Times New Roman"/>
        </w:rPr>
        <w:t xml:space="preserve"> (2010).</w:t>
      </w: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12ptJustified"/>
        <w:keepNext/>
        <w:ind w:firstLine="0"/>
        <w:jc w:val="center"/>
      </w:pPr>
      <w:r>
        <w:rPr>
          <w:noProof/>
        </w:rPr>
        <w:drawing>
          <wp:inline distT="0" distB="0" distL="0" distR="0" wp14:anchorId="4F01FED1" wp14:editId="1A996C4C">
            <wp:extent cx="4489704" cy="3657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89704" cy="3657600"/>
                    </a:xfrm>
                    <a:prstGeom prst="rect">
                      <a:avLst/>
                    </a:prstGeom>
                  </pic:spPr>
                </pic:pic>
              </a:graphicData>
            </a:graphic>
          </wp:inline>
        </w:drawing>
      </w:r>
    </w:p>
    <w:p w:rsidR="00CD3F77" w:rsidRPr="00A81684" w:rsidRDefault="00CD3F77" w:rsidP="00CD3F77">
      <w:pPr>
        <w:pStyle w:val="Caption"/>
      </w:pPr>
      <w:bookmarkStart w:id="71" w:name="_Toc355177562"/>
      <w:proofErr w:type="gramStart"/>
      <w:r>
        <w:t>Fig. 2.</w:t>
      </w:r>
      <w:proofErr w:type="gramEnd"/>
      <w:r>
        <w:fldChar w:fldCharType="begin"/>
      </w:r>
      <w:r>
        <w:instrText xml:space="preserve"> SEQ Fig._ \* ARABIC \s 1 </w:instrText>
      </w:r>
      <w:r>
        <w:fldChar w:fldCharType="separate"/>
      </w:r>
      <w:r w:rsidR="00A218AF">
        <w:rPr>
          <w:noProof/>
        </w:rPr>
        <w:t>12</w:t>
      </w:r>
      <w:r>
        <w:fldChar w:fldCharType="end"/>
      </w:r>
      <w:r>
        <w:t xml:space="preserve">.  </w:t>
      </w:r>
      <w:proofErr w:type="gramStart"/>
      <w:r w:rsidRPr="00A81684">
        <w:t>The initial screen for public exposure data</w:t>
      </w:r>
      <w:r>
        <w:t>.</w:t>
      </w:r>
      <w:bookmarkEnd w:id="71"/>
      <w:proofErr w:type="gramEnd"/>
      <w:r>
        <w:t xml:space="preserve">  </w:t>
      </w:r>
    </w:p>
    <w:p w:rsidR="00CD3F77" w:rsidRPr="00DA647C"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p>
    <w:p w:rsidR="00CD3F77" w:rsidRPr="006E601B" w:rsidRDefault="00CD3F77" w:rsidP="00CD3F77">
      <w:pPr>
        <w:pStyle w:val="Heading2"/>
      </w:pPr>
      <w:bookmarkStart w:id="72" w:name="_Toc355177434"/>
      <w:r w:rsidRPr="006E601B">
        <w:t>R</w:t>
      </w:r>
      <w:r>
        <w:t xml:space="preserve">adiation </w:t>
      </w:r>
      <w:r w:rsidRPr="006E601B">
        <w:t>F</w:t>
      </w:r>
      <w:r>
        <w:t>ield</w:t>
      </w:r>
      <w:r w:rsidRPr="006E601B">
        <w:t xml:space="preserve"> D</w:t>
      </w:r>
      <w:r>
        <w:t>ata</w:t>
      </w:r>
      <w:bookmarkEnd w:id="72"/>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Radiation Field Data</w:t>
      </w:r>
      <w:r w:rsidRPr="00DA647C">
        <w:rPr>
          <w:rFonts w:cs="Times New Roman"/>
        </w:rPr>
        <w:t xml:space="preserve"> </w:t>
      </w:r>
      <w:r>
        <w:rPr>
          <w:rFonts w:cs="Times New Roman"/>
        </w:rPr>
        <w:t>collection</w:t>
      </w:r>
      <w:r w:rsidRPr="00DA647C">
        <w:rPr>
          <w:rFonts w:cs="Times New Roman"/>
        </w:rPr>
        <w:t xml:space="preserve"> (Fig. 2.13) provides access to conversion coefficients for the operational quantities and organ dose coefficients for mono-energetic neutron and photon radiation fields. These data, compiled by a joint task group of ICRP and ICRU, were abstracted from ICRP Publication 74 (ICRP</w:t>
      </w:r>
      <w:r>
        <w:rPr>
          <w:rFonts w:cs="Times New Roman"/>
        </w:rPr>
        <w:t>,</w:t>
      </w:r>
      <w:r w:rsidRPr="00DA647C">
        <w:rPr>
          <w:rFonts w:cs="Times New Roman"/>
        </w:rPr>
        <w:t xml:space="preserve"> 1996). Organ dose coefficients are available for </w:t>
      </w:r>
      <w:proofErr w:type="spellStart"/>
      <w:r w:rsidRPr="00DA647C">
        <w:rPr>
          <w:rFonts w:cs="Times New Roman"/>
        </w:rPr>
        <w:t>antero-posterier</w:t>
      </w:r>
      <w:proofErr w:type="spellEnd"/>
      <w:r w:rsidRPr="00DA647C">
        <w:rPr>
          <w:rFonts w:cs="Times New Roman"/>
        </w:rPr>
        <w:t xml:space="preserve">, </w:t>
      </w:r>
      <w:proofErr w:type="spellStart"/>
      <w:r w:rsidRPr="00DA647C">
        <w:rPr>
          <w:rFonts w:cs="Times New Roman"/>
        </w:rPr>
        <w:t>postero-anterier</w:t>
      </w:r>
      <w:proofErr w:type="spellEnd"/>
      <w:r w:rsidRPr="00DA647C">
        <w:rPr>
          <w:rFonts w:cs="Times New Roman"/>
        </w:rPr>
        <w:t>, left-lateral, right-lateral, rotational, and isotropic exposure geometries. Graphics defining these geometries are displayed. Once a table of coefficients is displayed, the user may plot any data column by double-clicking on the column heading of the column. The entire table may be exported to Excel.</w:t>
      </w:r>
    </w:p>
    <w:p w:rsidR="00CD3F77" w:rsidRPr="006E601B" w:rsidRDefault="00CD3F77" w:rsidP="00CD3F77">
      <w:pPr>
        <w:pStyle w:val="StyleBaseTimesNewRoman12ptJustified"/>
        <w:rPr>
          <w:rFonts w:cs="Times New Roman"/>
          <w:sz w:val="24"/>
          <w:szCs w:val="24"/>
        </w:rPr>
      </w:pPr>
    </w:p>
    <w:p w:rsidR="00CD3F77" w:rsidRDefault="00CD3F77" w:rsidP="00CD3F77">
      <w:pPr>
        <w:pStyle w:val="Base"/>
        <w:keepNext/>
        <w:jc w:val="center"/>
      </w:pPr>
      <w:r>
        <w:rPr>
          <w:noProof/>
        </w:rPr>
        <w:lastRenderedPageBreak/>
        <w:drawing>
          <wp:inline distT="0" distB="0" distL="0" distR="0" wp14:anchorId="0ADC6752" wp14:editId="447461BF">
            <wp:extent cx="4498848"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8848" cy="3657600"/>
                    </a:xfrm>
                    <a:prstGeom prst="rect">
                      <a:avLst/>
                    </a:prstGeom>
                  </pic:spPr>
                </pic:pic>
              </a:graphicData>
            </a:graphic>
          </wp:inline>
        </w:drawing>
      </w:r>
    </w:p>
    <w:p w:rsidR="00CD3F77" w:rsidRPr="00A81684" w:rsidRDefault="00CD3F77" w:rsidP="00CD3F77">
      <w:pPr>
        <w:pStyle w:val="Caption"/>
      </w:pPr>
      <w:bookmarkStart w:id="73" w:name="_Toc355177563"/>
      <w:proofErr w:type="gramStart"/>
      <w:r>
        <w:t>Fig. 2.</w:t>
      </w:r>
      <w:proofErr w:type="gramEnd"/>
      <w:r>
        <w:fldChar w:fldCharType="begin"/>
      </w:r>
      <w:r>
        <w:instrText xml:space="preserve"> SEQ Fig._ \* ARABIC \s 1 </w:instrText>
      </w:r>
      <w:r>
        <w:fldChar w:fldCharType="separate"/>
      </w:r>
      <w:r w:rsidR="00A218AF">
        <w:rPr>
          <w:noProof/>
        </w:rPr>
        <w:t>13</w:t>
      </w:r>
      <w:r>
        <w:fldChar w:fldCharType="end"/>
      </w:r>
      <w:r>
        <w:t xml:space="preserve">.  </w:t>
      </w:r>
      <w:proofErr w:type="gramStart"/>
      <w:r w:rsidRPr="00A81684">
        <w:t>The initial screen for conversion coefficients for radiation fields.</w:t>
      </w:r>
      <w:bookmarkEnd w:id="73"/>
      <w:proofErr w:type="gramEnd"/>
      <w:r>
        <w:t xml:space="preserve">  </w:t>
      </w:r>
    </w:p>
    <w:p w:rsidR="00CD3F77" w:rsidRDefault="00CD3F77" w:rsidP="00CD3F77">
      <w:pPr>
        <w:pStyle w:val="StyleBaseTimesNewRoman12ptJustified"/>
        <w:ind w:hanging="180"/>
        <w:rPr>
          <w:rFonts w:cs="Times New Roman"/>
          <w:sz w:val="24"/>
          <w:szCs w:val="24"/>
        </w:rPr>
      </w:pPr>
    </w:p>
    <w:p w:rsidR="00CD3F77" w:rsidRPr="006E601B" w:rsidRDefault="00CD3F77" w:rsidP="00CD3F77">
      <w:pPr>
        <w:pStyle w:val="StyleBaseTimesNewRoman12ptJustified"/>
        <w:ind w:hanging="180"/>
        <w:rPr>
          <w:rFonts w:cs="Times New Roman"/>
          <w:sz w:val="24"/>
          <w:szCs w:val="24"/>
        </w:rPr>
      </w:pPr>
    </w:p>
    <w:p w:rsidR="00CD3F77" w:rsidRPr="006E601B" w:rsidRDefault="00CD3F77" w:rsidP="00CD3F77">
      <w:pPr>
        <w:pStyle w:val="Heading2"/>
        <w:spacing w:before="0" w:after="0"/>
      </w:pPr>
      <w:bookmarkStart w:id="74" w:name="_Toc355177435"/>
      <w:r w:rsidRPr="006E601B">
        <w:t>S</w:t>
      </w:r>
      <w:r>
        <w:t xml:space="preserve">upplemental </w:t>
      </w:r>
      <w:r w:rsidRPr="006E601B">
        <w:t>D</w:t>
      </w:r>
      <w:r>
        <w:t>ata</w:t>
      </w:r>
      <w:bookmarkEnd w:id="74"/>
      <w:r w:rsidRPr="006E601B">
        <w:t xml:space="preserve"> </w:t>
      </w:r>
    </w:p>
    <w:p w:rsidR="00CD3F77" w:rsidRPr="00DA647C" w:rsidRDefault="00CD3F77" w:rsidP="00CD3F77">
      <w:pPr>
        <w:pStyle w:val="StyleBaseTimesNewRoman12ptJustified"/>
        <w:keepNext/>
        <w:keepLines/>
        <w:widowControl/>
        <w:ind w:firstLine="0"/>
        <w:rPr>
          <w:rFonts w:cs="Times New Roman"/>
        </w:rPr>
      </w:pPr>
    </w:p>
    <w:p w:rsidR="00CD3F77" w:rsidRPr="00DA647C" w:rsidRDefault="00CD3F77" w:rsidP="00CD3F77">
      <w:pPr>
        <w:pStyle w:val="StyleBaseTimesNewRoman12ptJustified"/>
        <w:keepNext/>
        <w:keepLines/>
        <w:widowControl/>
        <w:ind w:firstLine="0"/>
        <w:rPr>
          <w:rFonts w:cs="Times New Roman"/>
        </w:rPr>
      </w:pPr>
      <w:r w:rsidRPr="00DA647C">
        <w:rPr>
          <w:rFonts w:cs="Times New Roman"/>
        </w:rPr>
        <w:t xml:space="preserve">The </w:t>
      </w:r>
      <w:r w:rsidRPr="00DA647C">
        <w:rPr>
          <w:rFonts w:cs="Times New Roman"/>
          <w:i/>
        </w:rPr>
        <w:t>Supplemental Data</w:t>
      </w:r>
      <w:r w:rsidRPr="00DA647C">
        <w:rPr>
          <w:rFonts w:cs="Times New Roman"/>
        </w:rPr>
        <w:t xml:space="preserve"> </w:t>
      </w:r>
      <w:r>
        <w:rPr>
          <w:rFonts w:cs="Times New Roman"/>
        </w:rPr>
        <w:t>collection</w:t>
      </w:r>
      <w:r w:rsidRPr="00DA647C">
        <w:rPr>
          <w:rFonts w:cs="Times New Roman"/>
        </w:rPr>
        <w:t xml:space="preserve"> (Fig. 2.14) provides access to other radiation and health physics data. This </w:t>
      </w:r>
      <w:r>
        <w:rPr>
          <w:rFonts w:cs="Times New Roman"/>
        </w:rPr>
        <w:t xml:space="preserve">collection </w:t>
      </w:r>
      <w:r w:rsidRPr="00DA647C">
        <w:rPr>
          <w:rFonts w:cs="Times New Roman"/>
        </w:rPr>
        <w:t>includes: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SI Units</w:t>
      </w:r>
    </w:p>
    <w:p w:rsidR="00CD3F77" w:rsidRPr="00833422" w:rsidRDefault="00CD3F77" w:rsidP="00CD3F77">
      <w:pPr>
        <w:pStyle w:val="Base"/>
        <w:keepNext/>
        <w:keepLines/>
        <w:widowControl/>
        <w:numPr>
          <w:ilvl w:val="0"/>
          <w:numId w:val="23"/>
        </w:numPr>
        <w:jc w:val="both"/>
        <w:rPr>
          <w:rFonts w:ascii="Times New Roman" w:hAnsi="Times New Roman" w:cs="Times New Roman"/>
        </w:rPr>
      </w:pPr>
      <w:r w:rsidRPr="00833422">
        <w:rPr>
          <w:rFonts w:ascii="Times New Roman" w:hAnsi="Times New Roman" w:cs="Times New Roman"/>
        </w:rPr>
        <w:t>Physical Constants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Conversion Factors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International Nuclear and Radiological Event Scale (INES)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Formulas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Web Pages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DOE Dose Ranges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Transport Package Regulations (A1/A2 Table)</w:t>
      </w:r>
    </w:p>
    <w:p w:rsidR="00CD3F77" w:rsidRPr="00DA647C" w:rsidRDefault="00CD3F77" w:rsidP="00CD3F77">
      <w:pPr>
        <w:pStyle w:val="StyleBaseTimesNewRoman12ptJustified"/>
        <w:keepNext/>
        <w:keepLines/>
        <w:widowControl/>
        <w:ind w:firstLine="0"/>
        <w:rPr>
          <w:rFonts w:cs="Times New Roman"/>
        </w:rPr>
      </w:pPr>
    </w:p>
    <w:p w:rsidR="00CD3F77" w:rsidRDefault="00CD3F77" w:rsidP="00CD3F77">
      <w:pPr>
        <w:pStyle w:val="StyleBaseTimesNewRoman12ptJustified"/>
        <w:ind w:firstLine="0"/>
        <w:rPr>
          <w:rFonts w:cs="Times New Roman"/>
          <w:sz w:val="24"/>
          <w:szCs w:val="24"/>
        </w:rPr>
      </w:pPr>
      <w:r w:rsidRPr="00DA647C">
        <w:rPr>
          <w:rFonts w:cs="Times New Roman"/>
        </w:rPr>
        <w:t xml:space="preserve">The </w:t>
      </w:r>
      <w:r w:rsidRPr="00DA647C">
        <w:rPr>
          <w:rFonts w:cs="Times New Roman"/>
          <w:i/>
        </w:rPr>
        <w:t>Physical Constants</w:t>
      </w:r>
      <w:r w:rsidRPr="00DA647C">
        <w:rPr>
          <w:rFonts w:cs="Times New Roman"/>
        </w:rPr>
        <w:t xml:space="preserve"> and </w:t>
      </w:r>
      <w:r w:rsidRPr="00DA647C">
        <w:rPr>
          <w:rFonts w:cs="Times New Roman"/>
          <w:i/>
        </w:rPr>
        <w:t>Conversion Factors</w:t>
      </w:r>
      <w:r w:rsidRPr="00DA647C">
        <w:rPr>
          <w:rFonts w:cs="Times New Roman"/>
        </w:rPr>
        <w:t xml:space="preserve"> may be exported to the clipboard by right-clicking on the desired numerical value. A simple web browser is available to view the web links. The discussion of SI units is abstracted from Baum </w:t>
      </w:r>
      <w:r w:rsidRPr="00DA647C">
        <w:rPr>
          <w:rFonts w:cs="Times New Roman"/>
          <w:i/>
        </w:rPr>
        <w:t>et al.</w:t>
      </w:r>
      <w:r w:rsidRPr="00DA647C">
        <w:rPr>
          <w:rFonts w:cs="Times New Roman"/>
        </w:rPr>
        <w:t xml:space="preserve"> (2002). </w:t>
      </w:r>
      <w:r w:rsidRPr="000B6E97">
        <w:rPr>
          <w:rFonts w:cs="Times New Roman"/>
        </w:rPr>
        <w:t xml:space="preserve">An extensive listing of physical constants </w:t>
      </w:r>
      <w:r>
        <w:rPr>
          <w:rFonts w:cs="Times New Roman"/>
        </w:rPr>
        <w:t>is</w:t>
      </w:r>
      <w:r w:rsidRPr="000B6E97">
        <w:rPr>
          <w:rFonts w:cs="Times New Roman"/>
        </w:rPr>
        <w:t xml:space="preserve"> available from NIST (</w:t>
      </w:r>
      <w:hyperlink r:id="rId29" w:history="1">
        <w:r w:rsidRPr="000B6E97">
          <w:rPr>
            <w:rStyle w:val="Hyperlink"/>
            <w:rFonts w:cs="Times New Roman"/>
          </w:rPr>
          <w:t>http://physics.nist.gov/constants</w:t>
        </w:r>
      </w:hyperlink>
      <w:r w:rsidRPr="000B6E97">
        <w:rPr>
          <w:rFonts w:cs="Times New Roman"/>
        </w:rPr>
        <w:t xml:space="preserve">). The unit conversion factors are from </w:t>
      </w:r>
      <w:proofErr w:type="spellStart"/>
      <w:r w:rsidRPr="000B6E97">
        <w:rPr>
          <w:rFonts w:cs="Times New Roman"/>
        </w:rPr>
        <w:t>Lide</w:t>
      </w:r>
      <w:proofErr w:type="spellEnd"/>
      <w:r w:rsidRPr="000B6E97">
        <w:rPr>
          <w:rFonts w:cs="Times New Roman"/>
        </w:rPr>
        <w:t xml:space="preserve"> (1997). The formula or equations are from various sources. The </w:t>
      </w:r>
      <w:r w:rsidRPr="000B6E97">
        <w:rPr>
          <w:rFonts w:cs="Times New Roman"/>
          <w:i/>
        </w:rPr>
        <w:t xml:space="preserve">DOE Dose Ranges </w:t>
      </w:r>
      <w:r w:rsidRPr="000B6E97">
        <w:rPr>
          <w:rFonts w:cs="Times New Roman"/>
        </w:rPr>
        <w:t>graphic was compiled by the DOE Office of Science to provide an “orders of magnitude” sense of radiation doses range from NCRP’s “Negligible Dose” to those of cancer radiotherapy. The graphic can be viewed in either SI or conventional units.</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3FD6B5A0" wp14:editId="2B02A1C7">
            <wp:extent cx="4489704" cy="3657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9704" cy="3657600"/>
                    </a:xfrm>
                    <a:prstGeom prst="rect">
                      <a:avLst/>
                    </a:prstGeom>
                  </pic:spPr>
                </pic:pic>
              </a:graphicData>
            </a:graphic>
          </wp:inline>
        </w:drawing>
      </w:r>
    </w:p>
    <w:p w:rsidR="00CD3F77" w:rsidRDefault="00CD3F77" w:rsidP="00CD3F77">
      <w:pPr>
        <w:pStyle w:val="Caption"/>
      </w:pPr>
      <w:bookmarkStart w:id="75" w:name="_Toc355177564"/>
      <w:proofErr w:type="gramStart"/>
      <w:r>
        <w:t>Fig. 2.</w:t>
      </w:r>
      <w:proofErr w:type="gramEnd"/>
      <w:r>
        <w:fldChar w:fldCharType="begin"/>
      </w:r>
      <w:r>
        <w:instrText xml:space="preserve"> SEQ Fig._ \* ARABIC \s 1 </w:instrText>
      </w:r>
      <w:r>
        <w:fldChar w:fldCharType="separate"/>
      </w:r>
      <w:r w:rsidR="00A218AF">
        <w:rPr>
          <w:noProof/>
        </w:rPr>
        <w:t>14</w:t>
      </w:r>
      <w:r>
        <w:fldChar w:fldCharType="end"/>
      </w:r>
      <w:r>
        <w:t xml:space="preserve">.  </w:t>
      </w:r>
      <w:proofErr w:type="gramStart"/>
      <w:r w:rsidRPr="00A81684">
        <w:t>The initial screen for supplemental data.</w:t>
      </w:r>
      <w:bookmarkEnd w:id="75"/>
      <w:proofErr w:type="gramEnd"/>
      <w:r>
        <w:t xml:space="preserve">  </w:t>
      </w:r>
    </w:p>
    <w:p w:rsidR="00CD3F77" w:rsidRPr="007214FB" w:rsidRDefault="00CD3F77" w:rsidP="00CD3F77"/>
    <w:p w:rsidR="00CD3F77" w:rsidRPr="00DA647C" w:rsidRDefault="00CD3F77" w:rsidP="00CD3F77">
      <w:pPr>
        <w:pStyle w:val="StyleBaseTimesNewRoman12ptJustified"/>
        <w:ind w:firstLine="0"/>
        <w:rPr>
          <w:rFonts w:cs="Times New Roman"/>
        </w:rPr>
      </w:pPr>
    </w:p>
    <w:p w:rsidR="00CD3F77" w:rsidRPr="00C56388" w:rsidRDefault="00CD3F77" w:rsidP="00CD3F77">
      <w:pPr>
        <w:pStyle w:val="StyleBaseTimesNewRoman12ptJustified"/>
        <w:ind w:firstLine="0"/>
        <w:rPr>
          <w:rFonts w:cs="Times New Roman"/>
        </w:rPr>
      </w:pPr>
      <w:r w:rsidRPr="00C56388">
        <w:rPr>
          <w:rFonts w:cs="Times New Roman"/>
        </w:rPr>
        <w:t xml:space="preserve">The INES tool for communicating the significance of nuclear and radiological events to the public in a consistent manner is provided. The IAEA coordinated the development of the scale with the OECD/NEA and the support of more than 60 </w:t>
      </w:r>
      <w:r>
        <w:rPr>
          <w:rFonts w:cs="Times New Roman"/>
        </w:rPr>
        <w:t>m</w:t>
      </w:r>
      <w:r w:rsidRPr="00C56388">
        <w:rPr>
          <w:rFonts w:cs="Times New Roman"/>
        </w:rPr>
        <w:t xml:space="preserve">ember </w:t>
      </w:r>
      <w:r>
        <w:rPr>
          <w:rFonts w:cs="Times New Roman"/>
        </w:rPr>
        <w:t>s</w:t>
      </w:r>
      <w:r w:rsidRPr="00C56388">
        <w:rPr>
          <w:rFonts w:cs="Times New Roman"/>
        </w:rPr>
        <w:t xml:space="preserve">tates. Further information and a user’s manual </w:t>
      </w:r>
      <w:proofErr w:type="gramStart"/>
      <w:r w:rsidRPr="00C56388">
        <w:rPr>
          <w:rFonts w:cs="Times New Roman"/>
        </w:rPr>
        <w:t>is</w:t>
      </w:r>
      <w:proofErr w:type="gramEnd"/>
      <w:r w:rsidRPr="00C56388">
        <w:rPr>
          <w:rFonts w:cs="Times New Roman"/>
        </w:rPr>
        <w:t xml:space="preserve"> available at </w:t>
      </w:r>
      <w:hyperlink r:id="rId31" w:history="1">
        <w:r w:rsidRPr="00C56388">
          <w:rPr>
            <w:rStyle w:val="Hyperlink"/>
            <w:rFonts w:cs="Times New Roman"/>
          </w:rPr>
          <w:t>http://gnssn.iaea.org/regnet/Pages/INES.aspx</w:t>
        </w:r>
      </w:hyperlink>
      <w:r w:rsidRPr="00C56388">
        <w:rPr>
          <w:rFonts w:cs="Times New Roman"/>
        </w:rPr>
        <w:t>.</w:t>
      </w:r>
    </w:p>
    <w:p w:rsidR="00CD3F77" w:rsidRPr="00C56388" w:rsidRDefault="00CD3F77" w:rsidP="00CD3F77">
      <w:pPr>
        <w:pStyle w:val="StyleBaseTimesNewRoman12ptJustified"/>
        <w:ind w:firstLine="0"/>
        <w:rPr>
          <w:rFonts w:cs="Times New Roman"/>
        </w:rPr>
      </w:pPr>
    </w:p>
    <w:p w:rsidR="00CD3F77" w:rsidRDefault="00CD3F77" w:rsidP="00CD3F77">
      <w:pPr>
        <w:pStyle w:val="StyleBaseTimesNewRoman12ptJustified"/>
        <w:ind w:firstLine="0"/>
        <w:rPr>
          <w:rFonts w:cs="Times New Roman"/>
        </w:rPr>
      </w:pPr>
      <w:r w:rsidRPr="00C56388">
        <w:rPr>
          <w:rFonts w:cs="Times New Roman"/>
        </w:rPr>
        <w:t xml:space="preserve">The transport package regulation consists of the </w:t>
      </w:r>
      <w:r w:rsidRPr="00C56388">
        <w:rPr>
          <w:rFonts w:cs="Times New Roman"/>
          <w:i/>
        </w:rPr>
        <w:t>A</w:t>
      </w:r>
      <w:r w:rsidRPr="00C56388">
        <w:rPr>
          <w:rFonts w:cs="Times New Roman"/>
          <w:vertAlign w:val="subscript"/>
        </w:rPr>
        <w:t>1</w:t>
      </w:r>
      <w:r w:rsidRPr="00C56388">
        <w:rPr>
          <w:rFonts w:cs="Times New Roman"/>
        </w:rPr>
        <w:t xml:space="preserve"> and </w:t>
      </w:r>
      <w:r w:rsidRPr="00C56388">
        <w:rPr>
          <w:rFonts w:cs="Times New Roman"/>
          <w:i/>
        </w:rPr>
        <w:t>A</w:t>
      </w:r>
      <w:r w:rsidRPr="00C56388">
        <w:rPr>
          <w:rFonts w:cs="Times New Roman"/>
          <w:vertAlign w:val="subscript"/>
        </w:rPr>
        <w:t>2</w:t>
      </w:r>
      <w:r w:rsidRPr="00C56388">
        <w:rPr>
          <w:rFonts w:cs="Times New Roman"/>
        </w:rPr>
        <w:t xml:space="preserve"> values for radionuclides from Appendix </w:t>
      </w:r>
      <w:proofErr w:type="gramStart"/>
      <w:r w:rsidRPr="00C56388">
        <w:rPr>
          <w:rFonts w:cs="Times New Roman"/>
        </w:rPr>
        <w:t>A</w:t>
      </w:r>
      <w:proofErr w:type="gramEnd"/>
      <w:r w:rsidRPr="00C56388">
        <w:rPr>
          <w:rFonts w:cs="Times New Roman"/>
        </w:rPr>
        <w:t xml:space="preserve"> of 10 CFR Part 71 (FR</w:t>
      </w:r>
      <w:r>
        <w:rPr>
          <w:rFonts w:cs="Times New Roman"/>
        </w:rPr>
        <w:t>,</w:t>
      </w:r>
      <w:r w:rsidRPr="00C56388">
        <w:rPr>
          <w:rFonts w:cs="Times New Roman"/>
        </w:rPr>
        <w:t xml:space="preserve"> 2004). The values are given in SI units, </w:t>
      </w:r>
      <w:proofErr w:type="spellStart"/>
      <w:r w:rsidRPr="00C56388">
        <w:rPr>
          <w:rFonts w:cs="Times New Roman"/>
        </w:rPr>
        <w:t>TBq</w:t>
      </w:r>
      <w:proofErr w:type="spellEnd"/>
      <w:r w:rsidRPr="00C56388">
        <w:rPr>
          <w:rFonts w:cs="Times New Roman"/>
        </w:rPr>
        <w:t xml:space="preserve"> (10</w:t>
      </w:r>
      <w:r w:rsidRPr="00C56388">
        <w:rPr>
          <w:rFonts w:cs="Times New Roman"/>
          <w:vertAlign w:val="superscript"/>
        </w:rPr>
        <w:t>12</w:t>
      </w:r>
      <w:r w:rsidRPr="00C56388">
        <w:rPr>
          <w:rFonts w:cs="Times New Roman"/>
        </w:rPr>
        <w:t xml:space="preserve"> </w:t>
      </w:r>
      <w:proofErr w:type="spellStart"/>
      <w:r w:rsidRPr="00C56388">
        <w:rPr>
          <w:rFonts w:cs="Times New Roman"/>
        </w:rPr>
        <w:t>Bq</w:t>
      </w:r>
      <w:proofErr w:type="spellEnd"/>
      <w:r w:rsidRPr="00C56388">
        <w:rPr>
          <w:rFonts w:cs="Times New Roman"/>
        </w:rPr>
        <w:t xml:space="preserve">), and conventional units, </w:t>
      </w:r>
      <w:proofErr w:type="spellStart"/>
      <w:r w:rsidRPr="00C56388">
        <w:rPr>
          <w:rFonts w:cs="Times New Roman"/>
        </w:rPr>
        <w:t>Ci</w:t>
      </w:r>
      <w:proofErr w:type="spellEnd"/>
      <w:r w:rsidRPr="00C56388">
        <w:rPr>
          <w:rFonts w:cs="Times New Roman"/>
        </w:rPr>
        <w:t xml:space="preserve">. The </w:t>
      </w:r>
      <w:r w:rsidRPr="00C56388">
        <w:rPr>
          <w:rFonts w:cs="Times New Roman"/>
          <w:i/>
        </w:rPr>
        <w:t>A</w:t>
      </w:r>
      <w:r w:rsidRPr="00C56388">
        <w:rPr>
          <w:rFonts w:cs="Times New Roman"/>
          <w:vertAlign w:val="subscript"/>
        </w:rPr>
        <w:t>1</w:t>
      </w:r>
      <w:r w:rsidRPr="00C56388">
        <w:rPr>
          <w:rFonts w:cs="Times New Roman"/>
        </w:rPr>
        <w:t xml:space="preserve"> value is the maximum activity of a special form of the radionuclide permitted in a Type </w:t>
      </w:r>
      <w:proofErr w:type="gramStart"/>
      <w:r w:rsidRPr="00C56388">
        <w:rPr>
          <w:rFonts w:cs="Times New Roman"/>
          <w:i/>
        </w:rPr>
        <w:t>A</w:t>
      </w:r>
      <w:proofErr w:type="gramEnd"/>
      <w:r w:rsidRPr="00C56388">
        <w:rPr>
          <w:rFonts w:cs="Times New Roman"/>
        </w:rPr>
        <w:t xml:space="preserve"> package. The </w:t>
      </w:r>
      <w:r w:rsidRPr="00C56388">
        <w:rPr>
          <w:rFonts w:cs="Times New Roman"/>
          <w:i/>
        </w:rPr>
        <w:t>A</w:t>
      </w:r>
      <w:r w:rsidRPr="00C56388">
        <w:rPr>
          <w:rFonts w:cs="Times New Roman"/>
          <w:vertAlign w:val="subscript"/>
        </w:rPr>
        <w:t>2</w:t>
      </w:r>
      <w:r w:rsidRPr="00C56388">
        <w:rPr>
          <w:rFonts w:cs="Times New Roman"/>
        </w:rPr>
        <w:t xml:space="preserve"> value is the maximum activity of a radionuclide, other than in a special form, that is permitted in a Type </w:t>
      </w:r>
      <w:proofErr w:type="gramStart"/>
      <w:r w:rsidRPr="00C56388">
        <w:rPr>
          <w:rFonts w:cs="Times New Roman"/>
          <w:i/>
        </w:rPr>
        <w:t>A</w:t>
      </w:r>
      <w:proofErr w:type="gramEnd"/>
      <w:r w:rsidRPr="00C56388">
        <w:rPr>
          <w:rFonts w:cs="Times New Roman"/>
        </w:rPr>
        <w:t xml:space="preserve"> package. A Type </w:t>
      </w:r>
      <w:r w:rsidRPr="00C56388">
        <w:rPr>
          <w:rFonts w:cs="Times New Roman"/>
          <w:i/>
        </w:rPr>
        <w:t>A</w:t>
      </w:r>
      <w:r w:rsidRPr="00C56388">
        <w:rPr>
          <w:rFonts w:cs="Times New Roman"/>
        </w:rPr>
        <w:t xml:space="preserve"> package is defined as a package complying with DOE regulations in 49 CFR Part 173.</w:t>
      </w:r>
    </w:p>
    <w:p w:rsidR="00CD3F77" w:rsidRDefault="00CD3F77" w:rsidP="00CD3F77">
      <w:pPr>
        <w:pStyle w:val="StyleBaseTimesNewRoman12ptJustified"/>
        <w:ind w:firstLine="0"/>
        <w:rPr>
          <w:rFonts w:cs="Times New Roman"/>
        </w:rPr>
        <w:sectPr w:rsidR="00CD3F77">
          <w:footerReference w:type="default" r:id="rId32"/>
          <w:footnotePr>
            <w:numFmt w:val="chicago"/>
            <w:numRestart w:val="eachPage"/>
          </w:footnotePr>
          <w:endnotePr>
            <w:numFmt w:val="decimal"/>
          </w:endnotePr>
          <w:pgSz w:w="12240" w:h="15840" w:code="1"/>
          <w:pgMar w:top="1440" w:right="1440" w:bottom="1440" w:left="1440" w:header="720" w:footer="720" w:gutter="0"/>
          <w:cols w:space="720"/>
        </w:sectPr>
      </w:pPr>
    </w:p>
    <w:p w:rsidR="00CD3F77" w:rsidRDefault="00CD3F77" w:rsidP="00CD3F77">
      <w:pPr>
        <w:rPr>
          <w:b/>
        </w:rPr>
      </w:pPr>
    </w:p>
    <w:p w:rsidR="00CD3F77" w:rsidRPr="006E601B" w:rsidRDefault="00CD3F77" w:rsidP="00CD3F77">
      <w:pPr>
        <w:pStyle w:val="Heading2"/>
        <w:numPr>
          <w:ilvl w:val="0"/>
          <w:numId w:val="0"/>
        </w:numPr>
        <w:jc w:val="center"/>
      </w:pPr>
      <w:bookmarkStart w:id="76" w:name="_Toc355177436"/>
      <w:r w:rsidRPr="006E601B">
        <w:t>3.</w:t>
      </w:r>
      <w:r>
        <w:t xml:space="preserve"> </w:t>
      </w:r>
      <w:r w:rsidRPr="006E601B">
        <w:t>HOW TO ACCESS RAD TOOLBOX FEATURES</w:t>
      </w:r>
      <w:bookmarkEnd w:id="76"/>
    </w:p>
    <w:p w:rsidR="00CD3F77" w:rsidRPr="00DA647C" w:rsidRDefault="00CD3F77" w:rsidP="00CD3F77">
      <w:pPr>
        <w:pStyle w:val="StyleBaseTimesNewRoman12ptJustified"/>
        <w:ind w:firstLine="0"/>
        <w:rPr>
          <w:rFonts w:cs="Times New Roman"/>
        </w:rPr>
      </w:pPr>
      <w:r w:rsidRPr="00DA647C">
        <w:rPr>
          <w:rFonts w:cs="Times New Roman"/>
        </w:rPr>
        <w:t>This section describes the use of some of the Rad Toolbox features.</w:t>
      </w:r>
    </w:p>
    <w:p w:rsidR="00CD3F77" w:rsidRPr="00FC237E" w:rsidRDefault="00CD3F77" w:rsidP="00CD3F77">
      <w:pPr>
        <w:pStyle w:val="Heading2"/>
        <w:numPr>
          <w:ilvl w:val="0"/>
          <w:numId w:val="0"/>
        </w:numPr>
      </w:pPr>
      <w:bookmarkStart w:id="77" w:name="_Toc355177437"/>
      <w:r w:rsidRPr="00FC237E">
        <w:t>3.1</w:t>
      </w:r>
      <w:r w:rsidRPr="00FC237E">
        <w:tab/>
        <w:t xml:space="preserve"> Use </w:t>
      </w:r>
      <w:proofErr w:type="gramStart"/>
      <w:r w:rsidRPr="00FC237E">
        <w:t>Of</w:t>
      </w:r>
      <w:proofErr w:type="gramEnd"/>
      <w:r w:rsidRPr="00FC237E">
        <w:t xml:space="preserve"> The Nuclide Input Grid In Requesting Dose Coefficients</w:t>
      </w:r>
      <w:bookmarkEnd w:id="77"/>
    </w:p>
    <w:p w:rsidR="00CD3F77" w:rsidRPr="00DA647C" w:rsidRDefault="00CD3F77" w:rsidP="00CD3F77">
      <w:pPr>
        <w:pStyle w:val="StyleBaseTimesNewRoman12ptJustified"/>
        <w:ind w:firstLine="0"/>
        <w:rPr>
          <w:rFonts w:cs="Times New Roman"/>
        </w:rPr>
      </w:pPr>
      <w:r w:rsidRPr="00DA647C">
        <w:rPr>
          <w:rFonts w:cs="Times New Roman"/>
        </w:rPr>
        <w:t xml:space="preserve">Dose coefficients can be requested for up to 20 radionuclides in a single query by either typing in the radionuclide name or select it from the choice list. The user can navigate the choice list by typing the first few characters of the selected name and then pressing </w:t>
      </w:r>
      <w:r w:rsidRPr="00DA647C">
        <w:rPr>
          <w:rFonts w:cs="Times New Roman"/>
          <w:i/>
        </w:rPr>
        <w:t>Enter</w:t>
      </w:r>
      <w:r w:rsidRPr="00DA647C">
        <w:rPr>
          <w:rFonts w:cs="Times New Roman"/>
        </w:rPr>
        <w:t>. If an invalid name (either misspelled or a radionuclide not in the database) is entered, an error message is displayed and that entry must be corrected or changed to a blank to continue. Always enter a name in the top cell of the list, but blank cells may exist between filled cells. The table displayed will not necessarily have the radionuclides in the order that they were entered.</w:t>
      </w:r>
    </w:p>
    <w:p w:rsidR="00CD3F77" w:rsidRPr="00FC237E" w:rsidRDefault="00CD3F77" w:rsidP="00CD3F77">
      <w:pPr>
        <w:pStyle w:val="Heading2"/>
        <w:numPr>
          <w:ilvl w:val="0"/>
          <w:numId w:val="0"/>
        </w:numPr>
        <w:ind w:left="547" w:hanging="547"/>
      </w:pPr>
      <w:bookmarkStart w:id="78" w:name="_Toc355177438"/>
      <w:r w:rsidRPr="00FC237E">
        <w:t xml:space="preserve">3.2 </w:t>
      </w:r>
      <w:r>
        <w:tab/>
      </w:r>
      <w:r w:rsidRPr="00FC237E">
        <w:t xml:space="preserve">Use </w:t>
      </w:r>
      <w:proofErr w:type="gramStart"/>
      <w:r w:rsidRPr="00FC237E">
        <w:t>Of</w:t>
      </w:r>
      <w:proofErr w:type="gramEnd"/>
      <w:r w:rsidRPr="00FC237E">
        <w:t xml:space="preserve"> The Choice Lists In Requesting Nuclide, Element, And Material Data</w:t>
      </w:r>
      <w:bookmarkEnd w:id="78"/>
    </w:p>
    <w:p w:rsidR="00CD3F77" w:rsidRPr="00DA647C" w:rsidRDefault="00CD3F77" w:rsidP="00CD3F77">
      <w:pPr>
        <w:pStyle w:val="StyleBaseTimesNewRoman12ptJustified"/>
        <w:ind w:firstLine="0"/>
        <w:rPr>
          <w:rFonts w:cs="Times New Roman"/>
        </w:rPr>
      </w:pPr>
      <w:r w:rsidRPr="00DA647C">
        <w:rPr>
          <w:rFonts w:cs="Times New Roman"/>
        </w:rPr>
        <w:t>For choice lists where a single item is to be selected, either type in the item name or select it from the choice list. The user can navigate the choice list by typing the first few characters of the selected name. If an invalid name is provided (either from misspelling or specifying an item not included in that database) an error message is displayed and the entry must be corrected to continue.</w:t>
      </w:r>
    </w:p>
    <w:p w:rsidR="00CD3F77" w:rsidRPr="00DA647C" w:rsidRDefault="00CD3F77" w:rsidP="00CD3F77">
      <w:pPr>
        <w:pStyle w:val="Base"/>
        <w:ind w:firstLine="0"/>
        <w:jc w:val="both"/>
        <w:rPr>
          <w:rFonts w:ascii="Times New Roman" w:hAnsi="Times New Roman" w:cs="Times New Roman"/>
          <w:b/>
        </w:rPr>
      </w:pPr>
    </w:p>
    <w:p w:rsidR="00CD3F77" w:rsidRPr="006E601B" w:rsidRDefault="00CD3F77" w:rsidP="00CD3F77">
      <w:pPr>
        <w:pStyle w:val="Heading2"/>
        <w:numPr>
          <w:ilvl w:val="0"/>
          <w:numId w:val="0"/>
        </w:numPr>
      </w:pPr>
      <w:bookmarkStart w:id="79" w:name="_Toc355177439"/>
      <w:r w:rsidRPr="006E601B">
        <w:t>3.3</w:t>
      </w:r>
      <w:r>
        <w:tab/>
      </w:r>
      <w:r w:rsidRPr="006E601B">
        <w:t xml:space="preserve"> H</w:t>
      </w:r>
      <w:r>
        <w:t>ow</w:t>
      </w:r>
      <w:r w:rsidRPr="006E601B">
        <w:t xml:space="preserve"> </w:t>
      </w:r>
      <w:r>
        <w:t>to</w:t>
      </w:r>
      <w:r w:rsidRPr="006E601B">
        <w:t xml:space="preserve"> E</w:t>
      </w:r>
      <w:r>
        <w:t>xport</w:t>
      </w:r>
      <w:r w:rsidRPr="006E601B">
        <w:t xml:space="preserve"> D</w:t>
      </w:r>
      <w:r>
        <w:t>ata</w:t>
      </w:r>
      <w:bookmarkEnd w:id="79"/>
    </w:p>
    <w:p w:rsidR="00CD3F77" w:rsidRPr="00DA647C" w:rsidRDefault="00CD3F77" w:rsidP="00CD3F77">
      <w:pPr>
        <w:pStyle w:val="Base"/>
        <w:ind w:firstLine="0"/>
        <w:jc w:val="both"/>
        <w:rPr>
          <w:rFonts w:ascii="Times New Roman" w:hAnsi="Times New Roman" w:cs="Times New Roman"/>
          <w:i/>
        </w:rPr>
      </w:pPr>
      <w:r w:rsidRPr="00DA647C">
        <w:rPr>
          <w:rFonts w:ascii="Times New Roman" w:hAnsi="Times New Roman" w:cs="Times New Roman"/>
          <w:i/>
        </w:rPr>
        <w:t>The export of data from the Rad Toolbox is possible only if Microsoft Excel has been installed.</w:t>
      </w:r>
    </w:p>
    <w:p w:rsidR="00CD3F77" w:rsidRPr="00DA647C" w:rsidRDefault="00CD3F77" w:rsidP="00CD3F77">
      <w:pPr>
        <w:pStyle w:val="StyleBaseTimesNewRoman"/>
        <w:ind w:firstLine="0"/>
        <w:jc w:val="both"/>
        <w:rPr>
          <w:rFonts w:cs="Times New Roman"/>
          <w:i/>
        </w:rPr>
      </w:pPr>
    </w:p>
    <w:p w:rsidR="00CD3F77" w:rsidRPr="00DA647C" w:rsidRDefault="00CD3F77" w:rsidP="00CD3F77">
      <w:pPr>
        <w:pStyle w:val="StyleBaseTimesNewRoman"/>
        <w:ind w:firstLine="0"/>
        <w:jc w:val="both"/>
        <w:rPr>
          <w:rFonts w:cs="Times New Roman"/>
          <w:i/>
        </w:rPr>
      </w:pPr>
      <w:r w:rsidRPr="00DA647C">
        <w:rPr>
          <w:rFonts w:cs="Times New Roman"/>
        </w:rPr>
        <w:t xml:space="preserve">An </w:t>
      </w:r>
      <w:r w:rsidRPr="00DA647C">
        <w:rPr>
          <w:rFonts w:cs="Times New Roman"/>
          <w:i/>
        </w:rPr>
        <w:t>Export</w:t>
      </w:r>
      <w:r w:rsidRPr="00DA647C">
        <w:rPr>
          <w:rFonts w:cs="Times New Roman"/>
        </w:rPr>
        <w:t xml:space="preserve"> button is available on each table that may be exported. The first time the </w:t>
      </w:r>
      <w:r w:rsidRPr="00DA647C">
        <w:rPr>
          <w:rFonts w:cs="Times New Roman"/>
          <w:i/>
        </w:rPr>
        <w:t xml:space="preserve">Export </w:t>
      </w:r>
      <w:r w:rsidRPr="00DA647C">
        <w:rPr>
          <w:rFonts w:cs="Times New Roman"/>
        </w:rPr>
        <w:t>button is pressed, a new Excel file is opened. The data in the displayed table are copied to the first sheet of the Excel file. If the Excel file remains open then additional exported data tables will be copied to the same sheet as the previously exported data. The new data will be positioned next to the previous data, with one blank column in between. If the Excel file is closed then the next request to export a data table results in a new Excel file. The Rad Toolbox will not export data to an existing Excel file.</w:t>
      </w:r>
    </w:p>
    <w:p w:rsidR="00CD3F77" w:rsidRPr="00FC237E" w:rsidRDefault="00CD3F77" w:rsidP="00CD3F77">
      <w:pPr>
        <w:pStyle w:val="Heading2"/>
        <w:numPr>
          <w:ilvl w:val="0"/>
          <w:numId w:val="0"/>
        </w:numPr>
      </w:pPr>
      <w:bookmarkStart w:id="80" w:name="_Toc355177440"/>
      <w:r w:rsidRPr="00FC237E">
        <w:t xml:space="preserve">3.4 </w:t>
      </w:r>
      <w:r>
        <w:tab/>
      </w:r>
      <w:r w:rsidRPr="00FC237E">
        <w:t xml:space="preserve">Use </w:t>
      </w:r>
      <w:proofErr w:type="gramStart"/>
      <w:r w:rsidRPr="00FC237E">
        <w:t>The</w:t>
      </w:r>
      <w:proofErr w:type="gramEnd"/>
      <w:r w:rsidRPr="00FC237E">
        <w:t xml:space="preserve"> Activity Feature In Dose Calculations For A Decay Chain</w:t>
      </w:r>
      <w:bookmarkEnd w:id="80"/>
      <w:r w:rsidRPr="00FC237E">
        <w:t xml:space="preserve"> </w:t>
      </w:r>
    </w:p>
    <w:p w:rsidR="00CD3F77" w:rsidRDefault="00CD3F77" w:rsidP="00CD3F77">
      <w:pPr>
        <w:pStyle w:val="StyleBaseTimesNewRoman"/>
        <w:ind w:firstLine="0"/>
        <w:jc w:val="both"/>
        <w:rPr>
          <w:rFonts w:cs="Times New Roman"/>
        </w:rPr>
      </w:pPr>
      <w:r w:rsidRPr="00DA647C">
        <w:rPr>
          <w:rFonts w:cs="Times New Roman"/>
        </w:rPr>
        <w:t xml:space="preserve">As an example, consider </w:t>
      </w:r>
      <w:r>
        <w:rPr>
          <w:rFonts w:cs="Times New Roman"/>
        </w:rPr>
        <w:t xml:space="preserve">the </w:t>
      </w:r>
      <w:r w:rsidRPr="00DA647C">
        <w:rPr>
          <w:rFonts w:cs="Times New Roman"/>
        </w:rPr>
        <w:t xml:space="preserve">calculation of the external dose rate one week post the deposition on the ground surface of pure Ra-226. The </w:t>
      </w:r>
      <w:r w:rsidRPr="00DA647C">
        <w:rPr>
          <w:rFonts w:cs="Times New Roman"/>
          <w:i/>
        </w:rPr>
        <w:t>Activity</w:t>
      </w:r>
      <w:r w:rsidRPr="00DA647C">
        <w:rPr>
          <w:rFonts w:cs="Times New Roman"/>
        </w:rPr>
        <w:t xml:space="preserve"> feature of the </w:t>
      </w:r>
      <w:r w:rsidRPr="00DA647C">
        <w:rPr>
          <w:rFonts w:cs="Times New Roman"/>
          <w:i/>
        </w:rPr>
        <w:t>Decay Data</w:t>
      </w:r>
      <w:r w:rsidRPr="00DA647C">
        <w:rPr>
          <w:rFonts w:cs="Times New Roman"/>
        </w:rPr>
        <w:t xml:space="preserve"> </w:t>
      </w:r>
      <w:r>
        <w:rPr>
          <w:rFonts w:cs="Times New Roman"/>
        </w:rPr>
        <w:t>collection</w:t>
      </w:r>
      <w:r w:rsidRPr="00DA647C">
        <w:rPr>
          <w:rFonts w:cs="Times New Roman"/>
        </w:rPr>
        <w:t xml:space="preserve"> can be used to compute the activity and time-integrated activity (s) or nuclear transformation of each chain members over a user-specified time (d) period. Fig. 16 shows such values. The activity data is selected by clicking on its column heading and pressing the</w:t>
      </w:r>
      <w:r w:rsidRPr="00DA647C">
        <w:rPr>
          <w:rFonts w:cs="Times New Roman"/>
          <w:i/>
        </w:rPr>
        <w:t xml:space="preserve"> Copy</w:t>
      </w:r>
      <w:r w:rsidRPr="00DA647C">
        <w:rPr>
          <w:rFonts w:cs="Times New Roman"/>
        </w:rPr>
        <w:t xml:space="preserve"> button.</w:t>
      </w:r>
    </w:p>
    <w:p w:rsidR="00CD3F77" w:rsidRPr="00DA647C" w:rsidRDefault="00CD3F77" w:rsidP="00CD3F77">
      <w:pPr>
        <w:pStyle w:val="StyleBaseTimesNewRoman"/>
        <w:ind w:firstLine="0"/>
        <w:jc w:val="both"/>
        <w:rPr>
          <w:rFonts w:cs="Times New Roman"/>
        </w:rPr>
      </w:pPr>
    </w:p>
    <w:p w:rsidR="00CD3F77" w:rsidRDefault="00CD3F77" w:rsidP="00CD3F77">
      <w:pPr>
        <w:pStyle w:val="Base"/>
        <w:keepNext/>
        <w:jc w:val="center"/>
      </w:pPr>
      <w:r>
        <w:rPr>
          <w:noProof/>
        </w:rPr>
        <w:lastRenderedPageBreak/>
        <w:drawing>
          <wp:inline distT="0" distB="0" distL="0" distR="0" wp14:anchorId="1F05234A" wp14:editId="2327991D">
            <wp:extent cx="274320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2148840"/>
                    </a:xfrm>
                    <a:prstGeom prst="rect">
                      <a:avLst/>
                    </a:prstGeom>
                  </pic:spPr>
                </pic:pic>
              </a:graphicData>
            </a:graphic>
          </wp:inline>
        </w:drawing>
      </w:r>
    </w:p>
    <w:p w:rsidR="00CD3F77" w:rsidRPr="00A81684" w:rsidRDefault="00CD3F77" w:rsidP="00CD3F77">
      <w:pPr>
        <w:pStyle w:val="Caption"/>
      </w:pPr>
      <w:bookmarkStart w:id="81" w:name="_Toc355177565"/>
      <w:proofErr w:type="gramStart"/>
      <w:r>
        <w:t xml:space="preserve">Fig. </w:t>
      </w:r>
      <w:proofErr w:type="gramEnd"/>
      <w:r>
        <w:t>3.</w:t>
      </w:r>
      <w:r w:rsidR="00A4509B">
        <w:t>1</w:t>
      </w:r>
      <w:bookmarkStart w:id="82" w:name="_GoBack"/>
      <w:bookmarkEnd w:id="82"/>
      <w:r>
        <w:t xml:space="preserve">.  </w:t>
      </w:r>
      <w:proofErr w:type="gramStart"/>
      <w:r w:rsidRPr="00A81684">
        <w:t>Activity and integrated activity at day 7 for Ra-226 chain.</w:t>
      </w:r>
      <w:bookmarkEnd w:id="81"/>
      <w:proofErr w:type="gramEnd"/>
      <w:r>
        <w:t xml:space="preserve">  </w:t>
      </w:r>
    </w:p>
    <w:p w:rsidR="00CD3F77"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p>
    <w:p w:rsidR="00CD3F77" w:rsidRDefault="00CD3F77" w:rsidP="00CD3F77">
      <w:pPr>
        <w:pStyle w:val="StyleBaseTimesNewRoman"/>
        <w:ind w:firstLine="0"/>
        <w:jc w:val="both"/>
        <w:rPr>
          <w:rFonts w:cs="Times New Roman"/>
        </w:rPr>
      </w:pPr>
      <w:r w:rsidRPr="00DA647C">
        <w:rPr>
          <w:rFonts w:cs="Times New Roman"/>
        </w:rPr>
        <w:t xml:space="preserve">The user then goes to 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selects the </w:t>
      </w:r>
      <w:r w:rsidRPr="00DA647C">
        <w:rPr>
          <w:rFonts w:cs="Times New Roman"/>
          <w:i/>
        </w:rPr>
        <w:t>Public External Coefficients</w:t>
      </w:r>
      <w:r w:rsidRPr="00DA647C">
        <w:rPr>
          <w:rFonts w:cs="Times New Roman"/>
        </w:rPr>
        <w:t xml:space="preserve"> folder, presses the </w:t>
      </w:r>
      <w:r w:rsidRPr="00DA647C">
        <w:rPr>
          <w:rFonts w:cs="Times New Roman"/>
          <w:i/>
        </w:rPr>
        <w:t>Paste Decay Results</w:t>
      </w:r>
      <w:r w:rsidRPr="00DA647C">
        <w:rPr>
          <w:rFonts w:cs="Times New Roman"/>
        </w:rPr>
        <w:t xml:space="preserve"> button, and selects </w:t>
      </w:r>
      <w:r w:rsidRPr="00DA647C">
        <w:rPr>
          <w:rFonts w:cs="Times New Roman"/>
          <w:i/>
        </w:rPr>
        <w:t>Ground Surface</w:t>
      </w:r>
      <w:r w:rsidRPr="00DA647C">
        <w:rPr>
          <w:rFonts w:cs="Times New Roman"/>
        </w:rPr>
        <w:t xml:space="preserve"> as the exposure mode. Pressing </w:t>
      </w:r>
      <w:r w:rsidRPr="00DA647C">
        <w:rPr>
          <w:rFonts w:cs="Times New Roman"/>
          <w:i/>
        </w:rPr>
        <w:t>Display</w:t>
      </w:r>
      <w:r w:rsidRPr="00DA647C">
        <w:rPr>
          <w:rFonts w:cs="Times New Roman"/>
        </w:rPr>
        <w:t xml:space="preserve"> provides a table of the contribution to dose of each chain member as seen in Fig. 3.2. Note the members of the chain may not be listed in the order of the decay chain. </w:t>
      </w:r>
      <w:r>
        <w:rPr>
          <w:rFonts w:cs="Times New Roman"/>
        </w:rPr>
        <w:t xml:space="preserve">Note: </w:t>
      </w:r>
      <w:r w:rsidRPr="00DA647C">
        <w:rPr>
          <w:rFonts w:cs="Times New Roman"/>
        </w:rPr>
        <w:t xml:space="preserve">To show the total column in Fig. 3.2, the display has been scrolled to the right. The values under the total column represent the dose rate (Sv/s) at day 7 post the initial deposition of 1 </w:t>
      </w:r>
      <w:proofErr w:type="spellStart"/>
      <w:r w:rsidRPr="00DA647C">
        <w:rPr>
          <w:rFonts w:cs="Times New Roman"/>
        </w:rPr>
        <w:t>Bq</w:t>
      </w:r>
      <w:proofErr w:type="spellEnd"/>
      <w:r w:rsidRPr="00DA647C">
        <w:rPr>
          <w:rFonts w:cs="Times New Roman"/>
        </w:rPr>
        <w:t>/m</w:t>
      </w:r>
      <w:r w:rsidRPr="00DA647C">
        <w:rPr>
          <w:rFonts w:cs="Times New Roman"/>
          <w:vertAlign w:val="superscript"/>
        </w:rPr>
        <w:t>2</w:t>
      </w:r>
      <w:r w:rsidRPr="00DA647C">
        <w:rPr>
          <w:rFonts w:cs="Times New Roman"/>
        </w:rPr>
        <w:t xml:space="preserve"> of pure Ra-226. This table can be exported to Excel.</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keepNext/>
        <w:jc w:val="center"/>
      </w:pPr>
      <w:r>
        <w:rPr>
          <w:noProof/>
        </w:rPr>
        <w:drawing>
          <wp:inline distT="0" distB="0" distL="0" distR="0" wp14:anchorId="4129AF19" wp14:editId="772F2972">
            <wp:extent cx="2551176" cy="384962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51176" cy="3849624"/>
                    </a:xfrm>
                    <a:prstGeom prst="rect">
                      <a:avLst/>
                    </a:prstGeom>
                  </pic:spPr>
                </pic:pic>
              </a:graphicData>
            </a:graphic>
          </wp:inline>
        </w:drawing>
      </w:r>
    </w:p>
    <w:p w:rsidR="00CD3F77" w:rsidRPr="00F4761D" w:rsidRDefault="00CD3F77" w:rsidP="00CD3F77">
      <w:pPr>
        <w:pStyle w:val="Caption"/>
      </w:pPr>
      <w:bookmarkStart w:id="83" w:name="_Toc355177566"/>
      <w:proofErr w:type="gramStart"/>
      <w:r>
        <w:t>Fig. 3.</w:t>
      </w:r>
      <w:r w:rsidR="00051B18">
        <w:t>2</w:t>
      </w:r>
      <w:r>
        <w:t>.</w:t>
      </w:r>
      <w:proofErr w:type="gramEnd"/>
      <w:r>
        <w:t xml:space="preserve">  </w:t>
      </w:r>
      <w:proofErr w:type="gramStart"/>
      <w:r w:rsidRPr="00F4761D">
        <w:t xml:space="preserve">The dose rate at day 7 post a deposition of 1 </w:t>
      </w:r>
      <w:proofErr w:type="spellStart"/>
      <w:r w:rsidRPr="00F4761D">
        <w:t>Bq</w:t>
      </w:r>
      <w:proofErr w:type="spellEnd"/>
      <w:r w:rsidRPr="00F4761D">
        <w:t>/m</w:t>
      </w:r>
      <w:r w:rsidRPr="00605512">
        <w:rPr>
          <w:rFonts w:ascii="Times New Roman Bold" w:hAnsi="Times New Roman Bold"/>
          <w:vertAlign w:val="superscript"/>
        </w:rPr>
        <w:t>2</w:t>
      </w:r>
      <w:r w:rsidRPr="00F4761D">
        <w:t xml:space="preserve"> of pure Ra-226.</w:t>
      </w:r>
      <w:bookmarkEnd w:id="83"/>
      <w:proofErr w:type="gramEnd"/>
      <w:r>
        <w:t xml:space="preserve">  </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Had the integrated activity (s) been pasted into the dose calculations the resultant numerical values would represe</w:t>
      </w:r>
      <w:r>
        <w:rPr>
          <w:rFonts w:cs="Times New Roman"/>
        </w:rPr>
        <w:t>nt the dose (Sv) over the seven-</w:t>
      </w:r>
      <w:r w:rsidRPr="00DA647C">
        <w:rPr>
          <w:rFonts w:cs="Times New Roman"/>
        </w:rPr>
        <w:t>day</w:t>
      </w:r>
      <w:r>
        <w:rPr>
          <w:rFonts w:cs="Times New Roman"/>
        </w:rPr>
        <w:t xml:space="preserve"> period</w:t>
      </w:r>
      <w:r w:rsidRPr="00DA647C">
        <w:rPr>
          <w:rFonts w:cs="Times New Roman"/>
        </w:rPr>
        <w:t xml:space="preserve"> </w:t>
      </w:r>
      <w:r>
        <w:rPr>
          <w:rFonts w:cs="Times New Roman"/>
        </w:rPr>
        <w:t xml:space="preserve">following the </w:t>
      </w:r>
      <w:r w:rsidRPr="00DA647C">
        <w:rPr>
          <w:rFonts w:cs="Times New Roman"/>
        </w:rPr>
        <w:t xml:space="preserve">initial deposition of 1 </w:t>
      </w:r>
      <w:proofErr w:type="spellStart"/>
      <w:r w:rsidRPr="00DA647C">
        <w:rPr>
          <w:rFonts w:cs="Times New Roman"/>
        </w:rPr>
        <w:t>Bq</w:t>
      </w:r>
      <w:proofErr w:type="spellEnd"/>
      <w:r w:rsidRPr="00DA647C">
        <w:rPr>
          <w:rFonts w:cs="Times New Roman"/>
        </w:rPr>
        <w:t>/m</w:t>
      </w:r>
      <w:r w:rsidRPr="00DA647C">
        <w:rPr>
          <w:rFonts w:cs="Times New Roman"/>
          <w:vertAlign w:val="superscript"/>
        </w:rPr>
        <w:t>2</w:t>
      </w:r>
      <w:r w:rsidRPr="00DA647C">
        <w:rPr>
          <w:rFonts w:cs="Times New Roman"/>
        </w:rPr>
        <w:t xml:space="preserve"> of Ra-226. </w:t>
      </w:r>
      <w:r>
        <w:rPr>
          <w:rFonts w:cs="Times New Roman"/>
        </w:rPr>
        <w:t>T</w:t>
      </w:r>
      <w:r w:rsidRPr="00DA647C">
        <w:rPr>
          <w:rFonts w:cs="Times New Roman"/>
        </w:rPr>
        <w:t>he display would</w:t>
      </w:r>
      <w:r>
        <w:rPr>
          <w:rFonts w:cs="Times New Roman"/>
        </w:rPr>
        <w:t xml:space="preserve"> </w:t>
      </w:r>
      <w:r w:rsidR="00051B18" w:rsidRPr="00DA647C">
        <w:rPr>
          <w:rFonts w:cs="Times New Roman"/>
        </w:rPr>
        <w:t>indicate</w:t>
      </w:r>
      <w:r w:rsidRPr="00DA647C">
        <w:rPr>
          <w:rFonts w:cs="Times New Roman"/>
        </w:rPr>
        <w:t xml:space="preserve"> dose rate (Sv/s) not dose (Sv)</w:t>
      </w:r>
      <w:r>
        <w:rPr>
          <w:rFonts w:cs="Times New Roman"/>
        </w:rPr>
        <w:t xml:space="preserve"> - t</w:t>
      </w:r>
      <w:r w:rsidRPr="00DA647C">
        <w:rPr>
          <w:rFonts w:cs="Times New Roman"/>
        </w:rPr>
        <w:t xml:space="preserve">he user must </w:t>
      </w:r>
      <w:r>
        <w:rPr>
          <w:rFonts w:cs="Times New Roman"/>
        </w:rPr>
        <w:t xml:space="preserve">be mindful of </w:t>
      </w:r>
      <w:r w:rsidRPr="00DA647C">
        <w:rPr>
          <w:rFonts w:cs="Times New Roman"/>
        </w:rPr>
        <w:t>the nature of the calculations undertaken.</w:t>
      </w:r>
    </w:p>
    <w:p w:rsidR="00CD3F77" w:rsidRPr="006E601B" w:rsidRDefault="00CD3F77" w:rsidP="00CD3F77">
      <w:pPr>
        <w:pStyle w:val="Heading2"/>
        <w:numPr>
          <w:ilvl w:val="0"/>
          <w:numId w:val="0"/>
        </w:numPr>
      </w:pPr>
      <w:bookmarkStart w:id="84" w:name="_Toc355177441"/>
      <w:r w:rsidRPr="006E601B">
        <w:t>3.5</w:t>
      </w:r>
      <w:r>
        <w:tab/>
        <w:t xml:space="preserve"> </w:t>
      </w:r>
      <w:r w:rsidRPr="006E601B">
        <w:t>How to Define a Material and Calculate its Interaction Coefficients</w:t>
      </w:r>
      <w:bookmarkEnd w:id="84"/>
    </w:p>
    <w:p w:rsidR="00CD3F77" w:rsidRPr="00DA647C" w:rsidRDefault="00CD3F77" w:rsidP="00CD3F77">
      <w:pPr>
        <w:pStyle w:val="StyleBaseTimesNewRoman"/>
        <w:ind w:firstLine="0"/>
        <w:jc w:val="both"/>
        <w:rPr>
          <w:rFonts w:cs="Times New Roman"/>
        </w:rPr>
      </w:pPr>
      <w:r w:rsidRPr="00DA647C">
        <w:rPr>
          <w:rFonts w:cs="Times New Roman"/>
        </w:rPr>
        <w:t xml:space="preserve">As an example, consider a calculation of the electron interaction coefficients for the user-defined material </w:t>
      </w:r>
      <w:r w:rsidRPr="00DA647C">
        <w:rPr>
          <w:rFonts w:cs="Times New Roman"/>
          <w:i/>
        </w:rPr>
        <w:t>silly cement</w:t>
      </w:r>
      <w:r w:rsidRPr="00DA647C">
        <w:rPr>
          <w:rFonts w:cs="Times New Roman"/>
        </w:rPr>
        <w:t xml:space="preserve">. </w:t>
      </w:r>
      <w:r w:rsidRPr="00DA647C">
        <w:rPr>
          <w:rFonts w:cs="Times New Roman"/>
          <w:i/>
        </w:rPr>
        <w:t>Silly cement</w:t>
      </w:r>
      <w:r w:rsidRPr="00DA647C">
        <w:rPr>
          <w:rFonts w:cs="Times New Roman"/>
        </w:rPr>
        <w:t xml:space="preserve"> consists of H, C, and </w:t>
      </w:r>
      <w:proofErr w:type="spellStart"/>
      <w:r w:rsidRPr="00DA647C">
        <w:rPr>
          <w:rFonts w:cs="Times New Roman"/>
        </w:rPr>
        <w:t>Cl</w:t>
      </w:r>
      <w:proofErr w:type="spellEnd"/>
      <w:r w:rsidRPr="00DA647C">
        <w:rPr>
          <w:rFonts w:cs="Times New Roman"/>
        </w:rPr>
        <w:t xml:space="preserve"> in mass fractions 0.06, 0.54, and 0.40, respectively. When the </w:t>
      </w:r>
      <w:r w:rsidRPr="00DA647C">
        <w:rPr>
          <w:rFonts w:cs="Times New Roman"/>
          <w:i/>
        </w:rPr>
        <w:t>Material Data</w:t>
      </w:r>
      <w:r w:rsidRPr="00DA647C">
        <w:rPr>
          <w:rFonts w:cs="Times New Roman"/>
        </w:rPr>
        <w:t xml:space="preserve"> </w:t>
      </w:r>
      <w:r>
        <w:rPr>
          <w:rFonts w:cs="Times New Roman"/>
        </w:rPr>
        <w:t xml:space="preserve">collection </w:t>
      </w:r>
      <w:r w:rsidRPr="00DA647C">
        <w:rPr>
          <w:rFonts w:cs="Times New Roman"/>
        </w:rPr>
        <w:t>is displayed the pull</w:t>
      </w:r>
      <w:r>
        <w:rPr>
          <w:rFonts w:cs="Times New Roman"/>
        </w:rPr>
        <w:t>-</w:t>
      </w:r>
      <w:r w:rsidRPr="00DA647C">
        <w:rPr>
          <w:rFonts w:cs="Times New Roman"/>
        </w:rPr>
        <w:t xml:space="preserve">down menu of materials defaults to “User-defined.” Clicking the </w:t>
      </w:r>
      <w:r w:rsidRPr="00DA647C">
        <w:rPr>
          <w:rFonts w:cs="Times New Roman"/>
          <w:i/>
        </w:rPr>
        <w:t>Display</w:t>
      </w:r>
      <w:r w:rsidRPr="00DA647C">
        <w:rPr>
          <w:rFonts w:cs="Times New Roman"/>
        </w:rPr>
        <w:t xml:space="preserve"> button brings up the input screen to define the material. The completed input screen for </w:t>
      </w:r>
      <w:r w:rsidRPr="00DA647C">
        <w:rPr>
          <w:rFonts w:cs="Times New Roman"/>
          <w:i/>
        </w:rPr>
        <w:t>silly cement</w:t>
      </w:r>
      <w:r w:rsidRPr="00DA647C">
        <w:rPr>
          <w:rFonts w:cs="Times New Roman"/>
        </w:rPr>
        <w:t xml:space="preserve"> is shown in Fig. 3.3. Press the </w:t>
      </w:r>
      <w:r w:rsidRPr="00DA647C">
        <w:rPr>
          <w:rFonts w:cs="Times New Roman"/>
          <w:i/>
        </w:rPr>
        <w:t>Exit</w:t>
      </w:r>
      <w:r w:rsidRPr="00DA647C">
        <w:rPr>
          <w:rFonts w:cs="Times New Roman"/>
        </w:rPr>
        <w:t xml:space="preserve"> button to compute and display the table of interaction coefficients for </w:t>
      </w:r>
      <w:r w:rsidRPr="00DA647C">
        <w:rPr>
          <w:rFonts w:cs="Times New Roman"/>
          <w:i/>
        </w:rPr>
        <w:t>silly cement</w:t>
      </w:r>
      <w:r w:rsidRPr="00DA647C">
        <w:rPr>
          <w:rFonts w:cs="Times New Roman"/>
        </w:rPr>
        <w:t xml:space="preserve">. The input screen includes a note </w:t>
      </w:r>
      <w:r>
        <w:rPr>
          <w:rFonts w:cs="Times New Roman"/>
        </w:rPr>
        <w:t xml:space="preserve">that </w:t>
      </w:r>
      <w:r w:rsidRPr="00DA647C">
        <w:rPr>
          <w:rFonts w:cs="Times New Roman"/>
        </w:rPr>
        <w:t>must be followed for proper closure of the data input.</w:t>
      </w:r>
    </w:p>
    <w:p w:rsidR="00CD3F77" w:rsidRDefault="00CD3F77" w:rsidP="00CD3F77">
      <w:pPr>
        <w:pStyle w:val="StyleBaseTimesNewRoman"/>
        <w:ind w:firstLine="0"/>
        <w:rPr>
          <w:rFonts w:cs="Times New Roman"/>
        </w:rPr>
      </w:pPr>
    </w:p>
    <w:p w:rsidR="00CD3F77" w:rsidRPr="00DA647C" w:rsidRDefault="00CD3F77" w:rsidP="00CD3F77">
      <w:pPr>
        <w:pStyle w:val="StyleBaseTimesNewRoman"/>
        <w:ind w:firstLine="0"/>
        <w:rPr>
          <w:rFonts w:cs="Times New Roman"/>
        </w:rPr>
      </w:pPr>
    </w:p>
    <w:p w:rsidR="00CD3F77" w:rsidRDefault="00CD3F77" w:rsidP="00CD3F77">
      <w:pPr>
        <w:pStyle w:val="Base"/>
        <w:keepNext/>
        <w:jc w:val="center"/>
      </w:pPr>
      <w:r>
        <w:rPr>
          <w:noProof/>
        </w:rPr>
        <w:drawing>
          <wp:inline distT="0" distB="0" distL="0" distR="0" wp14:anchorId="6755F2AC" wp14:editId="674B9EDA">
            <wp:extent cx="3968496"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68496" cy="2734056"/>
                    </a:xfrm>
                    <a:prstGeom prst="rect">
                      <a:avLst/>
                    </a:prstGeom>
                  </pic:spPr>
                </pic:pic>
              </a:graphicData>
            </a:graphic>
          </wp:inline>
        </w:drawing>
      </w:r>
    </w:p>
    <w:p w:rsidR="00CD3F77" w:rsidRPr="00F4761D" w:rsidRDefault="00CD3F77" w:rsidP="00CD3F77">
      <w:pPr>
        <w:pStyle w:val="Caption"/>
      </w:pPr>
      <w:bookmarkStart w:id="85" w:name="_Toc355177567"/>
      <w:proofErr w:type="gramStart"/>
      <w:r>
        <w:t>Fig. 3.</w:t>
      </w:r>
      <w:r w:rsidR="00051B18">
        <w:t>3</w:t>
      </w:r>
      <w:r>
        <w:t>.</w:t>
      </w:r>
      <w:proofErr w:type="gramEnd"/>
      <w:r>
        <w:t xml:space="preserve">  </w:t>
      </w:r>
      <w:r w:rsidRPr="00F4761D">
        <w:t>Input screen for user-defined material.</w:t>
      </w:r>
      <w:bookmarkEnd w:id="85"/>
      <w:r>
        <w:t xml:space="preserve">  </w:t>
      </w:r>
    </w:p>
    <w:p w:rsidR="00CD3F77" w:rsidRDefault="00CD3F77" w:rsidP="00CD3F77"/>
    <w:p w:rsidR="00CD3F77" w:rsidRPr="007214FB" w:rsidRDefault="00CD3F77" w:rsidP="00CD3F77">
      <w:pPr>
        <w:pStyle w:val="noindent"/>
      </w:pPr>
    </w:p>
    <w:p w:rsidR="00CD3F77" w:rsidRDefault="00CD3F77" w:rsidP="00CD3F77">
      <w:pPr>
        <w:pStyle w:val="Heading2"/>
        <w:numPr>
          <w:ilvl w:val="0"/>
          <w:numId w:val="0"/>
        </w:numPr>
        <w:spacing w:before="0" w:after="0"/>
      </w:pPr>
      <w:bookmarkStart w:id="86" w:name="_Toc355177442"/>
      <w:r w:rsidRPr="00055D0A">
        <w:t>3.6</w:t>
      </w:r>
      <w:r w:rsidRPr="00055D0A">
        <w:tab/>
        <w:t>How to Generate Histogram Representation of Beta Spectra</w:t>
      </w:r>
      <w:bookmarkEnd w:id="86"/>
    </w:p>
    <w:p w:rsidR="00CD3F77" w:rsidRPr="00DA647C" w:rsidRDefault="00CD3F77" w:rsidP="00CD3F77">
      <w:pPr>
        <w:rPr>
          <w:b/>
          <w:sz w:val="22"/>
          <w:szCs w:val="22"/>
        </w:rPr>
      </w:pPr>
    </w:p>
    <w:p w:rsidR="00CD3F77" w:rsidRDefault="00CD3F77" w:rsidP="00CD3F77">
      <w:pPr>
        <w:jc w:val="both"/>
        <w:rPr>
          <w:sz w:val="22"/>
          <w:szCs w:val="22"/>
        </w:rPr>
      </w:pPr>
      <w:r w:rsidRPr="00DA647C">
        <w:rPr>
          <w:sz w:val="22"/>
          <w:szCs w:val="22"/>
        </w:rPr>
        <w:t>As discussed in Sect</w:t>
      </w:r>
      <w:r>
        <w:rPr>
          <w:sz w:val="22"/>
          <w:szCs w:val="22"/>
        </w:rPr>
        <w:t>.</w:t>
      </w:r>
      <w:r w:rsidRPr="00DA647C">
        <w:rPr>
          <w:sz w:val="22"/>
          <w:szCs w:val="22"/>
        </w:rPr>
        <w:t xml:space="preserve"> 2.4</w:t>
      </w:r>
      <w:r>
        <w:rPr>
          <w:sz w:val="22"/>
          <w:szCs w:val="22"/>
        </w:rPr>
        <w:t>,</w:t>
      </w:r>
      <w:r w:rsidRPr="00DA647C">
        <w:rPr>
          <w:sz w:val="22"/>
          <w:szCs w:val="22"/>
        </w:rPr>
        <w:t xml:space="preserve"> the Toolbox includes the beta spectra data of ICRP Publication 107 (ICRP 2008).  The number of electrons emitted per nuclear transformation of energy between </w:t>
      </w:r>
      <w:r w:rsidRPr="00DA647C">
        <w:rPr>
          <w:i/>
          <w:sz w:val="22"/>
          <w:szCs w:val="22"/>
        </w:rPr>
        <w:t>E</w:t>
      </w:r>
      <w:r w:rsidRPr="00DA647C">
        <w:rPr>
          <w:sz w:val="22"/>
          <w:szCs w:val="22"/>
        </w:rPr>
        <w:t xml:space="preserve"> and </w:t>
      </w:r>
      <w:r w:rsidRPr="00DA647C">
        <w:rPr>
          <w:i/>
          <w:sz w:val="22"/>
          <w:szCs w:val="22"/>
        </w:rPr>
        <w:t>E</w:t>
      </w:r>
      <w:r w:rsidRPr="00DA647C">
        <w:rPr>
          <w:sz w:val="22"/>
          <w:szCs w:val="22"/>
        </w:rPr>
        <w:t xml:space="preserve"> + </w:t>
      </w:r>
      <w:proofErr w:type="spellStart"/>
      <w:r w:rsidRPr="00DA647C">
        <w:rPr>
          <w:sz w:val="22"/>
          <w:szCs w:val="22"/>
        </w:rPr>
        <w:t>d</w:t>
      </w:r>
      <w:r w:rsidRPr="00DA647C">
        <w:rPr>
          <w:i/>
          <w:sz w:val="22"/>
          <w:szCs w:val="22"/>
        </w:rPr>
        <w:t>E</w:t>
      </w:r>
      <w:proofErr w:type="spellEnd"/>
      <w:r w:rsidRPr="00DA647C">
        <w:rPr>
          <w:sz w:val="22"/>
          <w:szCs w:val="22"/>
        </w:rPr>
        <w:t xml:space="preserve"> are tabulated on a fixed logarithmic-type energy grid extending out to the end-point energy. The P-32 beta spectrum is shown graphically in Fig</w:t>
      </w:r>
      <w:r>
        <w:rPr>
          <w:sz w:val="22"/>
          <w:szCs w:val="22"/>
        </w:rPr>
        <w:t>.</w:t>
      </w:r>
      <w:r w:rsidRPr="00DA647C">
        <w:rPr>
          <w:sz w:val="22"/>
          <w:szCs w:val="22"/>
        </w:rPr>
        <w:t xml:space="preserve"> 3.4</w:t>
      </w:r>
      <w:r>
        <w:rPr>
          <w:sz w:val="22"/>
          <w:szCs w:val="22"/>
        </w:rPr>
        <w:t xml:space="preserve"> as created by the T</w:t>
      </w:r>
      <w:r w:rsidRPr="00DA647C">
        <w:rPr>
          <w:sz w:val="22"/>
          <w:szCs w:val="22"/>
        </w:rPr>
        <w:t xml:space="preserve">oolbox. Note the graphic label indicates the end point energy of the spectrum </w:t>
      </w:r>
      <w:r>
        <w:rPr>
          <w:sz w:val="22"/>
          <w:szCs w:val="22"/>
        </w:rPr>
        <w:t xml:space="preserve">in this case </w:t>
      </w:r>
      <w:r w:rsidRPr="00DA647C">
        <w:rPr>
          <w:sz w:val="22"/>
          <w:szCs w:val="22"/>
        </w:rPr>
        <w:t xml:space="preserve">is 1.7106 MeV with an average energy of 0.695 MeV. </w:t>
      </w:r>
    </w:p>
    <w:p w:rsidR="00CD3F77" w:rsidRDefault="00CD3F77" w:rsidP="00CD3F77">
      <w:pPr>
        <w:jc w:val="both"/>
        <w:rPr>
          <w:sz w:val="22"/>
          <w:szCs w:val="22"/>
        </w:rPr>
      </w:pPr>
    </w:p>
    <w:p w:rsidR="00CD3F77" w:rsidRPr="00DA647C" w:rsidRDefault="00CD3F77" w:rsidP="00CD3F77">
      <w:pPr>
        <w:keepNext/>
        <w:keepLines/>
        <w:jc w:val="both"/>
        <w:rPr>
          <w:sz w:val="22"/>
          <w:szCs w:val="22"/>
        </w:rPr>
      </w:pPr>
      <w:r w:rsidRPr="00DA647C">
        <w:rPr>
          <w:sz w:val="22"/>
          <w:szCs w:val="22"/>
        </w:rPr>
        <w:lastRenderedPageBreak/>
        <w:t xml:space="preserve">The number of electrons per nuclear transformation </w:t>
      </w:r>
      <w:r w:rsidRPr="00DA647C">
        <w:rPr>
          <w:i/>
          <w:sz w:val="22"/>
          <w:szCs w:val="22"/>
        </w:rPr>
        <w:t>N</w:t>
      </w:r>
      <w:r w:rsidRPr="00DA647C">
        <w:rPr>
          <w:sz w:val="22"/>
          <w:szCs w:val="22"/>
        </w:rPr>
        <w:t xml:space="preserve"> is given by</w:t>
      </w:r>
    </w:p>
    <w:tbl>
      <w:tblPr>
        <w:tblW w:w="0" w:type="auto"/>
        <w:tblBorders>
          <w:insideH w:val="single" w:sz="4" w:space="0" w:color="auto"/>
        </w:tblBorders>
        <w:tblLook w:val="04A0" w:firstRow="1" w:lastRow="0" w:firstColumn="1" w:lastColumn="0" w:noHBand="0" w:noVBand="1"/>
      </w:tblPr>
      <w:tblGrid>
        <w:gridCol w:w="9018"/>
        <w:gridCol w:w="558"/>
      </w:tblGrid>
      <w:tr w:rsidR="00CD3F77" w:rsidRPr="00DA647C" w:rsidTr="00CD3F77">
        <w:tc>
          <w:tcPr>
            <w:tcW w:w="9018" w:type="dxa"/>
          </w:tcPr>
          <w:p w:rsidR="00CD3F77" w:rsidRPr="00DA647C" w:rsidRDefault="00CD3F77" w:rsidP="00CD3F77">
            <w:pPr>
              <w:keepNext/>
              <w:keepLines/>
              <w:rPr>
                <w:sz w:val="22"/>
                <w:szCs w:val="22"/>
              </w:rPr>
            </w:pPr>
            <m:oMathPara>
              <m:oMath>
                <m:r>
                  <w:rPr>
                    <w:rFonts w:ascii="Cambria Math" w:hAnsi="Cambria Math"/>
                    <w:sz w:val="22"/>
                    <w:szCs w:val="22"/>
                  </w:rPr>
                  <m:t xml:space="preserve">N=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 xml:space="preserve"> dE</m:t>
                    </m:r>
                  </m:e>
                </m:nary>
              </m:oMath>
            </m:oMathPara>
          </w:p>
        </w:tc>
        <w:tc>
          <w:tcPr>
            <w:tcW w:w="558" w:type="dxa"/>
            <w:vAlign w:val="center"/>
          </w:tcPr>
          <w:p w:rsidR="00CD3F77" w:rsidRPr="00DA647C" w:rsidRDefault="00CD3F77" w:rsidP="00CD3F77">
            <w:pPr>
              <w:keepNext/>
              <w:keepLines/>
              <w:rPr>
                <w:sz w:val="22"/>
                <w:szCs w:val="22"/>
              </w:rPr>
            </w:pPr>
            <w:r w:rsidRPr="00DA647C">
              <w:rPr>
                <w:sz w:val="22"/>
                <w:szCs w:val="22"/>
              </w:rPr>
              <w:t>(1)</w:t>
            </w:r>
          </w:p>
        </w:tc>
      </w:tr>
    </w:tbl>
    <w:p w:rsidR="00CD3F77" w:rsidRPr="00DA647C" w:rsidRDefault="00CD3F77" w:rsidP="00CD3F77">
      <w:pPr>
        <w:keepNext/>
        <w:keepLines/>
        <w:jc w:val="both"/>
        <w:rPr>
          <w:sz w:val="22"/>
          <w:szCs w:val="22"/>
        </w:rPr>
      </w:pPr>
      <w:proofErr w:type="gramStart"/>
      <w:r w:rsidRPr="00DA647C">
        <w:rPr>
          <w:sz w:val="22"/>
          <w:szCs w:val="22"/>
        </w:rPr>
        <w:t>and</w:t>
      </w:r>
      <w:proofErr w:type="gramEnd"/>
      <w:r w:rsidRPr="00DA647C">
        <w:rPr>
          <w:sz w:val="22"/>
          <w:szCs w:val="22"/>
        </w:rPr>
        <w:t xml:space="preserve"> the average energy </w:t>
      </w:r>
      <m:oMath>
        <m:acc>
          <m:accPr>
            <m:chr m:val="̅"/>
            <m:ctrlPr>
              <w:rPr>
                <w:rFonts w:ascii="Cambria Math" w:hAnsi="Cambria Math"/>
                <w:i/>
                <w:sz w:val="22"/>
                <w:szCs w:val="22"/>
              </w:rPr>
            </m:ctrlPr>
          </m:accPr>
          <m:e>
            <m:r>
              <w:rPr>
                <w:rFonts w:ascii="Cambria Math" w:hAnsi="Cambria Math"/>
                <w:sz w:val="22"/>
                <w:szCs w:val="22"/>
              </w:rPr>
              <m:t>E</m:t>
            </m:r>
          </m:e>
        </m:acc>
        <m:r>
          <m:rPr>
            <m:sty m:val="p"/>
          </m:rPr>
          <w:rPr>
            <w:rFonts w:ascii="Cambria Math" w:hAnsi="Cambria Math"/>
            <w:sz w:val="22"/>
            <w:szCs w:val="22"/>
          </w:rPr>
          <m:t xml:space="preserve"> of the spectrum is</m:t>
        </m:r>
      </m:oMath>
    </w:p>
    <w:tbl>
      <w:tblPr>
        <w:tblW w:w="0" w:type="auto"/>
        <w:tblBorders>
          <w:insideH w:val="single" w:sz="4" w:space="0" w:color="auto"/>
        </w:tblBorders>
        <w:tblLook w:val="04A0" w:firstRow="1" w:lastRow="0" w:firstColumn="1" w:lastColumn="0" w:noHBand="0" w:noVBand="1"/>
      </w:tblPr>
      <w:tblGrid>
        <w:gridCol w:w="9018"/>
        <w:gridCol w:w="558"/>
      </w:tblGrid>
      <w:tr w:rsidR="00CD3F77" w:rsidRPr="00DA647C" w:rsidTr="00CD3F77">
        <w:tc>
          <w:tcPr>
            <w:tcW w:w="9018" w:type="dxa"/>
          </w:tcPr>
          <w:p w:rsidR="00CD3F77" w:rsidRPr="00DA647C" w:rsidRDefault="00A218AF" w:rsidP="00CD3F77">
            <w:pPr>
              <w:keepNext/>
              <w:keepLines/>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r>
                  <w:rPr>
                    <w:rFonts w:ascii="Cambria Math" w:hAnsi="Cambria Math"/>
                    <w:sz w:val="22"/>
                    <w:szCs w:val="22"/>
                  </w:rPr>
                  <m:t xml:space="preserve">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 xml:space="preserve"> E dE</m:t>
                    </m:r>
                  </m:e>
                </m:nary>
              </m:oMath>
            </m:oMathPara>
          </w:p>
        </w:tc>
        <w:tc>
          <w:tcPr>
            <w:tcW w:w="558" w:type="dxa"/>
            <w:vAlign w:val="center"/>
          </w:tcPr>
          <w:p w:rsidR="00CD3F77" w:rsidRPr="00DA647C" w:rsidRDefault="00CD3F77" w:rsidP="00CD3F77">
            <w:pPr>
              <w:keepNext/>
              <w:keepLines/>
              <w:rPr>
                <w:sz w:val="22"/>
                <w:szCs w:val="22"/>
              </w:rPr>
            </w:pPr>
            <w:r w:rsidRPr="00DA647C">
              <w:rPr>
                <w:sz w:val="22"/>
                <w:szCs w:val="22"/>
              </w:rPr>
              <w:t>(2)</w:t>
            </w:r>
          </w:p>
        </w:tc>
      </w:tr>
    </w:tbl>
    <w:p w:rsidR="00CD3F77" w:rsidRPr="00DA647C" w:rsidRDefault="00CD3F77" w:rsidP="00CD3F77">
      <w:pPr>
        <w:keepNext/>
        <w:keepLines/>
        <w:jc w:val="both"/>
        <w:rPr>
          <w:sz w:val="22"/>
          <w:szCs w:val="22"/>
        </w:rPr>
      </w:pPr>
      <w:proofErr w:type="gramStart"/>
      <w:r w:rsidRPr="00DA647C">
        <w:rPr>
          <w:sz w:val="22"/>
          <w:szCs w:val="22"/>
        </w:rPr>
        <w:t>where</w:t>
      </w:r>
      <w:proofErr w:type="gramEnd"/>
      <w:r w:rsidRPr="00DA647C">
        <w:rPr>
          <w:sz w:val="22"/>
          <w:szCs w:val="22"/>
        </w:rPr>
        <w:t xml:space="preserve"> </w:t>
      </w:r>
      <w:r w:rsidRPr="00DA647C">
        <w:rPr>
          <w:i/>
          <w:sz w:val="22"/>
          <w:szCs w:val="22"/>
        </w:rPr>
        <w:t>Y</w:t>
      </w:r>
      <w:r w:rsidRPr="00DA647C">
        <w:rPr>
          <w:sz w:val="22"/>
          <w:szCs w:val="22"/>
        </w:rPr>
        <w:t>(</w:t>
      </w:r>
      <w:r w:rsidRPr="00DA647C">
        <w:rPr>
          <w:i/>
          <w:sz w:val="22"/>
          <w:szCs w:val="22"/>
        </w:rPr>
        <w:t>E</w:t>
      </w:r>
      <w:r w:rsidRPr="00DA647C">
        <w:rPr>
          <w:sz w:val="22"/>
          <w:szCs w:val="22"/>
        </w:rPr>
        <w:t>) is the tabulated spectrum (export of th</w:t>
      </w:r>
      <w:r>
        <w:rPr>
          <w:sz w:val="22"/>
          <w:szCs w:val="22"/>
        </w:rPr>
        <w:t>ose</w:t>
      </w:r>
      <w:r w:rsidRPr="00DA647C">
        <w:rPr>
          <w:sz w:val="22"/>
          <w:szCs w:val="22"/>
        </w:rPr>
        <w:t xml:space="preserve"> values is available for the graph) and the integrals of </w:t>
      </w:r>
      <w:proofErr w:type="spellStart"/>
      <w:r w:rsidRPr="00DA647C">
        <w:rPr>
          <w:sz w:val="22"/>
          <w:szCs w:val="22"/>
        </w:rPr>
        <w:t>Eqs</w:t>
      </w:r>
      <w:proofErr w:type="spellEnd"/>
      <w:r>
        <w:rPr>
          <w:sz w:val="22"/>
          <w:szCs w:val="22"/>
        </w:rPr>
        <w:t>.</w:t>
      </w:r>
      <w:r w:rsidRPr="00DA647C">
        <w:rPr>
          <w:sz w:val="22"/>
          <w:szCs w:val="22"/>
        </w:rPr>
        <w:t xml:space="preserve"> </w:t>
      </w:r>
      <w:r>
        <w:rPr>
          <w:sz w:val="22"/>
          <w:szCs w:val="22"/>
        </w:rPr>
        <w:t>(</w:t>
      </w:r>
      <w:r w:rsidRPr="00DA647C">
        <w:rPr>
          <w:sz w:val="22"/>
          <w:szCs w:val="22"/>
        </w:rPr>
        <w:t>1</w:t>
      </w:r>
      <w:r>
        <w:rPr>
          <w:sz w:val="22"/>
          <w:szCs w:val="22"/>
        </w:rPr>
        <w:t>)</w:t>
      </w:r>
      <w:r w:rsidRPr="00DA647C">
        <w:rPr>
          <w:sz w:val="22"/>
          <w:szCs w:val="22"/>
        </w:rPr>
        <w:t xml:space="preserve"> </w:t>
      </w:r>
      <w:proofErr w:type="gramStart"/>
      <w:r w:rsidRPr="00DA647C">
        <w:rPr>
          <w:sz w:val="22"/>
          <w:szCs w:val="22"/>
        </w:rPr>
        <w:t>and</w:t>
      </w:r>
      <w:proofErr w:type="gramEnd"/>
      <w:r w:rsidRPr="00DA647C">
        <w:rPr>
          <w:sz w:val="22"/>
          <w:szCs w:val="22"/>
        </w:rPr>
        <w:t xml:space="preserve"> </w:t>
      </w:r>
      <w:r>
        <w:rPr>
          <w:sz w:val="22"/>
          <w:szCs w:val="22"/>
        </w:rPr>
        <w:t>(</w:t>
      </w:r>
      <w:r w:rsidRPr="00DA647C">
        <w:rPr>
          <w:sz w:val="22"/>
          <w:szCs w:val="22"/>
        </w:rPr>
        <w:t>2</w:t>
      </w:r>
      <w:r>
        <w:rPr>
          <w:sz w:val="22"/>
          <w:szCs w:val="22"/>
        </w:rPr>
        <w:t>)</w:t>
      </w:r>
      <w:r w:rsidRPr="00DA647C">
        <w:rPr>
          <w:sz w:val="22"/>
          <w:szCs w:val="22"/>
        </w:rPr>
        <w:t xml:space="preserve"> extent over the spectrum; the infinite upper limit </w:t>
      </w:r>
      <w:r>
        <w:rPr>
          <w:sz w:val="22"/>
          <w:szCs w:val="22"/>
        </w:rPr>
        <w:t xml:space="preserve">is </w:t>
      </w:r>
      <w:r w:rsidRPr="00DA647C">
        <w:rPr>
          <w:sz w:val="22"/>
          <w:szCs w:val="22"/>
        </w:rPr>
        <w:t>the end point energy.</w:t>
      </w:r>
    </w:p>
    <w:p w:rsidR="00CD3F77" w:rsidRDefault="00CD3F77" w:rsidP="00CD3F77">
      <w:pPr>
        <w:rPr>
          <w:sz w:val="22"/>
          <w:szCs w:val="22"/>
        </w:rPr>
      </w:pPr>
    </w:p>
    <w:p w:rsidR="00CD3F77" w:rsidRPr="001B7671" w:rsidRDefault="00CD3F77" w:rsidP="00CD3F77">
      <w:pPr>
        <w:pStyle w:val="noindent"/>
      </w:pPr>
    </w:p>
    <w:p w:rsidR="00CD3F77" w:rsidRDefault="00CD3F77" w:rsidP="00CD3F77">
      <w:pPr>
        <w:keepNext/>
        <w:jc w:val="center"/>
      </w:pPr>
      <w:r>
        <w:rPr>
          <w:noProof/>
        </w:rPr>
        <w:drawing>
          <wp:inline distT="0" distB="0" distL="0" distR="0" wp14:anchorId="5B1A0063" wp14:editId="0F8DC516">
            <wp:extent cx="4926842" cy="42188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26842" cy="4218872"/>
                    </a:xfrm>
                    <a:prstGeom prst="rect">
                      <a:avLst/>
                    </a:prstGeom>
                  </pic:spPr>
                </pic:pic>
              </a:graphicData>
            </a:graphic>
          </wp:inline>
        </w:drawing>
      </w:r>
    </w:p>
    <w:p w:rsidR="00CD3F77" w:rsidRPr="00F4761D" w:rsidRDefault="00CD3F77" w:rsidP="00CD3F77">
      <w:pPr>
        <w:pStyle w:val="Caption"/>
      </w:pPr>
      <w:bookmarkStart w:id="87" w:name="_Toc355177568"/>
      <w:proofErr w:type="gramStart"/>
      <w:r>
        <w:t>Fig. 3.</w:t>
      </w:r>
      <w:r w:rsidR="00051B18">
        <w:t>4</w:t>
      </w:r>
      <w:r>
        <w:t>.</w:t>
      </w:r>
      <w:proofErr w:type="gramEnd"/>
      <w:r>
        <w:t xml:space="preserve">  </w:t>
      </w:r>
      <w:proofErr w:type="gramStart"/>
      <w:r w:rsidRPr="00F4761D">
        <w:t>Graphic display of the P-32 beta spectrum.</w:t>
      </w:r>
      <w:bookmarkEnd w:id="87"/>
      <w:proofErr w:type="gramEnd"/>
      <w:r>
        <w:t xml:space="preserve">  </w:t>
      </w:r>
    </w:p>
    <w:p w:rsidR="00CD3F77" w:rsidRDefault="00CD3F77" w:rsidP="00CD3F77">
      <w:pPr>
        <w:rPr>
          <w:sz w:val="22"/>
          <w:szCs w:val="22"/>
        </w:rPr>
      </w:pPr>
    </w:p>
    <w:p w:rsidR="00CD3F77" w:rsidRPr="007214FB" w:rsidRDefault="00CD3F77" w:rsidP="00CD3F77">
      <w:pPr>
        <w:pStyle w:val="noindent"/>
      </w:pPr>
    </w:p>
    <w:p w:rsidR="00CD3F77" w:rsidRPr="00DA647C" w:rsidRDefault="00CD3F77" w:rsidP="00CD3F77">
      <w:pPr>
        <w:jc w:val="both"/>
        <w:rPr>
          <w:sz w:val="22"/>
          <w:szCs w:val="22"/>
        </w:rPr>
      </w:pPr>
      <w:r w:rsidRPr="00DA647C">
        <w:rPr>
          <w:sz w:val="22"/>
          <w:szCs w:val="22"/>
        </w:rPr>
        <w:t xml:space="preserve">The graphical display includes provisions to print and export the spectrum and to invoke a module to represent the spectrum as a histogram </w:t>
      </w:r>
      <w:r>
        <w:rPr>
          <w:sz w:val="22"/>
          <w:szCs w:val="22"/>
        </w:rPr>
        <w:t xml:space="preserve">that </w:t>
      </w:r>
      <w:r w:rsidRPr="00DA647C">
        <w:rPr>
          <w:sz w:val="22"/>
          <w:szCs w:val="22"/>
        </w:rPr>
        <w:t>might be sampled in Monte Carlo simulations. Clicking the “Export to Monte Carlo Input” invokes the BINBETA module</w:t>
      </w:r>
      <w:r>
        <w:rPr>
          <w:sz w:val="22"/>
          <w:szCs w:val="22"/>
        </w:rPr>
        <w:t>,</w:t>
      </w:r>
      <w:r w:rsidRPr="00DA647C">
        <w:rPr>
          <w:sz w:val="22"/>
          <w:szCs w:val="22"/>
        </w:rPr>
        <w:t xml:space="preserve"> which for a user</w:t>
      </w:r>
      <w:r>
        <w:rPr>
          <w:sz w:val="22"/>
          <w:szCs w:val="22"/>
        </w:rPr>
        <w:t>-</w:t>
      </w:r>
      <w:r w:rsidRPr="00DA647C">
        <w:rPr>
          <w:sz w:val="22"/>
          <w:szCs w:val="22"/>
        </w:rPr>
        <w:t xml:space="preserve">specified number of energy bins (default 10) tabulates histograms normalized to the emission of 1 beta particle (see Fig. 3.5). The output of the BINBETA module is shown in Fig. 3.6. </w:t>
      </w:r>
    </w:p>
    <w:p w:rsidR="00CD3F77" w:rsidRDefault="00CD3F77" w:rsidP="00CD3F77">
      <w:pPr>
        <w:keepNext/>
        <w:jc w:val="center"/>
      </w:pPr>
      <w:r>
        <w:rPr>
          <w:noProof/>
        </w:rPr>
        <w:lastRenderedPageBreak/>
        <w:drawing>
          <wp:inline distT="0" distB="0" distL="0" distR="0" wp14:anchorId="4CCE9EC7" wp14:editId="2DAE2491">
            <wp:extent cx="4510585" cy="2334806"/>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10585" cy="2334806"/>
                    </a:xfrm>
                    <a:prstGeom prst="rect">
                      <a:avLst/>
                    </a:prstGeom>
                  </pic:spPr>
                </pic:pic>
              </a:graphicData>
            </a:graphic>
          </wp:inline>
        </w:drawing>
      </w:r>
    </w:p>
    <w:p w:rsidR="00CD3F77" w:rsidRPr="00F4761D" w:rsidRDefault="00CD3F77" w:rsidP="00CD3F77">
      <w:pPr>
        <w:pStyle w:val="Caption"/>
      </w:pPr>
      <w:bookmarkStart w:id="88" w:name="_Toc345696340"/>
      <w:bookmarkStart w:id="89" w:name="_Toc355177569"/>
      <w:proofErr w:type="gramStart"/>
      <w:r>
        <w:t>Fig. 3.</w:t>
      </w:r>
      <w:r w:rsidR="00051B18">
        <w:t>5</w:t>
      </w:r>
      <w:r>
        <w:t>.</w:t>
      </w:r>
      <w:proofErr w:type="gramEnd"/>
      <w:r>
        <w:t xml:space="preserve">  </w:t>
      </w:r>
      <w:proofErr w:type="gramStart"/>
      <w:r w:rsidRPr="00F4761D">
        <w:t>BINBETA module to represent the beta spectra in terms of a histogram.</w:t>
      </w:r>
      <w:bookmarkEnd w:id="88"/>
      <w:bookmarkEnd w:id="89"/>
      <w:proofErr w:type="gramEnd"/>
      <w:r>
        <w:t xml:space="preserve">  </w:t>
      </w:r>
    </w:p>
    <w:p w:rsidR="00CD3F77" w:rsidRDefault="00CD3F77" w:rsidP="00CD3F77">
      <w:pPr>
        <w:pStyle w:val="Caption"/>
      </w:pPr>
    </w:p>
    <w:p w:rsidR="00CD3F77" w:rsidRPr="001B7671" w:rsidRDefault="00CD3F77" w:rsidP="00CD3F77"/>
    <w:p w:rsidR="00CD3F77" w:rsidRDefault="00CD3F77" w:rsidP="00CD3F77">
      <w:pPr>
        <w:keepNext/>
        <w:jc w:val="center"/>
      </w:pPr>
      <w:r>
        <w:rPr>
          <w:noProof/>
        </w:rPr>
        <w:drawing>
          <wp:inline distT="0" distB="0" distL="0" distR="0" wp14:anchorId="0CBD9436" wp14:editId="5FEBA4AC">
            <wp:extent cx="4867480" cy="4694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68091" cy="4695420"/>
                    </a:xfrm>
                    <a:prstGeom prst="rect">
                      <a:avLst/>
                    </a:prstGeom>
                  </pic:spPr>
                </pic:pic>
              </a:graphicData>
            </a:graphic>
          </wp:inline>
        </w:drawing>
      </w:r>
    </w:p>
    <w:p w:rsidR="00CD3F77" w:rsidRPr="00F4761D" w:rsidRDefault="00CD3F77" w:rsidP="00CD3F77">
      <w:pPr>
        <w:pStyle w:val="Caption"/>
      </w:pPr>
      <w:bookmarkStart w:id="90" w:name="_Toc355177570"/>
      <w:proofErr w:type="gramStart"/>
      <w:r>
        <w:t>Fig. 3.</w:t>
      </w:r>
      <w:r w:rsidR="00051B18">
        <w:t>6</w:t>
      </w:r>
      <w:r>
        <w:t>.</w:t>
      </w:r>
      <w:proofErr w:type="gramEnd"/>
      <w:r>
        <w:t xml:space="preserve">  </w:t>
      </w:r>
      <w:proofErr w:type="gramStart"/>
      <w:r w:rsidRPr="00F4761D">
        <w:t>Output file of the BINBETA module with the histogram tabulations of the beta spectrum.</w:t>
      </w:r>
      <w:bookmarkEnd w:id="90"/>
      <w:proofErr w:type="gramEnd"/>
      <w:r>
        <w:t xml:space="preserve"> </w:t>
      </w:r>
    </w:p>
    <w:p w:rsidR="00CD3F77" w:rsidRDefault="00CD3F77" w:rsidP="00CD3F77">
      <w:pPr>
        <w:jc w:val="center"/>
      </w:pPr>
    </w:p>
    <w:p w:rsidR="00CD3F77" w:rsidRPr="00055D0A" w:rsidRDefault="00CD3F77" w:rsidP="00CD3F77">
      <w:pPr>
        <w:pStyle w:val="Heading2"/>
        <w:numPr>
          <w:ilvl w:val="0"/>
          <w:numId w:val="0"/>
        </w:numPr>
      </w:pPr>
      <w:bookmarkStart w:id="91" w:name="_Toc355177443"/>
      <w:r>
        <w:lastRenderedPageBreak/>
        <w:t>3.7</w:t>
      </w:r>
      <w:r>
        <w:tab/>
      </w:r>
      <w:r w:rsidRPr="00055D0A">
        <w:t>How to Check the Integrity of the Rad Toolbox Data Files</w:t>
      </w:r>
      <w:bookmarkEnd w:id="91"/>
    </w:p>
    <w:p w:rsidR="00CD3F77" w:rsidRPr="00DA647C" w:rsidRDefault="00CD3F77" w:rsidP="00CD3F77">
      <w:pPr>
        <w:pStyle w:val="Base"/>
        <w:ind w:firstLine="0"/>
        <w:rPr>
          <w:rFonts w:ascii="Times New Roman" w:hAnsi="Times New Roman" w:cs="Times New Roman"/>
        </w:rPr>
      </w:pPr>
    </w:p>
    <w:p w:rsidR="00CD3F77" w:rsidRPr="00DA647C" w:rsidRDefault="00CD3F77" w:rsidP="00CD3F77">
      <w:pPr>
        <w:pStyle w:val="noindent"/>
        <w:rPr>
          <w:sz w:val="22"/>
          <w:szCs w:val="22"/>
        </w:rPr>
      </w:pPr>
      <w:r w:rsidRPr="00DA647C">
        <w:rPr>
          <w:rFonts w:ascii="Times New Roman" w:hAnsi="Times New Roman"/>
          <w:sz w:val="22"/>
          <w:szCs w:val="22"/>
        </w:rPr>
        <w:t>Following installation of the Rad</w:t>
      </w:r>
      <w:r>
        <w:rPr>
          <w:rFonts w:ascii="Times New Roman" w:hAnsi="Times New Roman"/>
          <w:sz w:val="22"/>
          <w:szCs w:val="22"/>
        </w:rPr>
        <w:t>iological</w:t>
      </w:r>
      <w:r w:rsidRPr="00DA647C">
        <w:rPr>
          <w:rFonts w:ascii="Times New Roman" w:hAnsi="Times New Roman"/>
          <w:sz w:val="22"/>
          <w:szCs w:val="22"/>
        </w:rPr>
        <w:t xml:space="preserve"> Toolbox a procedure is invoked to </w:t>
      </w:r>
      <w:r>
        <w:rPr>
          <w:rFonts w:ascii="Times New Roman" w:hAnsi="Times New Roman"/>
          <w:sz w:val="22"/>
          <w:szCs w:val="22"/>
        </w:rPr>
        <w:t xml:space="preserve">confirm </w:t>
      </w:r>
      <w:r w:rsidRPr="00DA647C">
        <w:rPr>
          <w:rFonts w:ascii="Times New Roman" w:hAnsi="Times New Roman"/>
          <w:sz w:val="22"/>
          <w:szCs w:val="22"/>
        </w:rPr>
        <w:t xml:space="preserve">the </w:t>
      </w:r>
      <w:r>
        <w:rPr>
          <w:rFonts w:ascii="Times New Roman" w:hAnsi="Times New Roman"/>
          <w:sz w:val="22"/>
          <w:szCs w:val="22"/>
        </w:rPr>
        <w:t xml:space="preserve">integrity of </w:t>
      </w:r>
      <w:r w:rsidRPr="00DA647C">
        <w:rPr>
          <w:rFonts w:ascii="Times New Roman" w:hAnsi="Times New Roman"/>
          <w:sz w:val="22"/>
          <w:szCs w:val="22"/>
        </w:rPr>
        <w:t xml:space="preserve">data files </w:t>
      </w:r>
      <w:r>
        <w:rPr>
          <w:rFonts w:ascii="Times New Roman" w:hAnsi="Times New Roman"/>
          <w:sz w:val="22"/>
          <w:szCs w:val="22"/>
        </w:rPr>
        <w:t xml:space="preserve">by performing </w:t>
      </w:r>
      <w:r w:rsidRPr="00DA647C">
        <w:rPr>
          <w:rFonts w:ascii="Times New Roman" w:hAnsi="Times New Roman"/>
          <w:sz w:val="22"/>
          <w:szCs w:val="22"/>
        </w:rPr>
        <w:t>a</w:t>
      </w:r>
      <w:r>
        <w:rPr>
          <w:rFonts w:ascii="Times New Roman" w:hAnsi="Times New Roman"/>
          <w:sz w:val="22"/>
          <w:szCs w:val="22"/>
        </w:rPr>
        <w:t>n</w:t>
      </w:r>
      <w:r w:rsidRPr="00DA647C">
        <w:rPr>
          <w:rFonts w:ascii="Times New Roman" w:hAnsi="Times New Roman"/>
          <w:sz w:val="22"/>
          <w:szCs w:val="22"/>
        </w:rPr>
        <w:t xml:space="preserve"> cyclic redundancy check; </w:t>
      </w:r>
      <w:r>
        <w:rPr>
          <w:rFonts w:ascii="Times New Roman" w:hAnsi="Times New Roman"/>
          <w:sz w:val="22"/>
          <w:szCs w:val="22"/>
        </w:rPr>
        <w:t xml:space="preserve">a </w:t>
      </w:r>
      <w:r w:rsidRPr="00DA647C">
        <w:rPr>
          <w:rFonts w:ascii="Times New Roman" w:hAnsi="Times New Roman"/>
          <w:sz w:val="22"/>
          <w:szCs w:val="22"/>
        </w:rPr>
        <w:t xml:space="preserve">so-called CRC procedure. This error-detecting procedure is commonly used to detect accidental changes in data files. </w:t>
      </w:r>
      <w:r>
        <w:rPr>
          <w:rFonts w:ascii="Times New Roman" w:hAnsi="Times New Roman"/>
          <w:sz w:val="22"/>
          <w:szCs w:val="22"/>
        </w:rPr>
        <w:t>At any time the user can confirm t</w:t>
      </w:r>
      <w:r w:rsidRPr="00DA647C">
        <w:rPr>
          <w:rFonts w:ascii="Times New Roman" w:hAnsi="Times New Roman"/>
          <w:sz w:val="22"/>
          <w:szCs w:val="22"/>
        </w:rPr>
        <w:t xml:space="preserve">he integrity of the data files by clicking </w:t>
      </w:r>
      <w:r>
        <w:rPr>
          <w:rFonts w:ascii="Times New Roman" w:hAnsi="Times New Roman"/>
          <w:sz w:val="22"/>
          <w:szCs w:val="22"/>
        </w:rPr>
        <w:t xml:space="preserve">on </w:t>
      </w:r>
      <w:r w:rsidRPr="00DA647C">
        <w:rPr>
          <w:rFonts w:ascii="Times New Roman" w:hAnsi="Times New Roman"/>
          <w:sz w:val="22"/>
          <w:szCs w:val="22"/>
        </w:rPr>
        <w:t>the CRC Check button on the “About” pull</w:t>
      </w:r>
      <w:r>
        <w:rPr>
          <w:rFonts w:ascii="Times New Roman" w:hAnsi="Times New Roman"/>
          <w:sz w:val="22"/>
          <w:szCs w:val="22"/>
        </w:rPr>
        <w:t>-</w:t>
      </w:r>
      <w:r w:rsidRPr="00DA647C">
        <w:rPr>
          <w:rFonts w:ascii="Times New Roman" w:hAnsi="Times New Roman"/>
          <w:sz w:val="22"/>
          <w:szCs w:val="22"/>
        </w:rPr>
        <w:t xml:space="preserve">down </w:t>
      </w:r>
      <w:r>
        <w:rPr>
          <w:rFonts w:ascii="Times New Roman" w:hAnsi="Times New Roman"/>
          <w:sz w:val="22"/>
          <w:szCs w:val="22"/>
        </w:rPr>
        <w:t xml:space="preserve">menu </w:t>
      </w:r>
      <w:r w:rsidRPr="00DA647C">
        <w:rPr>
          <w:rFonts w:ascii="Times New Roman" w:hAnsi="Times New Roman"/>
          <w:sz w:val="22"/>
          <w:szCs w:val="22"/>
        </w:rPr>
        <w:t>off the main menu.</w:t>
      </w:r>
    </w:p>
    <w:p w:rsidR="00CD3F77" w:rsidRPr="000D74C7" w:rsidRDefault="00CD3F77" w:rsidP="00CD3F77">
      <w:pPr>
        <w:pStyle w:val="noindent"/>
      </w:pPr>
    </w:p>
    <w:p w:rsidR="00CD3F77" w:rsidRDefault="00CD3F77" w:rsidP="00CD3F77">
      <w:pPr>
        <w:pStyle w:val="Base"/>
        <w:jc w:val="center"/>
        <w:rPr>
          <w:rFonts w:ascii="Times New Roman" w:hAnsi="Times New Roman" w:cs="Times New Roman"/>
          <w:sz w:val="24"/>
          <w:szCs w:val="24"/>
        </w:rPr>
        <w:sectPr w:rsidR="00CD3F77">
          <w:footnotePr>
            <w:numFmt w:val="chicago"/>
            <w:numRestart w:val="eachPage"/>
          </w:footnotePr>
          <w:endnotePr>
            <w:numFmt w:val="decimal"/>
          </w:endnotePr>
          <w:pgSz w:w="12240" w:h="15840" w:code="1"/>
          <w:pgMar w:top="1440" w:right="1440" w:bottom="1440" w:left="1440" w:header="720" w:footer="720" w:gutter="0"/>
          <w:cols w:space="720"/>
        </w:sectPr>
      </w:pPr>
    </w:p>
    <w:p w:rsidR="00CD3F77" w:rsidRPr="00151237" w:rsidRDefault="00CD3F77" w:rsidP="00CD3F77">
      <w:pPr>
        <w:pStyle w:val="Heading1"/>
        <w:numPr>
          <w:ilvl w:val="0"/>
          <w:numId w:val="0"/>
        </w:numPr>
        <w:ind w:left="90"/>
      </w:pPr>
      <w:bookmarkStart w:id="92" w:name="_Toc355177444"/>
      <w:r w:rsidRPr="00151237">
        <w:lastRenderedPageBreak/>
        <w:t>4. SUMMARY</w:t>
      </w:r>
      <w:bookmarkEnd w:id="92"/>
    </w:p>
    <w:p w:rsidR="00CD3F77" w:rsidRPr="00151237" w:rsidRDefault="00CD3F77" w:rsidP="00CD3F77">
      <w:pPr>
        <w:pStyle w:val="Heading2"/>
        <w:numPr>
          <w:ilvl w:val="0"/>
          <w:numId w:val="0"/>
        </w:numPr>
      </w:pPr>
      <w:bookmarkStart w:id="93" w:name="_Toc355177445"/>
      <w:r w:rsidRPr="00151237">
        <w:t>4.1</w:t>
      </w:r>
      <w:r>
        <w:tab/>
      </w:r>
      <w:r w:rsidRPr="00151237">
        <w:t xml:space="preserve"> Summary and Conclusions</w:t>
      </w:r>
      <w:bookmarkEnd w:id="93"/>
    </w:p>
    <w:p w:rsidR="00CD3F77" w:rsidRPr="00DA647C" w:rsidRDefault="00CD3F77" w:rsidP="00CD3F77">
      <w:pPr>
        <w:jc w:val="both"/>
        <w:rPr>
          <w:sz w:val="22"/>
          <w:szCs w:val="22"/>
        </w:rPr>
      </w:pPr>
      <w:r w:rsidRPr="00DA647C">
        <w:rPr>
          <w:sz w:val="22"/>
          <w:szCs w:val="22"/>
        </w:rPr>
        <w:t>The objective of th</w:t>
      </w:r>
      <w:r>
        <w:rPr>
          <w:sz w:val="22"/>
          <w:szCs w:val="22"/>
        </w:rPr>
        <w:t xml:space="preserve">e Radiological Toolbox </w:t>
      </w:r>
      <w:r w:rsidRPr="00DA647C">
        <w:rPr>
          <w:sz w:val="22"/>
          <w:szCs w:val="22"/>
        </w:rPr>
        <w:t>software is to provide the health physicist with electronic access to the extensive and varied data that underlie occupational and environmental radiation protection. These data are available within documents issued by various national and international authorities. Under the guidelines for software development</w:t>
      </w:r>
      <w:r>
        <w:rPr>
          <w:sz w:val="22"/>
          <w:szCs w:val="22"/>
        </w:rPr>
        <w:t>,</w:t>
      </w:r>
      <w:r w:rsidRPr="00DA647C">
        <w:rPr>
          <w:sz w:val="22"/>
          <w:szCs w:val="22"/>
        </w:rPr>
        <w:t xml:space="preserve"> this application is categories to be of a general nature and in a utility role. It is assumed that the user is a trained professional or is undergoing training in health physics and thus the application is a technical resource. The numerical calculations undertaken within the Toolbox are, for the most part, limited to unit </w:t>
      </w:r>
      <w:r>
        <w:rPr>
          <w:sz w:val="22"/>
          <w:szCs w:val="22"/>
        </w:rPr>
        <w:t xml:space="preserve">conversion </w:t>
      </w:r>
      <w:r w:rsidRPr="00DA647C">
        <w:rPr>
          <w:sz w:val="22"/>
          <w:szCs w:val="22"/>
        </w:rPr>
        <w:t>if the user so requests. Calculations are also undertaken to derive inter</w:t>
      </w:r>
      <w:r>
        <w:rPr>
          <w:sz w:val="22"/>
          <w:szCs w:val="22"/>
        </w:rPr>
        <w:t xml:space="preserve">action </w:t>
      </w:r>
      <w:r w:rsidRPr="00DA647C">
        <w:rPr>
          <w:sz w:val="22"/>
          <w:szCs w:val="22"/>
        </w:rPr>
        <w:t>cross-sections for user</w:t>
      </w:r>
      <w:r>
        <w:rPr>
          <w:sz w:val="22"/>
          <w:szCs w:val="22"/>
        </w:rPr>
        <w:t>-</w:t>
      </w:r>
      <w:r w:rsidRPr="00DA647C">
        <w:rPr>
          <w:sz w:val="22"/>
          <w:szCs w:val="22"/>
        </w:rPr>
        <w:t xml:space="preserve">specified material, tabulate beta spectra in terms of histograms for input into Monte Carlo calculations, tabulate the activity of members of decay chains at user specified times, and </w:t>
      </w:r>
      <w:r>
        <w:rPr>
          <w:sz w:val="22"/>
          <w:szCs w:val="22"/>
        </w:rPr>
        <w:t xml:space="preserve">tabulate </w:t>
      </w:r>
      <w:r w:rsidRPr="00DA647C">
        <w:rPr>
          <w:sz w:val="22"/>
          <w:szCs w:val="22"/>
        </w:rPr>
        <w:t xml:space="preserve">organ doses for intakes of nuclide mixtures. </w:t>
      </w:r>
    </w:p>
    <w:p w:rsidR="00CD3F77" w:rsidRPr="00DA647C" w:rsidRDefault="00CD3F77" w:rsidP="00CD3F77">
      <w:pPr>
        <w:rPr>
          <w:sz w:val="22"/>
          <w:szCs w:val="22"/>
        </w:rPr>
      </w:pPr>
    </w:p>
    <w:p w:rsidR="00CD3F77" w:rsidRPr="00DA647C" w:rsidRDefault="00CD3F77" w:rsidP="00CD3F77">
      <w:pPr>
        <w:jc w:val="both"/>
        <w:rPr>
          <w:sz w:val="22"/>
          <w:szCs w:val="22"/>
        </w:rPr>
      </w:pPr>
      <w:r w:rsidRPr="00DA647C">
        <w:rPr>
          <w:sz w:val="22"/>
          <w:szCs w:val="22"/>
        </w:rPr>
        <w:t>The Rad</w:t>
      </w:r>
      <w:r>
        <w:rPr>
          <w:sz w:val="22"/>
          <w:szCs w:val="22"/>
        </w:rPr>
        <w:t>iological</w:t>
      </w:r>
      <w:r w:rsidRPr="00DA647C">
        <w:rPr>
          <w:sz w:val="22"/>
          <w:szCs w:val="22"/>
        </w:rPr>
        <w:t xml:space="preserve"> Toolbox has been well received by the user community. While </w:t>
      </w:r>
      <w:r>
        <w:rPr>
          <w:sz w:val="22"/>
          <w:szCs w:val="22"/>
        </w:rPr>
        <w:t xml:space="preserve">this version (3.0) </w:t>
      </w:r>
      <w:r w:rsidRPr="00DA647C">
        <w:rPr>
          <w:sz w:val="22"/>
          <w:szCs w:val="22"/>
        </w:rPr>
        <w:t xml:space="preserve">may not respond to all user comments and suggestions we </w:t>
      </w:r>
      <w:r>
        <w:rPr>
          <w:sz w:val="22"/>
          <w:szCs w:val="22"/>
        </w:rPr>
        <w:t xml:space="preserve">continue to </w:t>
      </w:r>
      <w:r w:rsidRPr="00DA647C">
        <w:rPr>
          <w:sz w:val="22"/>
          <w:szCs w:val="22"/>
        </w:rPr>
        <w:t xml:space="preserve">look forward to further comments and suggestions. </w:t>
      </w:r>
    </w:p>
    <w:p w:rsidR="00CD3F77" w:rsidRPr="00151237" w:rsidRDefault="00CD3F77" w:rsidP="00CD3F77">
      <w:pPr>
        <w:pStyle w:val="Heading2"/>
        <w:numPr>
          <w:ilvl w:val="0"/>
          <w:numId w:val="0"/>
        </w:numPr>
      </w:pPr>
      <w:bookmarkStart w:id="94" w:name="_Toc355177446"/>
      <w:r w:rsidRPr="00151237">
        <w:t>4.2</w:t>
      </w:r>
      <w:r>
        <w:tab/>
      </w:r>
      <w:r w:rsidRPr="00151237">
        <w:t xml:space="preserve"> Topics for Further Consideration</w:t>
      </w:r>
      <w:bookmarkEnd w:id="94"/>
    </w:p>
    <w:p w:rsidR="00CD3F77" w:rsidRPr="00DA647C" w:rsidRDefault="00CD3F77" w:rsidP="00CD3F77">
      <w:pPr>
        <w:jc w:val="both"/>
        <w:rPr>
          <w:sz w:val="22"/>
          <w:szCs w:val="22"/>
        </w:rPr>
      </w:pPr>
      <w:r w:rsidRPr="00DA647C">
        <w:rPr>
          <w:sz w:val="22"/>
          <w:szCs w:val="22"/>
        </w:rPr>
        <w:t>The Rad</w:t>
      </w:r>
      <w:r>
        <w:rPr>
          <w:sz w:val="22"/>
          <w:szCs w:val="22"/>
        </w:rPr>
        <w:t>iological</w:t>
      </w:r>
      <w:r w:rsidRPr="00DA647C">
        <w:rPr>
          <w:sz w:val="22"/>
          <w:szCs w:val="22"/>
        </w:rPr>
        <w:t xml:space="preserve"> Toolbox software was developed for application on a Windows-based laptop without </w:t>
      </w:r>
      <w:r>
        <w:rPr>
          <w:sz w:val="22"/>
          <w:szCs w:val="22"/>
        </w:rPr>
        <w:t xml:space="preserve">requiring </w:t>
      </w:r>
      <w:r w:rsidRPr="00DA647C">
        <w:rPr>
          <w:sz w:val="22"/>
          <w:szCs w:val="22"/>
        </w:rPr>
        <w:t xml:space="preserve">access to the internet. The feasibility of implementing the Toolbox on tablets and smartphone devices or </w:t>
      </w:r>
      <w:r>
        <w:rPr>
          <w:sz w:val="22"/>
          <w:szCs w:val="22"/>
        </w:rPr>
        <w:t xml:space="preserve">as web-based software </w:t>
      </w:r>
      <w:r w:rsidRPr="00DA647C">
        <w:rPr>
          <w:sz w:val="22"/>
          <w:szCs w:val="22"/>
        </w:rPr>
        <w:t xml:space="preserve">was considered </w:t>
      </w:r>
      <w:r>
        <w:rPr>
          <w:sz w:val="22"/>
          <w:szCs w:val="22"/>
        </w:rPr>
        <w:t xml:space="preserve">during </w:t>
      </w:r>
      <w:r w:rsidRPr="00DA647C">
        <w:rPr>
          <w:sz w:val="22"/>
          <w:szCs w:val="22"/>
        </w:rPr>
        <w:t xml:space="preserve">the course of the project. The latter was judged to be the best option </w:t>
      </w:r>
      <w:r>
        <w:rPr>
          <w:sz w:val="22"/>
          <w:szCs w:val="22"/>
        </w:rPr>
        <w:t xml:space="preserve">because </w:t>
      </w:r>
      <w:r w:rsidRPr="00DA647C">
        <w:rPr>
          <w:sz w:val="22"/>
          <w:szCs w:val="22"/>
        </w:rPr>
        <w:t xml:space="preserve">web access does not appear to be </w:t>
      </w:r>
      <w:r>
        <w:rPr>
          <w:sz w:val="22"/>
          <w:szCs w:val="22"/>
        </w:rPr>
        <w:t xml:space="preserve">a </w:t>
      </w:r>
      <w:r w:rsidRPr="00DA647C">
        <w:rPr>
          <w:sz w:val="22"/>
          <w:szCs w:val="22"/>
        </w:rPr>
        <w:t>limiting issue.</w:t>
      </w:r>
    </w:p>
    <w:p w:rsidR="00CD3F77" w:rsidRPr="00DA647C" w:rsidRDefault="00CD3F77" w:rsidP="00CD3F77">
      <w:pPr>
        <w:jc w:val="both"/>
        <w:rPr>
          <w:sz w:val="22"/>
          <w:szCs w:val="22"/>
        </w:rPr>
      </w:pPr>
    </w:p>
    <w:p w:rsidR="00CD3F77" w:rsidRPr="00DA647C" w:rsidRDefault="00CD3F77" w:rsidP="00CD3F77">
      <w:pPr>
        <w:jc w:val="both"/>
        <w:rPr>
          <w:sz w:val="22"/>
          <w:szCs w:val="22"/>
        </w:rPr>
      </w:pPr>
      <w:r w:rsidRPr="00DA647C">
        <w:rPr>
          <w:sz w:val="22"/>
          <w:szCs w:val="22"/>
        </w:rPr>
        <w:t>Radiation protection is itself in a period of change</w:t>
      </w:r>
      <w:r>
        <w:rPr>
          <w:sz w:val="22"/>
          <w:szCs w:val="22"/>
        </w:rPr>
        <w:t>. T</w:t>
      </w:r>
      <w:r w:rsidRPr="00DA647C">
        <w:rPr>
          <w:sz w:val="22"/>
          <w:szCs w:val="22"/>
        </w:rPr>
        <w:t xml:space="preserve">he recommendations of ICRP </w:t>
      </w:r>
      <w:r>
        <w:rPr>
          <w:sz w:val="22"/>
          <w:szCs w:val="22"/>
        </w:rPr>
        <w:t xml:space="preserve">Publication 103 (2007) </w:t>
      </w:r>
      <w:r w:rsidRPr="00DA647C">
        <w:rPr>
          <w:sz w:val="22"/>
          <w:szCs w:val="22"/>
        </w:rPr>
        <w:t>are being translated to nuclide-specific operational quantities and rule</w:t>
      </w:r>
      <w:r>
        <w:rPr>
          <w:sz w:val="22"/>
          <w:szCs w:val="22"/>
        </w:rPr>
        <w:t>-</w:t>
      </w:r>
      <w:r w:rsidRPr="00DA647C">
        <w:rPr>
          <w:sz w:val="22"/>
          <w:szCs w:val="22"/>
        </w:rPr>
        <w:t xml:space="preserve">making </w:t>
      </w:r>
      <w:r>
        <w:rPr>
          <w:sz w:val="22"/>
          <w:szCs w:val="22"/>
        </w:rPr>
        <w:t xml:space="preserve">is being considered </w:t>
      </w:r>
      <w:r w:rsidRPr="00DA647C">
        <w:rPr>
          <w:sz w:val="22"/>
          <w:szCs w:val="22"/>
        </w:rPr>
        <w:t xml:space="preserve">to adopt </w:t>
      </w:r>
      <w:r>
        <w:rPr>
          <w:sz w:val="22"/>
          <w:szCs w:val="22"/>
        </w:rPr>
        <w:t xml:space="preserve">these recommendations within the </w:t>
      </w:r>
      <w:r w:rsidRPr="00DA647C">
        <w:rPr>
          <w:sz w:val="22"/>
          <w:szCs w:val="22"/>
        </w:rPr>
        <w:t>U.S. Thus</w:t>
      </w:r>
      <w:r>
        <w:rPr>
          <w:sz w:val="22"/>
          <w:szCs w:val="22"/>
        </w:rPr>
        <w:t>,</w:t>
      </w:r>
      <w:r w:rsidRPr="00DA647C">
        <w:rPr>
          <w:sz w:val="22"/>
          <w:szCs w:val="22"/>
        </w:rPr>
        <w:t xml:space="preserve"> this is not the time to undertake a major rewrite of the Toolbox software.</w:t>
      </w:r>
    </w:p>
    <w:p w:rsidR="00CD3F77" w:rsidRPr="00DA647C" w:rsidRDefault="00CD3F77" w:rsidP="00CD3F77">
      <w:pPr>
        <w:jc w:val="both"/>
        <w:rPr>
          <w:sz w:val="22"/>
          <w:szCs w:val="22"/>
        </w:rPr>
      </w:pPr>
    </w:p>
    <w:p w:rsidR="00CD3F77" w:rsidRDefault="00CD3F77" w:rsidP="00CD3F77">
      <w:pPr>
        <w:sectPr w:rsidR="00CD3F77">
          <w:endnotePr>
            <w:numFmt w:val="decimal"/>
          </w:endnotePr>
          <w:pgSz w:w="12240" w:h="15840" w:code="1"/>
          <w:pgMar w:top="1440" w:right="1440" w:bottom="1440" w:left="1440" w:header="720" w:footer="720" w:gutter="0"/>
          <w:cols w:space="720"/>
        </w:sectPr>
      </w:pPr>
    </w:p>
    <w:p w:rsidR="00CD3F77" w:rsidRDefault="00CD3F77" w:rsidP="00CD3F77">
      <w:pPr>
        <w:pStyle w:val="Heading1"/>
        <w:numPr>
          <w:ilvl w:val="0"/>
          <w:numId w:val="0"/>
        </w:numPr>
      </w:pPr>
      <w:bookmarkStart w:id="95" w:name="_Toc355177447"/>
      <w:r>
        <w:lastRenderedPageBreak/>
        <w:t xml:space="preserve">5. </w:t>
      </w:r>
      <w:r w:rsidRPr="00423B81">
        <w:t>REFERENCES</w:t>
      </w:r>
      <w:bookmarkEnd w:id="29"/>
      <w:bookmarkEnd w:id="30"/>
      <w:bookmarkEnd w:id="50"/>
      <w:bookmarkEnd w:id="95"/>
    </w:p>
    <w:p w:rsidR="00CD3F77" w:rsidRPr="008E4A44" w:rsidRDefault="00CD3F77" w:rsidP="00CD3F77">
      <w:pPr>
        <w:rPr>
          <w:sz w:val="22"/>
          <w:szCs w:val="22"/>
        </w:rPr>
      </w:pPr>
      <w:proofErr w:type="gramStart"/>
      <w:r w:rsidRPr="008E4A44">
        <w:rPr>
          <w:sz w:val="22"/>
          <w:szCs w:val="22"/>
        </w:rPr>
        <w:t>ANSI</w:t>
      </w:r>
      <w:r>
        <w:rPr>
          <w:sz w:val="22"/>
          <w:szCs w:val="22"/>
        </w:rPr>
        <w:t>,</w:t>
      </w:r>
      <w:r w:rsidRPr="008E4A44">
        <w:rPr>
          <w:sz w:val="22"/>
          <w:szCs w:val="22"/>
        </w:rPr>
        <w:t xml:space="preserve"> 1991.</w:t>
      </w:r>
      <w:proofErr w:type="gramEnd"/>
      <w:r w:rsidRPr="008E4A44">
        <w:rPr>
          <w:sz w:val="22"/>
          <w:szCs w:val="22"/>
        </w:rPr>
        <w:t xml:space="preserve"> </w:t>
      </w:r>
      <w:proofErr w:type="gramStart"/>
      <w:r w:rsidRPr="008E4A44">
        <w:rPr>
          <w:sz w:val="22"/>
          <w:szCs w:val="22"/>
        </w:rPr>
        <w:t>“American National Standard Gamma-ray Attenuation Coefficients and Buildup Factor for Engineering Materials.”</w:t>
      </w:r>
      <w:proofErr w:type="gramEnd"/>
      <w:r w:rsidRPr="008E4A44">
        <w:rPr>
          <w:sz w:val="22"/>
          <w:szCs w:val="22"/>
        </w:rPr>
        <w:t xml:space="preserve"> ANSI/ANS-6.4.3.</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 xml:space="preserve">Audi, G. and A.H. </w:t>
      </w:r>
      <w:proofErr w:type="spellStart"/>
      <w:r w:rsidRPr="008E4A44">
        <w:rPr>
          <w:sz w:val="22"/>
          <w:szCs w:val="22"/>
        </w:rPr>
        <w:t>Wapstra</w:t>
      </w:r>
      <w:proofErr w:type="spellEnd"/>
      <w:r>
        <w:rPr>
          <w:sz w:val="22"/>
          <w:szCs w:val="22"/>
        </w:rPr>
        <w:t>,</w:t>
      </w:r>
      <w:r w:rsidRPr="008E4A44">
        <w:rPr>
          <w:sz w:val="22"/>
          <w:szCs w:val="22"/>
        </w:rPr>
        <w:t xml:space="preserve"> 1995.</w:t>
      </w:r>
      <w:proofErr w:type="gramEnd"/>
      <w:r w:rsidRPr="008E4A44">
        <w:rPr>
          <w:sz w:val="22"/>
          <w:szCs w:val="22"/>
        </w:rPr>
        <w:t xml:space="preserve"> “The 1995 Update to the Atomic Mass Evaluation.”</w:t>
      </w:r>
      <w:r w:rsidRPr="001B7671">
        <w:rPr>
          <w:i/>
          <w:sz w:val="22"/>
          <w:szCs w:val="22"/>
        </w:rPr>
        <w:t xml:space="preserve"> </w:t>
      </w:r>
      <w:proofErr w:type="spellStart"/>
      <w:proofErr w:type="gramStart"/>
      <w:r w:rsidRPr="001B7671">
        <w:rPr>
          <w:i/>
          <w:sz w:val="22"/>
          <w:szCs w:val="22"/>
        </w:rPr>
        <w:t>Nucl</w:t>
      </w:r>
      <w:proofErr w:type="spellEnd"/>
      <w:r w:rsidRPr="001B7671">
        <w:rPr>
          <w:i/>
          <w:sz w:val="22"/>
          <w:szCs w:val="22"/>
        </w:rPr>
        <w:t>.</w:t>
      </w:r>
      <w:proofErr w:type="gramEnd"/>
      <w:r w:rsidRPr="001B7671">
        <w:rPr>
          <w:i/>
          <w:sz w:val="22"/>
          <w:szCs w:val="22"/>
        </w:rPr>
        <w:t xml:space="preserve"> </w:t>
      </w:r>
      <w:proofErr w:type="gramStart"/>
      <w:r w:rsidRPr="001B7671">
        <w:rPr>
          <w:i/>
          <w:sz w:val="22"/>
          <w:szCs w:val="22"/>
        </w:rPr>
        <w:t>Phys. A</w:t>
      </w:r>
      <w:r w:rsidRPr="008E4A44">
        <w:rPr>
          <w:sz w:val="22"/>
          <w:szCs w:val="22"/>
        </w:rPr>
        <w:t xml:space="preserve">. </w:t>
      </w:r>
      <w:r w:rsidRPr="001B7671">
        <w:rPr>
          <w:b/>
          <w:sz w:val="22"/>
          <w:szCs w:val="22"/>
        </w:rPr>
        <w:t>595</w:t>
      </w:r>
      <w:r w:rsidRPr="008E4A44">
        <w:rPr>
          <w:sz w:val="22"/>
          <w:szCs w:val="22"/>
        </w:rPr>
        <w:t>(4), 409.</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Baum, E.M., H.D. Knox, and T.R. Miller</w:t>
      </w:r>
      <w:r>
        <w:rPr>
          <w:sz w:val="22"/>
          <w:szCs w:val="22"/>
        </w:rPr>
        <w:t>,</w:t>
      </w:r>
      <w:r w:rsidRPr="008E4A44">
        <w:rPr>
          <w:sz w:val="22"/>
          <w:szCs w:val="22"/>
        </w:rPr>
        <w:t xml:space="preserve"> 2002.</w:t>
      </w:r>
      <w:proofErr w:type="gramEnd"/>
      <w:r w:rsidRPr="008E4A44">
        <w:rPr>
          <w:sz w:val="22"/>
          <w:szCs w:val="22"/>
        </w:rPr>
        <w:t xml:space="preserve"> </w:t>
      </w:r>
      <w:proofErr w:type="gramStart"/>
      <w:r w:rsidRPr="008E4A44">
        <w:rPr>
          <w:sz w:val="22"/>
          <w:szCs w:val="22"/>
        </w:rPr>
        <w:t>“Nuclides and Isotopes, 16th Edition of the Chart of the Nuclides.”</w:t>
      </w:r>
      <w:proofErr w:type="gramEnd"/>
      <w:r w:rsidRPr="008E4A44">
        <w:rPr>
          <w:sz w:val="22"/>
          <w:szCs w:val="22"/>
        </w:rPr>
        <w:t xml:space="preserve"> </w:t>
      </w:r>
      <w:proofErr w:type="gramStart"/>
      <w:r w:rsidRPr="008E4A44">
        <w:rPr>
          <w:sz w:val="22"/>
          <w:szCs w:val="22"/>
        </w:rPr>
        <w:t xml:space="preserve">Knolls Atomic Power Laboratory, Inc. Schenectady, NY, </w:t>
      </w:r>
      <w:hyperlink r:id="rId39" w:history="1">
        <w:r w:rsidRPr="001C40CD">
          <w:rPr>
            <w:rStyle w:val="Hyperlink"/>
            <w:sz w:val="22"/>
            <w:szCs w:val="22"/>
          </w:rPr>
          <w:t>http://ChartOfTheNuclides.com</w:t>
        </w:r>
      </w:hyperlink>
      <w:r w:rsidRPr="008E4A44">
        <w:rPr>
          <w:sz w:val="22"/>
          <w:szCs w:val="22"/>
        </w:rPr>
        <w:t>.</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BEIR</w:t>
      </w:r>
      <w:r>
        <w:rPr>
          <w:sz w:val="22"/>
          <w:szCs w:val="22"/>
        </w:rPr>
        <w:t>,</w:t>
      </w:r>
      <w:r w:rsidRPr="008E4A44">
        <w:rPr>
          <w:sz w:val="22"/>
          <w:szCs w:val="22"/>
        </w:rPr>
        <w:t xml:space="preserve"> 2006.</w:t>
      </w:r>
      <w:proofErr w:type="gramEnd"/>
      <w:r w:rsidRPr="008E4A44">
        <w:rPr>
          <w:sz w:val="22"/>
          <w:szCs w:val="22"/>
        </w:rPr>
        <w:t xml:space="preserve"> </w:t>
      </w:r>
      <w:proofErr w:type="gramStart"/>
      <w:r w:rsidRPr="008E4A44">
        <w:rPr>
          <w:i/>
          <w:sz w:val="22"/>
          <w:szCs w:val="22"/>
        </w:rPr>
        <w:t>Health Risk from Exposure to Low Levels of Ionizing Radiation</w:t>
      </w:r>
      <w:r w:rsidRPr="008E4A44">
        <w:rPr>
          <w:sz w:val="22"/>
          <w:szCs w:val="22"/>
        </w:rPr>
        <w:t>.</w:t>
      </w:r>
      <w:proofErr w:type="gramEnd"/>
      <w:r w:rsidRPr="008E4A44">
        <w:rPr>
          <w:sz w:val="22"/>
          <w:szCs w:val="22"/>
        </w:rPr>
        <w:t xml:space="preserve"> </w:t>
      </w:r>
      <w:proofErr w:type="gramStart"/>
      <w:r w:rsidRPr="008E4A44">
        <w:rPr>
          <w:sz w:val="22"/>
          <w:szCs w:val="22"/>
        </w:rPr>
        <w:t>National Academy Press, Washington</w:t>
      </w:r>
      <w:r>
        <w:rPr>
          <w:sz w:val="22"/>
          <w:szCs w:val="22"/>
        </w:rPr>
        <w:t>,</w:t>
      </w:r>
      <w:r w:rsidRPr="008E4A44">
        <w:rPr>
          <w:sz w:val="22"/>
          <w:szCs w:val="22"/>
        </w:rPr>
        <w:t xml:space="preserve"> DC.</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 xml:space="preserve">Berger, M.J., </w:t>
      </w:r>
      <w:r>
        <w:rPr>
          <w:sz w:val="22"/>
          <w:szCs w:val="22"/>
        </w:rPr>
        <w:t xml:space="preserve">J.S. </w:t>
      </w:r>
      <w:proofErr w:type="spellStart"/>
      <w:r>
        <w:rPr>
          <w:sz w:val="22"/>
          <w:szCs w:val="22"/>
        </w:rPr>
        <w:t>Coursey</w:t>
      </w:r>
      <w:proofErr w:type="spellEnd"/>
      <w:r>
        <w:rPr>
          <w:sz w:val="22"/>
          <w:szCs w:val="22"/>
        </w:rPr>
        <w:t xml:space="preserve">, M.A. </w:t>
      </w:r>
      <w:proofErr w:type="spellStart"/>
      <w:r>
        <w:rPr>
          <w:sz w:val="22"/>
          <w:szCs w:val="22"/>
        </w:rPr>
        <w:t>Zucker</w:t>
      </w:r>
      <w:proofErr w:type="spellEnd"/>
      <w:r>
        <w:rPr>
          <w:sz w:val="22"/>
          <w:szCs w:val="22"/>
        </w:rPr>
        <w:t xml:space="preserve">, and J. Chang, </w:t>
      </w:r>
      <w:r w:rsidRPr="008E4A44">
        <w:rPr>
          <w:sz w:val="22"/>
          <w:szCs w:val="22"/>
        </w:rPr>
        <w:t>2005.</w:t>
      </w:r>
      <w:proofErr w:type="gramEnd"/>
      <w:r w:rsidRPr="008E4A44">
        <w:rPr>
          <w:sz w:val="22"/>
          <w:szCs w:val="22"/>
        </w:rPr>
        <w:t xml:space="preserve"> </w:t>
      </w:r>
      <w:r w:rsidRPr="00845FB3">
        <w:rPr>
          <w:i/>
          <w:sz w:val="22"/>
          <w:szCs w:val="22"/>
        </w:rPr>
        <w:t>ESTAR, PSTAR, and ASTAR:</w:t>
      </w:r>
      <w:r w:rsidRPr="008E4A44">
        <w:rPr>
          <w:sz w:val="22"/>
          <w:szCs w:val="22"/>
        </w:rPr>
        <w:t xml:space="preserve"> </w:t>
      </w:r>
      <w:r w:rsidRPr="008E4A44">
        <w:rPr>
          <w:i/>
          <w:sz w:val="22"/>
          <w:szCs w:val="22"/>
        </w:rPr>
        <w:t>Computer Programs for Calculating Stopping-Power and Range Tables for Electrons, Protons, and Helium Ions</w:t>
      </w:r>
      <w:r w:rsidRPr="008E4A44">
        <w:rPr>
          <w:sz w:val="22"/>
          <w:szCs w:val="22"/>
        </w:rPr>
        <w:t xml:space="preserve"> (ver. 1.2.3). Available: </w:t>
      </w:r>
      <w:hyperlink r:id="rId40" w:history="1">
        <w:r w:rsidRPr="008E4A44">
          <w:rPr>
            <w:rStyle w:val="Hyperlink"/>
            <w:sz w:val="22"/>
            <w:szCs w:val="22"/>
          </w:rPr>
          <w:t>http://physics.nist.gov/Star</w:t>
        </w:r>
      </w:hyperlink>
      <w:r w:rsidRPr="008E4A44">
        <w:rPr>
          <w:sz w:val="22"/>
          <w:szCs w:val="22"/>
        </w:rPr>
        <w:t xml:space="preserve">. </w:t>
      </w:r>
      <w:proofErr w:type="gramStart"/>
      <w:r w:rsidRPr="008E4A44">
        <w:rPr>
          <w:sz w:val="22"/>
          <w:szCs w:val="22"/>
        </w:rPr>
        <w:t>National Institute of Standards and Technology, Gaithersburg, MD.</w:t>
      </w:r>
      <w:proofErr w:type="gramEnd"/>
    </w:p>
    <w:p w:rsidR="00CD3F77" w:rsidRPr="008E4A44" w:rsidRDefault="00CD3F77" w:rsidP="00CD3F77">
      <w:pPr>
        <w:pStyle w:val="noindent"/>
        <w:rPr>
          <w:rFonts w:ascii="Times New Roman" w:hAnsi="Times New Roman"/>
          <w:sz w:val="22"/>
          <w:szCs w:val="22"/>
        </w:rPr>
      </w:pPr>
    </w:p>
    <w:p w:rsidR="00CD3F77" w:rsidRPr="00845FB3" w:rsidRDefault="00CD3F77" w:rsidP="00CD3F77">
      <w:pPr>
        <w:pStyle w:val="noindent"/>
        <w:rPr>
          <w:rFonts w:ascii="Times New Roman" w:hAnsi="Times New Roman"/>
          <w:sz w:val="22"/>
          <w:szCs w:val="22"/>
        </w:rPr>
      </w:pPr>
      <w:r w:rsidRPr="00845FB3">
        <w:rPr>
          <w:rFonts w:ascii="Times New Roman" w:hAnsi="Times New Roman"/>
          <w:sz w:val="22"/>
          <w:szCs w:val="22"/>
        </w:rPr>
        <w:t xml:space="preserve">Berger, M.J., </w:t>
      </w:r>
      <w:r w:rsidRPr="00845FB3">
        <w:rPr>
          <w:rStyle w:val="Strong"/>
          <w:rFonts w:ascii="Times New Roman" w:hAnsi="Times New Roman"/>
          <w:b w:val="0"/>
          <w:sz w:val="22"/>
          <w:szCs w:val="22"/>
        </w:rPr>
        <w:t xml:space="preserve">J.H. Hubbell, S.M. Seltzer, J. Chang, J.S. </w:t>
      </w:r>
      <w:proofErr w:type="spellStart"/>
      <w:r w:rsidRPr="00845FB3">
        <w:rPr>
          <w:rStyle w:val="Strong"/>
          <w:rFonts w:ascii="Times New Roman" w:hAnsi="Times New Roman"/>
          <w:b w:val="0"/>
          <w:sz w:val="22"/>
          <w:szCs w:val="22"/>
        </w:rPr>
        <w:t>Coursey</w:t>
      </w:r>
      <w:proofErr w:type="spellEnd"/>
      <w:r w:rsidRPr="00845FB3">
        <w:rPr>
          <w:rStyle w:val="Strong"/>
          <w:rFonts w:ascii="Times New Roman" w:hAnsi="Times New Roman"/>
          <w:b w:val="0"/>
          <w:sz w:val="22"/>
          <w:szCs w:val="22"/>
        </w:rPr>
        <w:t xml:space="preserve">, R. </w:t>
      </w:r>
      <w:proofErr w:type="spellStart"/>
      <w:r w:rsidRPr="00845FB3">
        <w:rPr>
          <w:rStyle w:val="Strong"/>
          <w:rFonts w:ascii="Times New Roman" w:hAnsi="Times New Roman"/>
          <w:b w:val="0"/>
          <w:sz w:val="22"/>
          <w:szCs w:val="22"/>
        </w:rPr>
        <w:t>Sukumar</w:t>
      </w:r>
      <w:proofErr w:type="spellEnd"/>
      <w:r w:rsidRPr="00845FB3">
        <w:rPr>
          <w:rStyle w:val="Strong"/>
          <w:rFonts w:ascii="Times New Roman" w:hAnsi="Times New Roman"/>
          <w:b w:val="0"/>
          <w:sz w:val="22"/>
          <w:szCs w:val="22"/>
        </w:rPr>
        <w:t xml:space="preserve">, D.S. </w:t>
      </w:r>
      <w:proofErr w:type="spellStart"/>
      <w:r w:rsidRPr="00845FB3">
        <w:rPr>
          <w:rStyle w:val="Strong"/>
          <w:rFonts w:ascii="Times New Roman" w:hAnsi="Times New Roman"/>
          <w:b w:val="0"/>
          <w:sz w:val="22"/>
          <w:szCs w:val="22"/>
        </w:rPr>
        <w:t>Zucker</w:t>
      </w:r>
      <w:proofErr w:type="spellEnd"/>
      <w:r w:rsidRPr="00845FB3">
        <w:rPr>
          <w:rStyle w:val="Strong"/>
          <w:rFonts w:ascii="Times New Roman" w:hAnsi="Times New Roman"/>
          <w:b w:val="0"/>
          <w:sz w:val="22"/>
          <w:szCs w:val="22"/>
        </w:rPr>
        <w:t>, and K. Olsen</w:t>
      </w:r>
      <w:r>
        <w:rPr>
          <w:rStyle w:val="Strong"/>
          <w:rFonts w:ascii="Times New Roman" w:hAnsi="Times New Roman"/>
          <w:b w:val="0"/>
          <w:sz w:val="22"/>
          <w:szCs w:val="22"/>
        </w:rPr>
        <w:t>,</w:t>
      </w:r>
      <w:r w:rsidRPr="00845FB3">
        <w:rPr>
          <w:rStyle w:val="Strong"/>
          <w:rFonts w:ascii="Times New Roman" w:hAnsi="Times New Roman"/>
          <w:b w:val="0"/>
          <w:sz w:val="22"/>
          <w:szCs w:val="22"/>
        </w:rPr>
        <w:t xml:space="preserve"> </w:t>
      </w:r>
      <w:r w:rsidRPr="00845FB3">
        <w:rPr>
          <w:rFonts w:ascii="Times New Roman" w:hAnsi="Times New Roman"/>
          <w:sz w:val="22"/>
          <w:szCs w:val="22"/>
        </w:rPr>
        <w:t xml:space="preserve">2010. XCOM: </w:t>
      </w:r>
      <w:r w:rsidRPr="00845FB3">
        <w:rPr>
          <w:rFonts w:ascii="Times New Roman" w:hAnsi="Times New Roman"/>
          <w:i/>
          <w:sz w:val="22"/>
          <w:szCs w:val="22"/>
        </w:rPr>
        <w:t>Photon Cross Section Database</w:t>
      </w:r>
      <w:r w:rsidRPr="00845FB3">
        <w:rPr>
          <w:rFonts w:ascii="Times New Roman" w:hAnsi="Times New Roman"/>
          <w:sz w:val="22"/>
          <w:szCs w:val="22"/>
        </w:rPr>
        <w:t xml:space="preserve"> (ver. 1.5). Available:</w:t>
      </w:r>
      <w:r>
        <w:rPr>
          <w:rFonts w:ascii="Times New Roman" w:hAnsi="Times New Roman"/>
          <w:sz w:val="22"/>
          <w:szCs w:val="22"/>
        </w:rPr>
        <w:t xml:space="preserve"> </w:t>
      </w:r>
      <w:hyperlink r:id="rId41" w:history="1">
        <w:r w:rsidRPr="001C40CD">
          <w:rPr>
            <w:rStyle w:val="Hyperlink"/>
            <w:rFonts w:ascii="Times New Roman" w:hAnsi="Times New Roman"/>
            <w:sz w:val="22"/>
            <w:szCs w:val="22"/>
          </w:rPr>
          <w:t>http://physics.nist.gov/xcom</w:t>
        </w:r>
      </w:hyperlink>
      <w:r w:rsidRPr="00845FB3">
        <w:rPr>
          <w:rFonts w:ascii="Times New Roman" w:hAnsi="Times New Roman"/>
          <w:sz w:val="22"/>
          <w:szCs w:val="22"/>
        </w:rPr>
        <w:t xml:space="preserve">. </w:t>
      </w:r>
      <w:proofErr w:type="gramStart"/>
      <w:r w:rsidRPr="00845FB3">
        <w:rPr>
          <w:rFonts w:ascii="Times New Roman" w:hAnsi="Times New Roman"/>
          <w:sz w:val="22"/>
          <w:szCs w:val="22"/>
        </w:rPr>
        <w:t>National Institute of Standards and Technology, Gaithersburg, MD.</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Coplen</w:t>
      </w:r>
      <w:proofErr w:type="spellEnd"/>
      <w:r w:rsidRPr="008E4A44">
        <w:rPr>
          <w:sz w:val="22"/>
          <w:szCs w:val="22"/>
        </w:rPr>
        <w:t>, T.B</w:t>
      </w:r>
      <w:r>
        <w:rPr>
          <w:sz w:val="22"/>
          <w:szCs w:val="22"/>
        </w:rPr>
        <w:t>,</w:t>
      </w:r>
      <w:r w:rsidRPr="008E4A44">
        <w:rPr>
          <w:sz w:val="22"/>
          <w:szCs w:val="22"/>
        </w:rPr>
        <w:t xml:space="preserve"> 2001. </w:t>
      </w:r>
      <w:proofErr w:type="gramStart"/>
      <w:r w:rsidRPr="008E4A44">
        <w:rPr>
          <w:sz w:val="22"/>
          <w:szCs w:val="22"/>
        </w:rPr>
        <w:t>“Atomic Weights of the Elements 1999.”</w:t>
      </w:r>
      <w:proofErr w:type="gramEnd"/>
      <w:r w:rsidRPr="008E4A44">
        <w:rPr>
          <w:sz w:val="22"/>
          <w:szCs w:val="22"/>
        </w:rPr>
        <w:t xml:space="preserve"> </w:t>
      </w:r>
      <w:proofErr w:type="gramStart"/>
      <w:r w:rsidRPr="00A54F2D">
        <w:rPr>
          <w:i/>
          <w:sz w:val="22"/>
          <w:szCs w:val="22"/>
        </w:rPr>
        <w:t>Pure Appl. Chem</w:t>
      </w:r>
      <w:r w:rsidRPr="008E4A44">
        <w:rPr>
          <w:sz w:val="22"/>
          <w:szCs w:val="22"/>
        </w:rPr>
        <w:t>. 73(4), 667.</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t>Coursey</w:t>
      </w:r>
      <w:proofErr w:type="spellEnd"/>
      <w:r w:rsidRPr="008E4A44">
        <w:rPr>
          <w:sz w:val="22"/>
          <w:szCs w:val="22"/>
        </w:rPr>
        <w:t xml:space="preserve">, J.S., D.J. Schwab, and R.A. </w:t>
      </w:r>
      <w:proofErr w:type="spellStart"/>
      <w:r w:rsidRPr="008E4A44">
        <w:rPr>
          <w:sz w:val="22"/>
          <w:szCs w:val="22"/>
        </w:rPr>
        <w:t>Dragoset</w:t>
      </w:r>
      <w:proofErr w:type="spellEnd"/>
      <w:r>
        <w:rPr>
          <w:sz w:val="22"/>
          <w:szCs w:val="22"/>
        </w:rPr>
        <w:t>,</w:t>
      </w:r>
      <w:r w:rsidRPr="008E4A44">
        <w:rPr>
          <w:sz w:val="22"/>
          <w:szCs w:val="22"/>
        </w:rPr>
        <w:t xml:space="preserve"> 2001.</w:t>
      </w:r>
      <w:proofErr w:type="gramEnd"/>
      <w:r w:rsidRPr="008E4A44">
        <w:rPr>
          <w:sz w:val="22"/>
          <w:szCs w:val="22"/>
        </w:rPr>
        <w:t xml:space="preserve"> </w:t>
      </w:r>
      <w:proofErr w:type="gramStart"/>
      <w:r w:rsidRPr="008E4A44">
        <w:rPr>
          <w:i/>
          <w:sz w:val="22"/>
          <w:szCs w:val="22"/>
        </w:rPr>
        <w:t>Atomic Weights and Isotopic Compositions</w:t>
      </w:r>
      <w:r w:rsidRPr="008E4A44">
        <w:rPr>
          <w:sz w:val="22"/>
          <w:szCs w:val="22"/>
        </w:rPr>
        <w:t xml:space="preserve"> (ver</w:t>
      </w:r>
      <w:r>
        <w:rPr>
          <w:sz w:val="22"/>
          <w:szCs w:val="22"/>
        </w:rPr>
        <w:t>.</w:t>
      </w:r>
      <w:r w:rsidRPr="008E4A44">
        <w:rPr>
          <w:sz w:val="22"/>
          <w:szCs w:val="22"/>
        </w:rPr>
        <w:t xml:space="preserve"> 2.3.1), National Institute of Standards and Technology, Gaithersburg, MD.</w:t>
      </w:r>
      <w:proofErr w:type="gramEnd"/>
      <w:r w:rsidRPr="008E4A44">
        <w:rPr>
          <w:sz w:val="22"/>
          <w:szCs w:val="22"/>
        </w:rPr>
        <w:t xml:space="preserve"> </w:t>
      </w:r>
      <w:proofErr w:type="gramStart"/>
      <w:r w:rsidRPr="008E4A44">
        <w:rPr>
          <w:sz w:val="22"/>
          <w:szCs w:val="22"/>
        </w:rPr>
        <w:t xml:space="preserve">January 31, 2003, </w:t>
      </w:r>
      <w:hyperlink r:id="rId42" w:history="1">
        <w:r w:rsidRPr="001C40CD">
          <w:rPr>
            <w:rStyle w:val="Hyperlink"/>
            <w:sz w:val="22"/>
            <w:szCs w:val="22"/>
          </w:rPr>
          <w:t>http://physics.nist.gov/Comp</w:t>
        </w:r>
      </w:hyperlink>
      <w:r w:rsidRPr="008E4A44">
        <w:rPr>
          <w:sz w:val="22"/>
          <w:szCs w:val="22"/>
        </w:rPr>
        <w:t>.</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 xml:space="preserve">Eckerman, </w:t>
      </w:r>
      <w:r>
        <w:rPr>
          <w:sz w:val="22"/>
          <w:szCs w:val="22"/>
        </w:rPr>
        <w:t>K</w:t>
      </w:r>
      <w:r w:rsidRPr="008E4A44">
        <w:rPr>
          <w:sz w:val="22"/>
          <w:szCs w:val="22"/>
        </w:rPr>
        <w:t xml:space="preserve">.F., </w:t>
      </w:r>
      <w:r>
        <w:rPr>
          <w:sz w:val="22"/>
          <w:szCs w:val="22"/>
        </w:rPr>
        <w:t xml:space="preserve">R.W. Leggett, M. </w:t>
      </w:r>
      <w:proofErr w:type="spellStart"/>
      <w:r>
        <w:rPr>
          <w:sz w:val="22"/>
          <w:szCs w:val="22"/>
        </w:rPr>
        <w:t>Cristy</w:t>
      </w:r>
      <w:proofErr w:type="spellEnd"/>
      <w:r>
        <w:rPr>
          <w:sz w:val="22"/>
          <w:szCs w:val="22"/>
        </w:rPr>
        <w:t xml:space="preserve">, C.B. Nelson, J.C. Ryman, A.L. </w:t>
      </w:r>
      <w:proofErr w:type="spellStart"/>
      <w:r>
        <w:rPr>
          <w:sz w:val="22"/>
          <w:szCs w:val="22"/>
        </w:rPr>
        <w:t>Sjoreen</w:t>
      </w:r>
      <w:proofErr w:type="spellEnd"/>
      <w:r>
        <w:rPr>
          <w:sz w:val="22"/>
          <w:szCs w:val="22"/>
        </w:rPr>
        <w:t>, and R.C. Ward,</w:t>
      </w:r>
      <w:r w:rsidRPr="008E4A44">
        <w:rPr>
          <w:sz w:val="22"/>
          <w:szCs w:val="22"/>
        </w:rPr>
        <w:t xml:space="preserve"> 2006. </w:t>
      </w:r>
      <w:r w:rsidRPr="008E4A44">
        <w:rPr>
          <w:i/>
          <w:sz w:val="22"/>
          <w:szCs w:val="22"/>
        </w:rPr>
        <w:t>User’s Guide to the DCAL System</w:t>
      </w:r>
      <w:r w:rsidRPr="008E4A44">
        <w:rPr>
          <w:sz w:val="22"/>
          <w:szCs w:val="22"/>
        </w:rPr>
        <w:t xml:space="preserve">, ORNL/TM-2001/190, Oak Ridge National Laboratory, </w:t>
      </w:r>
      <w:proofErr w:type="gramStart"/>
      <w:r w:rsidRPr="008E4A44">
        <w:rPr>
          <w:sz w:val="22"/>
          <w:szCs w:val="22"/>
        </w:rPr>
        <w:t>Oak</w:t>
      </w:r>
      <w:proofErr w:type="gramEnd"/>
      <w:r w:rsidRPr="008E4A44">
        <w:rPr>
          <w:sz w:val="22"/>
          <w:szCs w:val="22"/>
        </w:rPr>
        <w:t xml:space="preserve"> Ridge, TN.</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Endo, A., T. Tamura, and Y. Yamaguchi</w:t>
      </w:r>
      <w:r>
        <w:rPr>
          <w:sz w:val="22"/>
          <w:szCs w:val="22"/>
        </w:rPr>
        <w:t>,</w:t>
      </w:r>
      <w:r w:rsidRPr="008E4A44">
        <w:rPr>
          <w:sz w:val="22"/>
          <w:szCs w:val="22"/>
        </w:rPr>
        <w:t xml:space="preserve"> 1999.</w:t>
      </w:r>
      <w:proofErr w:type="gramEnd"/>
      <w:r w:rsidRPr="008E4A44">
        <w:rPr>
          <w:sz w:val="22"/>
          <w:szCs w:val="22"/>
        </w:rPr>
        <w:t xml:space="preserve"> </w:t>
      </w:r>
      <w:r w:rsidRPr="008E4A44">
        <w:rPr>
          <w:i/>
          <w:sz w:val="22"/>
          <w:szCs w:val="22"/>
        </w:rPr>
        <w:t>Compilation of Nuclear Decay Data Used for Dose Calculation Revised Data for Radionuclides Not Listed in ICRP Publication 38</w:t>
      </w:r>
      <w:r w:rsidRPr="008E4A44">
        <w:rPr>
          <w:sz w:val="22"/>
          <w:szCs w:val="22"/>
        </w:rPr>
        <w:t>, JAERI-Data/Code 99-035.</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Endo, A., and Y. Yamaguchi</w:t>
      </w:r>
      <w:r>
        <w:rPr>
          <w:sz w:val="22"/>
          <w:szCs w:val="22"/>
        </w:rPr>
        <w:t>,</w:t>
      </w:r>
      <w:r w:rsidRPr="008E4A44">
        <w:rPr>
          <w:sz w:val="22"/>
          <w:szCs w:val="22"/>
        </w:rPr>
        <w:t xml:space="preserve"> 2001.</w:t>
      </w:r>
      <w:proofErr w:type="gramEnd"/>
      <w:r w:rsidRPr="008E4A44">
        <w:rPr>
          <w:sz w:val="22"/>
          <w:szCs w:val="22"/>
        </w:rPr>
        <w:t xml:space="preserve"> </w:t>
      </w:r>
      <w:r w:rsidRPr="008E4A44">
        <w:rPr>
          <w:i/>
          <w:sz w:val="22"/>
          <w:szCs w:val="22"/>
        </w:rPr>
        <w:t>Compilation of Nuclear Decay Data Used for Dose Calculation Revised Data for Radionuclides Listed in ICRP Publication 38</w:t>
      </w:r>
      <w:r w:rsidRPr="008E4A44">
        <w:rPr>
          <w:sz w:val="22"/>
          <w:szCs w:val="22"/>
        </w:rPr>
        <w:t>, JAERI-Data/Code 2001-004.</w:t>
      </w:r>
    </w:p>
    <w:p w:rsidR="00CD3F77" w:rsidRPr="008E4A44" w:rsidRDefault="00CD3F77" w:rsidP="00CD3F77">
      <w:pPr>
        <w:rPr>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 xml:space="preserve">, </w:t>
      </w:r>
      <w:r w:rsidRPr="008E4A44">
        <w:rPr>
          <w:rFonts w:ascii="Times New Roman" w:hAnsi="Times New Roman"/>
          <w:sz w:val="22"/>
          <w:szCs w:val="22"/>
        </w:rPr>
        <w:t>1988.</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Limiting Values of Radionuclide Intake and Air Concentration and Dose Conversion Factors for Inhalation, Submersion, and Ingestion.</w:t>
      </w:r>
      <w:proofErr w:type="gramEnd"/>
      <w:r w:rsidRPr="008E4A44">
        <w:rPr>
          <w:rFonts w:ascii="Times New Roman" w:hAnsi="Times New Roman"/>
          <w:i/>
          <w:sz w:val="22"/>
          <w:szCs w:val="22"/>
        </w:rPr>
        <w:t xml:space="preserve"> Federal Guidance Report 11</w:t>
      </w:r>
      <w:r w:rsidRPr="008E4A44">
        <w:rPr>
          <w:rFonts w:ascii="Times New Roman" w:hAnsi="Times New Roman"/>
          <w:sz w:val="22"/>
          <w:szCs w:val="22"/>
        </w:rPr>
        <w:t xml:space="preserve">. </w:t>
      </w:r>
      <w:proofErr w:type="gramStart"/>
      <w:r w:rsidRPr="008E4A44">
        <w:rPr>
          <w:rFonts w:ascii="Times New Roman" w:hAnsi="Times New Roman"/>
          <w:sz w:val="22"/>
          <w:szCs w:val="22"/>
        </w:rPr>
        <w:t>EPA 501/1-88-020, Washington, DC.</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1992.</w:t>
      </w:r>
      <w:proofErr w:type="gramEnd"/>
      <w:r w:rsidRPr="008E4A44">
        <w:rPr>
          <w:sz w:val="22"/>
          <w:szCs w:val="22"/>
        </w:rPr>
        <w:t xml:space="preserve"> </w:t>
      </w:r>
      <w:proofErr w:type="gramStart"/>
      <w:r w:rsidRPr="008E4A44">
        <w:rPr>
          <w:i/>
          <w:sz w:val="22"/>
          <w:szCs w:val="22"/>
        </w:rPr>
        <w:t>Manual of Protective Action Guides and Protective Actions for Nuclear Incidents</w:t>
      </w:r>
      <w:r w:rsidRPr="008E4A44">
        <w:rPr>
          <w:sz w:val="22"/>
          <w:szCs w:val="22"/>
        </w:rPr>
        <w:t>.</w:t>
      </w:r>
      <w:proofErr w:type="gramEnd"/>
      <w:r w:rsidRPr="008E4A44">
        <w:rPr>
          <w:sz w:val="22"/>
          <w:szCs w:val="22"/>
        </w:rPr>
        <w:t xml:space="preserve"> </w:t>
      </w:r>
      <w:proofErr w:type="gramStart"/>
      <w:r w:rsidRPr="008E4A44">
        <w:rPr>
          <w:sz w:val="22"/>
          <w:szCs w:val="22"/>
        </w:rPr>
        <w:t>EPA-400R-92-001, Washington, DC.</w:t>
      </w:r>
      <w:proofErr w:type="gramEnd"/>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1993.</w:t>
      </w:r>
      <w:proofErr w:type="gramEnd"/>
      <w:r w:rsidRPr="008E4A44">
        <w:rPr>
          <w:sz w:val="22"/>
          <w:szCs w:val="22"/>
        </w:rPr>
        <w:t xml:space="preserve"> </w:t>
      </w:r>
      <w:proofErr w:type="gramStart"/>
      <w:r w:rsidRPr="008E4A44">
        <w:rPr>
          <w:i/>
          <w:sz w:val="22"/>
          <w:szCs w:val="22"/>
        </w:rPr>
        <w:t>External Exposure to Radionuclides in Air, Water, and Soil.</w:t>
      </w:r>
      <w:proofErr w:type="gramEnd"/>
      <w:r w:rsidRPr="008E4A44">
        <w:rPr>
          <w:i/>
          <w:sz w:val="22"/>
          <w:szCs w:val="22"/>
        </w:rPr>
        <w:t xml:space="preserve"> Federal Guidance Report 12</w:t>
      </w:r>
      <w:r w:rsidRPr="008E4A44">
        <w:rPr>
          <w:sz w:val="22"/>
          <w:szCs w:val="22"/>
        </w:rPr>
        <w:t>, Washington, DC.</w:t>
      </w:r>
    </w:p>
    <w:p w:rsidR="00CD3F77" w:rsidRDefault="00CD3F77" w:rsidP="00CD3F77">
      <w:pPr>
        <w:pStyle w:val="noindent"/>
      </w:pPr>
    </w:p>
    <w:p w:rsidR="00CD3F77" w:rsidRPr="008A1DC2" w:rsidRDefault="00CD3F77" w:rsidP="00CD3F77">
      <w:pPr>
        <w:pStyle w:val="noindent"/>
        <w:rPr>
          <w:sz w:val="22"/>
          <w:szCs w:val="22"/>
        </w:rPr>
      </w:pPr>
      <w:proofErr w:type="gramStart"/>
      <w:r w:rsidRPr="008A1DC2">
        <w:rPr>
          <w:sz w:val="22"/>
          <w:szCs w:val="22"/>
        </w:rPr>
        <w:t>EPA</w:t>
      </w:r>
      <w:r>
        <w:rPr>
          <w:sz w:val="22"/>
          <w:szCs w:val="22"/>
        </w:rPr>
        <w:t>, 1994.</w:t>
      </w:r>
      <w:proofErr w:type="gramEnd"/>
      <w:r>
        <w:rPr>
          <w:sz w:val="22"/>
          <w:szCs w:val="22"/>
        </w:rPr>
        <w:t xml:space="preserve"> </w:t>
      </w:r>
      <w:proofErr w:type="gramStart"/>
      <w:r w:rsidRPr="008A1DC2">
        <w:rPr>
          <w:i/>
          <w:sz w:val="22"/>
          <w:szCs w:val="22"/>
        </w:rPr>
        <w:t>Estimating Radiogenic Cancer Risks</w:t>
      </w:r>
      <w:r>
        <w:rPr>
          <w:sz w:val="22"/>
          <w:szCs w:val="22"/>
        </w:rPr>
        <w:t>, EPA 402-R-93-076.</w:t>
      </w:r>
      <w:proofErr w:type="gramEnd"/>
      <w:r>
        <w:rPr>
          <w:sz w:val="22"/>
          <w:szCs w:val="22"/>
        </w:rPr>
        <w:t xml:space="preserve"> Washington, DC.</w:t>
      </w:r>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1999.</w:t>
      </w:r>
      <w:proofErr w:type="gramEnd"/>
      <w:r w:rsidRPr="008E4A44">
        <w:rPr>
          <w:sz w:val="22"/>
          <w:szCs w:val="22"/>
        </w:rPr>
        <w:t xml:space="preserve"> </w:t>
      </w:r>
      <w:proofErr w:type="gramStart"/>
      <w:r w:rsidRPr="008E4A44">
        <w:rPr>
          <w:i/>
          <w:sz w:val="22"/>
          <w:szCs w:val="22"/>
        </w:rPr>
        <w:t>Cancer Risk Coefficients for Environmental Exposure to Radionuclides.</w:t>
      </w:r>
      <w:proofErr w:type="gramEnd"/>
      <w:r w:rsidRPr="008E4A44">
        <w:rPr>
          <w:i/>
          <w:sz w:val="22"/>
          <w:szCs w:val="22"/>
        </w:rPr>
        <w:t xml:space="preserve"> Federal Guidance Report No. 13</w:t>
      </w:r>
      <w:r w:rsidRPr="008E4A44">
        <w:rPr>
          <w:sz w:val="22"/>
          <w:szCs w:val="22"/>
        </w:rPr>
        <w:t xml:space="preserve">. </w:t>
      </w:r>
      <w:proofErr w:type="gramStart"/>
      <w:r w:rsidRPr="008E4A44">
        <w:rPr>
          <w:sz w:val="22"/>
          <w:szCs w:val="22"/>
        </w:rPr>
        <w:t>EPA 402-R-99-001, Washington, DC.</w:t>
      </w:r>
      <w:proofErr w:type="gramEnd"/>
    </w:p>
    <w:p w:rsidR="00CD3F77" w:rsidRDefault="00CD3F77" w:rsidP="00CD3F77">
      <w:pPr>
        <w:pStyle w:val="noindent"/>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w:t>
      </w:r>
      <w:r w:rsidRPr="008E4A44">
        <w:rPr>
          <w:rFonts w:ascii="Times New Roman" w:hAnsi="Times New Roman"/>
          <w:sz w:val="22"/>
          <w:szCs w:val="22"/>
        </w:rPr>
        <w:t xml:space="preserve"> 2002.</w:t>
      </w:r>
      <w:proofErr w:type="gramEnd"/>
      <w:r w:rsidRPr="008E4A44">
        <w:rPr>
          <w:rFonts w:ascii="Times New Roman" w:hAnsi="Times New Roman"/>
          <w:sz w:val="22"/>
          <w:szCs w:val="22"/>
        </w:rPr>
        <w:t xml:space="preserve"> </w:t>
      </w:r>
      <w:r w:rsidRPr="008E4A44">
        <w:rPr>
          <w:rFonts w:ascii="Times New Roman" w:hAnsi="Times New Roman"/>
          <w:i/>
          <w:sz w:val="22"/>
          <w:szCs w:val="22"/>
        </w:rPr>
        <w:t>Cancer Risk Coefficients for Environmental Exposure to Radionuclides; CD Supplement</w:t>
      </w:r>
      <w:r w:rsidRPr="008E4A44">
        <w:rPr>
          <w:rFonts w:ascii="Times New Roman" w:hAnsi="Times New Roman"/>
          <w:sz w:val="22"/>
          <w:szCs w:val="22"/>
        </w:rPr>
        <w:t xml:space="preserve">. </w:t>
      </w:r>
      <w:proofErr w:type="gramStart"/>
      <w:r w:rsidRPr="008E4A44">
        <w:rPr>
          <w:rFonts w:ascii="Times New Roman" w:hAnsi="Times New Roman"/>
          <w:sz w:val="22"/>
          <w:szCs w:val="22"/>
        </w:rPr>
        <w:t>EPA 402-C-99-001, Rev. 1, Washington, DC.</w:t>
      </w:r>
      <w:proofErr w:type="gramEnd"/>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w:t>
      </w:r>
      <w:r w:rsidRPr="008E4A44">
        <w:rPr>
          <w:rFonts w:ascii="Times New Roman" w:hAnsi="Times New Roman"/>
          <w:sz w:val="22"/>
          <w:szCs w:val="22"/>
        </w:rPr>
        <w:t xml:space="preserve"> 2011.</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Radiogenic Cancer Risk Models and Projections for the U.S. Population</w:t>
      </w:r>
      <w:r w:rsidRPr="008E4A44">
        <w:rPr>
          <w:rFonts w:ascii="Times New Roman" w:hAnsi="Times New Roman"/>
          <w:sz w:val="22"/>
          <w:szCs w:val="22"/>
        </w:rPr>
        <w:t>.</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EPA-402-R-11-001, Washington, DC.</w:t>
      </w:r>
      <w:proofErr w:type="gramEnd"/>
      <w:r w:rsidRPr="008E4A44">
        <w:rPr>
          <w:rFonts w:ascii="Times New Roman" w:hAnsi="Times New Roman"/>
          <w:sz w:val="22"/>
          <w:szCs w:val="22"/>
        </w:rPr>
        <w:t xml:space="preserve"> </w:t>
      </w:r>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Pr>
          <w:rFonts w:ascii="Times New Roman" w:hAnsi="Times New Roman"/>
          <w:sz w:val="22"/>
          <w:szCs w:val="22"/>
        </w:rPr>
        <w:t>Evans, J.S., D.W. Moeller, and D.W. Cooper, 1985.</w:t>
      </w:r>
      <w:proofErr w:type="gramEnd"/>
      <w:r>
        <w:rPr>
          <w:rFonts w:ascii="Times New Roman" w:hAnsi="Times New Roman"/>
          <w:sz w:val="22"/>
          <w:szCs w:val="22"/>
        </w:rPr>
        <w:t xml:space="preserve"> </w:t>
      </w:r>
      <w:r w:rsidRPr="003F1EDA">
        <w:rPr>
          <w:rFonts w:ascii="Times New Roman" w:hAnsi="Times New Roman"/>
          <w:i/>
          <w:sz w:val="22"/>
          <w:szCs w:val="22"/>
        </w:rPr>
        <w:t>Health Effects Model for Nuclear Power Plant Accident Consequence Analysis, Part II: Scientific Basis for Health Effects Models.</w:t>
      </w:r>
      <w:r>
        <w:rPr>
          <w:rFonts w:ascii="Times New Roman" w:hAnsi="Times New Roman"/>
          <w:sz w:val="22"/>
          <w:szCs w:val="22"/>
        </w:rPr>
        <w:t xml:space="preserve"> </w:t>
      </w:r>
      <w:proofErr w:type="gramStart"/>
      <w:r>
        <w:rPr>
          <w:rFonts w:ascii="Times New Roman" w:hAnsi="Times New Roman"/>
          <w:sz w:val="22"/>
          <w:szCs w:val="22"/>
        </w:rPr>
        <w:t>NUREG/CR-4214, Washington, DC.</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FR</w:t>
      </w:r>
      <w:r>
        <w:rPr>
          <w:sz w:val="22"/>
          <w:szCs w:val="22"/>
        </w:rPr>
        <w:t>,</w:t>
      </w:r>
      <w:r w:rsidRPr="008E4A44">
        <w:rPr>
          <w:sz w:val="22"/>
          <w:szCs w:val="22"/>
        </w:rPr>
        <w:t xml:space="preserve"> 2004.</w:t>
      </w:r>
      <w:proofErr w:type="gramEnd"/>
      <w:r w:rsidRPr="008E4A44">
        <w:rPr>
          <w:sz w:val="22"/>
          <w:szCs w:val="22"/>
        </w:rPr>
        <w:t xml:space="preserve"> 10 CFR </w:t>
      </w:r>
      <w:proofErr w:type="gramStart"/>
      <w:r w:rsidRPr="008E4A44">
        <w:rPr>
          <w:sz w:val="22"/>
          <w:szCs w:val="22"/>
        </w:rPr>
        <w:t>Part</w:t>
      </w:r>
      <w:proofErr w:type="gramEnd"/>
      <w:r w:rsidRPr="008E4A44">
        <w:rPr>
          <w:sz w:val="22"/>
          <w:szCs w:val="22"/>
        </w:rPr>
        <w:t xml:space="preserve"> 71: “Compatibility with IAEA Transportation Safety Standards (TS-R-1) and Other Transportation Safety Amendments; Final Rule</w:t>
      </w:r>
      <w:r>
        <w:rPr>
          <w:sz w:val="22"/>
          <w:szCs w:val="22"/>
        </w:rPr>
        <w:t>.</w:t>
      </w:r>
      <w:r w:rsidRPr="008E4A44">
        <w:rPr>
          <w:sz w:val="22"/>
          <w:szCs w:val="22"/>
        </w:rPr>
        <w:t xml:space="preserve">” </w:t>
      </w:r>
      <w:r w:rsidRPr="00A54F2D">
        <w:rPr>
          <w:i/>
          <w:sz w:val="22"/>
          <w:szCs w:val="22"/>
        </w:rPr>
        <w:t>Federal Register</w:t>
      </w:r>
      <w:r w:rsidRPr="008E4A44">
        <w:rPr>
          <w:sz w:val="22"/>
          <w:szCs w:val="22"/>
        </w:rPr>
        <w:t xml:space="preserve"> 69(16):3698-3814.</w:t>
      </w:r>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spellStart"/>
      <w:proofErr w:type="gramStart"/>
      <w:r w:rsidRPr="008E4A44">
        <w:rPr>
          <w:rFonts w:ascii="Times New Roman" w:hAnsi="Times New Roman"/>
          <w:sz w:val="22"/>
          <w:szCs w:val="22"/>
        </w:rPr>
        <w:t>Gusev</w:t>
      </w:r>
      <w:proofErr w:type="spellEnd"/>
      <w:r w:rsidRPr="008E4A44">
        <w:rPr>
          <w:rFonts w:ascii="Times New Roman" w:hAnsi="Times New Roman"/>
          <w:sz w:val="22"/>
          <w:szCs w:val="22"/>
        </w:rPr>
        <w:t>, I.A.</w:t>
      </w:r>
      <w:r>
        <w:rPr>
          <w:rFonts w:ascii="Times New Roman" w:hAnsi="Times New Roman"/>
          <w:sz w:val="22"/>
          <w:szCs w:val="22"/>
        </w:rPr>
        <w:t xml:space="preserve">, A. </w:t>
      </w:r>
      <w:proofErr w:type="spellStart"/>
      <w:r>
        <w:rPr>
          <w:rFonts w:ascii="Times New Roman" w:hAnsi="Times New Roman"/>
          <w:sz w:val="22"/>
          <w:szCs w:val="22"/>
        </w:rPr>
        <w:t>Guskova</w:t>
      </w:r>
      <w:proofErr w:type="spellEnd"/>
      <w:r>
        <w:rPr>
          <w:rFonts w:ascii="Times New Roman" w:hAnsi="Times New Roman"/>
          <w:sz w:val="22"/>
          <w:szCs w:val="22"/>
        </w:rPr>
        <w:t xml:space="preserve">, and F.A. </w:t>
      </w:r>
      <w:proofErr w:type="spellStart"/>
      <w:r>
        <w:rPr>
          <w:rFonts w:ascii="Times New Roman" w:hAnsi="Times New Roman"/>
          <w:sz w:val="22"/>
          <w:szCs w:val="22"/>
        </w:rPr>
        <w:t>Mettler</w:t>
      </w:r>
      <w:proofErr w:type="spellEnd"/>
      <w:r>
        <w:rPr>
          <w:rFonts w:ascii="Times New Roman" w:hAnsi="Times New Roman"/>
          <w:sz w:val="22"/>
          <w:szCs w:val="22"/>
        </w:rPr>
        <w:t xml:space="preserve"> (Eds.),</w:t>
      </w:r>
      <w:r w:rsidRPr="008E4A44">
        <w:rPr>
          <w:rFonts w:ascii="Times New Roman" w:hAnsi="Times New Roman"/>
          <w:sz w:val="22"/>
          <w:szCs w:val="22"/>
        </w:rPr>
        <w:t xml:space="preserve"> 2001.</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Medical Management of Radiation Accidents</w:t>
      </w:r>
      <w:r w:rsidRPr="008E4A44">
        <w:rPr>
          <w:rFonts w:ascii="Times New Roman" w:hAnsi="Times New Roman"/>
          <w:sz w:val="22"/>
          <w:szCs w:val="22"/>
        </w:rPr>
        <w:t>, 2</w:t>
      </w:r>
      <w:r w:rsidRPr="008E4A44">
        <w:rPr>
          <w:rFonts w:ascii="Times New Roman" w:hAnsi="Times New Roman"/>
          <w:sz w:val="22"/>
          <w:szCs w:val="22"/>
          <w:vertAlign w:val="superscript"/>
        </w:rPr>
        <w:t>nd</w:t>
      </w:r>
      <w:r w:rsidRPr="008E4A44">
        <w:rPr>
          <w:rFonts w:ascii="Times New Roman" w:hAnsi="Times New Roman"/>
          <w:sz w:val="22"/>
          <w:szCs w:val="22"/>
        </w:rPr>
        <w:t xml:space="preserve"> Edition.</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CRC Press, Boca Raton, FL.</w:t>
      </w:r>
      <w:proofErr w:type="gramEnd"/>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r>
        <w:rPr>
          <w:rFonts w:ascii="Times New Roman" w:hAnsi="Times New Roman"/>
          <w:sz w:val="22"/>
          <w:szCs w:val="22"/>
        </w:rPr>
        <w:t xml:space="preserve">Harima, Y., 1983. </w:t>
      </w:r>
      <w:proofErr w:type="gramStart"/>
      <w:r>
        <w:rPr>
          <w:rFonts w:ascii="Times New Roman" w:hAnsi="Times New Roman"/>
          <w:sz w:val="22"/>
          <w:szCs w:val="22"/>
        </w:rPr>
        <w:t xml:space="preserve">“An approximation of gamma ray buildup factors by modified geometrical progression,” </w:t>
      </w:r>
      <w:proofErr w:type="spellStart"/>
      <w:r w:rsidRPr="008A1DC2">
        <w:rPr>
          <w:rFonts w:ascii="Times New Roman" w:hAnsi="Times New Roman"/>
          <w:i/>
          <w:sz w:val="22"/>
          <w:szCs w:val="22"/>
        </w:rPr>
        <w:t>Nucl</w:t>
      </w:r>
      <w:proofErr w:type="spellEnd"/>
      <w:r w:rsidRPr="008A1DC2">
        <w:rPr>
          <w:rFonts w:ascii="Times New Roman" w:hAnsi="Times New Roman"/>
          <w:i/>
          <w:sz w:val="22"/>
          <w:szCs w:val="22"/>
        </w:rPr>
        <w:t>.</w:t>
      </w:r>
      <w:proofErr w:type="gramEnd"/>
      <w:r w:rsidRPr="008A1DC2">
        <w:rPr>
          <w:rFonts w:ascii="Times New Roman" w:hAnsi="Times New Roman"/>
          <w:i/>
          <w:sz w:val="22"/>
          <w:szCs w:val="22"/>
        </w:rPr>
        <w:t xml:space="preserve"> Sci. Eng.</w:t>
      </w:r>
      <w:r>
        <w:rPr>
          <w:rFonts w:ascii="Times New Roman" w:hAnsi="Times New Roman"/>
          <w:sz w:val="22"/>
          <w:szCs w:val="22"/>
        </w:rPr>
        <w:t xml:space="preserve"> 83:299.</w:t>
      </w:r>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 xml:space="preserve">Harima, Y., </w:t>
      </w:r>
      <w:r>
        <w:rPr>
          <w:sz w:val="22"/>
          <w:szCs w:val="22"/>
        </w:rPr>
        <w:t>Y. Sakamoto, and S. Tanaka,</w:t>
      </w:r>
      <w:r w:rsidRPr="008E4A44">
        <w:rPr>
          <w:sz w:val="22"/>
          <w:szCs w:val="22"/>
        </w:rPr>
        <w:t xml:space="preserve"> 1986.</w:t>
      </w:r>
      <w:proofErr w:type="gramEnd"/>
      <w:r w:rsidRPr="008E4A44">
        <w:rPr>
          <w:sz w:val="22"/>
          <w:szCs w:val="22"/>
        </w:rPr>
        <w:t xml:space="preserve"> </w:t>
      </w:r>
      <w:proofErr w:type="gramStart"/>
      <w:r>
        <w:rPr>
          <w:sz w:val="22"/>
          <w:szCs w:val="22"/>
        </w:rPr>
        <w:t xml:space="preserve">“Validity of the geometric-progression formula in approximating the gamma ray buildup factors,” </w:t>
      </w:r>
      <w:proofErr w:type="spellStart"/>
      <w:r w:rsidRPr="00A54F2D">
        <w:rPr>
          <w:i/>
          <w:sz w:val="22"/>
          <w:szCs w:val="22"/>
        </w:rPr>
        <w:t>Nucl</w:t>
      </w:r>
      <w:proofErr w:type="spellEnd"/>
      <w:r w:rsidRPr="00A54F2D">
        <w:rPr>
          <w:i/>
          <w:sz w:val="22"/>
          <w:szCs w:val="22"/>
        </w:rPr>
        <w:t>.</w:t>
      </w:r>
      <w:proofErr w:type="gramEnd"/>
      <w:r w:rsidRPr="00A54F2D">
        <w:rPr>
          <w:i/>
          <w:sz w:val="22"/>
          <w:szCs w:val="22"/>
        </w:rPr>
        <w:t xml:space="preserve"> Sci. Eng</w:t>
      </w:r>
      <w:r>
        <w:rPr>
          <w:sz w:val="22"/>
          <w:szCs w:val="22"/>
        </w:rPr>
        <w:t xml:space="preserve">. 94:24. </w:t>
      </w:r>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Howerton</w:t>
      </w:r>
      <w:proofErr w:type="spellEnd"/>
      <w:r w:rsidRPr="008E4A44">
        <w:rPr>
          <w:sz w:val="22"/>
          <w:szCs w:val="22"/>
        </w:rPr>
        <w:t>, R. J.</w:t>
      </w:r>
      <w:r>
        <w:rPr>
          <w:sz w:val="22"/>
          <w:szCs w:val="22"/>
        </w:rPr>
        <w:t>,</w:t>
      </w:r>
      <w:r w:rsidRPr="008E4A44">
        <w:rPr>
          <w:sz w:val="22"/>
          <w:szCs w:val="22"/>
        </w:rPr>
        <w:t xml:space="preserve"> 1986a. </w:t>
      </w:r>
      <w:r w:rsidRPr="008E4A44">
        <w:rPr>
          <w:i/>
          <w:sz w:val="22"/>
          <w:szCs w:val="22"/>
        </w:rPr>
        <w:t>Calculated Neutron KERMA Factors Based on the LLNL ENDL Data Files</w:t>
      </w:r>
      <w:r w:rsidRPr="008E4A44">
        <w:rPr>
          <w:sz w:val="22"/>
          <w:szCs w:val="22"/>
        </w:rPr>
        <w:t xml:space="preserve">. </w:t>
      </w:r>
      <w:proofErr w:type="gramStart"/>
      <w:r w:rsidRPr="008E4A44">
        <w:rPr>
          <w:sz w:val="22"/>
          <w:szCs w:val="22"/>
        </w:rPr>
        <w:t>Vol.</w:t>
      </w:r>
      <w:r>
        <w:rPr>
          <w:sz w:val="22"/>
          <w:szCs w:val="22"/>
        </w:rPr>
        <w:t> </w:t>
      </w:r>
      <w:r w:rsidRPr="008E4A44">
        <w:rPr>
          <w:sz w:val="22"/>
          <w:szCs w:val="22"/>
        </w:rPr>
        <w:t>27, UCRL-50400, Lawrence Livermore National Laboratory, Livermore, CA.</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Howerton</w:t>
      </w:r>
      <w:proofErr w:type="spellEnd"/>
      <w:r w:rsidRPr="008E4A44">
        <w:rPr>
          <w:sz w:val="22"/>
          <w:szCs w:val="22"/>
        </w:rPr>
        <w:t>, R. J.</w:t>
      </w:r>
      <w:r>
        <w:rPr>
          <w:sz w:val="22"/>
          <w:szCs w:val="22"/>
        </w:rPr>
        <w:t>,</w:t>
      </w:r>
      <w:r w:rsidRPr="008E4A44">
        <w:rPr>
          <w:sz w:val="22"/>
          <w:szCs w:val="22"/>
        </w:rPr>
        <w:t xml:space="preserve"> 1986b. </w:t>
      </w:r>
      <w:r w:rsidRPr="008E4A44">
        <w:rPr>
          <w:i/>
          <w:sz w:val="22"/>
          <w:szCs w:val="22"/>
        </w:rPr>
        <w:t>Calculated Photon KERMA Factors Based on the LLNL ENDL Data Files</w:t>
      </w:r>
      <w:r w:rsidRPr="008E4A44">
        <w:rPr>
          <w:sz w:val="22"/>
          <w:szCs w:val="22"/>
        </w:rPr>
        <w:t xml:space="preserve">. </w:t>
      </w:r>
      <w:proofErr w:type="gramStart"/>
      <w:r w:rsidRPr="008E4A44">
        <w:rPr>
          <w:sz w:val="22"/>
          <w:szCs w:val="22"/>
        </w:rPr>
        <w:t>Vol.</w:t>
      </w:r>
      <w:r>
        <w:rPr>
          <w:sz w:val="22"/>
          <w:szCs w:val="22"/>
        </w:rPr>
        <w:t> </w:t>
      </w:r>
      <w:r w:rsidRPr="008E4A44">
        <w:rPr>
          <w:sz w:val="22"/>
          <w:szCs w:val="22"/>
        </w:rPr>
        <w:t>29, UCRL-50400, Lawrence Livermore National Laboratory, Livermore, CA.</w:t>
      </w:r>
      <w:proofErr w:type="gramEnd"/>
    </w:p>
    <w:p w:rsidR="00CD3F77" w:rsidRPr="008E4A44" w:rsidRDefault="00CD3F77" w:rsidP="00CD3F77">
      <w:pPr>
        <w:rPr>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IAEA</w:t>
      </w:r>
      <w:r>
        <w:rPr>
          <w:rFonts w:ascii="Times New Roman" w:hAnsi="Times New Roman"/>
          <w:sz w:val="22"/>
          <w:szCs w:val="22"/>
        </w:rPr>
        <w:t>,</w:t>
      </w:r>
      <w:r w:rsidRPr="008E4A44">
        <w:rPr>
          <w:rFonts w:ascii="Times New Roman" w:hAnsi="Times New Roman"/>
          <w:sz w:val="22"/>
          <w:szCs w:val="22"/>
        </w:rPr>
        <w:t xml:space="preserve"> 1998.</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Diagnosis and Treatment of Radiation Injuries</w:t>
      </w:r>
      <w:r w:rsidRPr="008E4A44">
        <w:rPr>
          <w:rFonts w:ascii="Times New Roman" w:hAnsi="Times New Roman"/>
          <w:sz w:val="22"/>
          <w:szCs w:val="22"/>
        </w:rPr>
        <w:t>.</w:t>
      </w:r>
      <w:proofErr w:type="gramEnd"/>
      <w:r w:rsidRPr="008E4A44">
        <w:rPr>
          <w:rFonts w:ascii="Times New Roman" w:hAnsi="Times New Roman"/>
          <w:sz w:val="22"/>
          <w:szCs w:val="22"/>
        </w:rPr>
        <w:t xml:space="preserve"> Safety Report Series No 2, International Atomic Energy Agency, Vienna, Austria.</w:t>
      </w:r>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IAEA</w:t>
      </w:r>
      <w:r>
        <w:rPr>
          <w:sz w:val="22"/>
          <w:szCs w:val="22"/>
        </w:rPr>
        <w:t>,</w:t>
      </w:r>
      <w:r w:rsidRPr="008E4A44">
        <w:rPr>
          <w:sz w:val="22"/>
          <w:szCs w:val="22"/>
        </w:rPr>
        <w:t xml:space="preserve"> 2003.</w:t>
      </w:r>
      <w:proofErr w:type="gramEnd"/>
      <w:r w:rsidRPr="008E4A44">
        <w:rPr>
          <w:sz w:val="22"/>
          <w:szCs w:val="22"/>
        </w:rPr>
        <w:t xml:space="preserve"> </w:t>
      </w:r>
      <w:proofErr w:type="gramStart"/>
      <w:r w:rsidRPr="008E4A44">
        <w:rPr>
          <w:sz w:val="22"/>
          <w:szCs w:val="22"/>
        </w:rPr>
        <w:t xml:space="preserve">International Atomic Energy Agency, </w:t>
      </w:r>
      <w:r w:rsidRPr="008E4A44">
        <w:rPr>
          <w:i/>
          <w:sz w:val="22"/>
          <w:szCs w:val="22"/>
        </w:rPr>
        <w:t>Categorization of radioactive sources</w:t>
      </w:r>
      <w:r w:rsidRPr="008E4A44">
        <w:rPr>
          <w:sz w:val="22"/>
          <w:szCs w:val="22"/>
        </w:rPr>
        <w:t>.</w:t>
      </w:r>
      <w:proofErr w:type="gramEnd"/>
      <w:r w:rsidRPr="008E4A44">
        <w:rPr>
          <w:sz w:val="22"/>
          <w:szCs w:val="22"/>
        </w:rPr>
        <w:t xml:space="preserve"> IAEA-TECDOC-1344, International Atomic Energy Agency, Vienna, Austria.</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IAEA</w:t>
      </w:r>
      <w:r>
        <w:rPr>
          <w:sz w:val="22"/>
          <w:szCs w:val="22"/>
        </w:rPr>
        <w:t>,</w:t>
      </w:r>
      <w:r w:rsidRPr="008E4A44">
        <w:rPr>
          <w:sz w:val="22"/>
          <w:szCs w:val="22"/>
        </w:rPr>
        <w:t xml:space="preserve"> 2005.</w:t>
      </w:r>
      <w:proofErr w:type="gramEnd"/>
      <w:r w:rsidRPr="008E4A44">
        <w:rPr>
          <w:sz w:val="22"/>
          <w:szCs w:val="22"/>
        </w:rPr>
        <w:t xml:space="preserve"> </w:t>
      </w:r>
      <w:proofErr w:type="gramStart"/>
      <w:r w:rsidRPr="008E4A44">
        <w:rPr>
          <w:sz w:val="22"/>
          <w:szCs w:val="22"/>
        </w:rPr>
        <w:t xml:space="preserve">International Atomic Energy Agency, </w:t>
      </w:r>
      <w:r w:rsidRPr="008E4A44">
        <w:rPr>
          <w:i/>
          <w:sz w:val="22"/>
          <w:szCs w:val="22"/>
        </w:rPr>
        <w:t>Development of an extended framework for emergency response criteria.</w:t>
      </w:r>
      <w:proofErr w:type="gramEnd"/>
      <w:r w:rsidRPr="008E4A44">
        <w:rPr>
          <w:sz w:val="22"/>
          <w:szCs w:val="22"/>
        </w:rPr>
        <w:t xml:space="preserve"> IAEA-TECDOC-1432, International Atomic Energy Agency, Vienna, Austria.</w:t>
      </w:r>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ICRP</w:t>
      </w:r>
      <w:r>
        <w:rPr>
          <w:rFonts w:ascii="Times New Roman" w:hAnsi="Times New Roman"/>
          <w:sz w:val="22"/>
          <w:szCs w:val="22"/>
        </w:rPr>
        <w:t>,</w:t>
      </w:r>
      <w:r w:rsidRPr="008E4A44">
        <w:rPr>
          <w:rFonts w:ascii="Times New Roman" w:hAnsi="Times New Roman"/>
          <w:sz w:val="22"/>
          <w:szCs w:val="22"/>
        </w:rPr>
        <w:t xml:space="preserve"> 1975.</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Report of the Task Group on Reference Man</w:t>
      </w:r>
      <w:r w:rsidRPr="008E4A44">
        <w:rPr>
          <w:rFonts w:ascii="Times New Roman" w:hAnsi="Times New Roman"/>
          <w:sz w:val="22"/>
          <w:szCs w:val="22"/>
        </w:rPr>
        <w:t xml:space="preserve">. ICRP Publication 23, </w:t>
      </w:r>
      <w:proofErr w:type="spellStart"/>
      <w:r w:rsidRPr="008E4A44">
        <w:rPr>
          <w:rFonts w:ascii="Times New Roman" w:hAnsi="Times New Roman"/>
          <w:sz w:val="22"/>
          <w:szCs w:val="22"/>
        </w:rPr>
        <w:t>Pergamon</w:t>
      </w:r>
      <w:proofErr w:type="spellEnd"/>
      <w:r w:rsidRPr="008E4A44">
        <w:rPr>
          <w:rFonts w:ascii="Times New Roman" w:hAnsi="Times New Roman"/>
          <w:sz w:val="22"/>
          <w:szCs w:val="22"/>
        </w:rPr>
        <w:t xml:space="preserve"> Press, Oxford, UK.</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1979.</w:t>
      </w:r>
      <w:proofErr w:type="gramEnd"/>
      <w:r w:rsidRPr="008E4A44">
        <w:rPr>
          <w:sz w:val="22"/>
          <w:szCs w:val="22"/>
        </w:rPr>
        <w:t xml:space="preserve"> </w:t>
      </w:r>
      <w:proofErr w:type="gramStart"/>
      <w:r w:rsidRPr="008E4A44">
        <w:rPr>
          <w:sz w:val="22"/>
          <w:szCs w:val="22"/>
        </w:rPr>
        <w:t>“Limits for Intakes of Radionuclides by Workers.”</w:t>
      </w:r>
      <w:proofErr w:type="gramEnd"/>
      <w:r w:rsidRPr="008E4A44">
        <w:rPr>
          <w:sz w:val="22"/>
          <w:szCs w:val="22"/>
        </w:rPr>
        <w:t xml:space="preserve"> </w:t>
      </w:r>
      <w:proofErr w:type="gramStart"/>
      <w:r w:rsidRPr="008E4A44">
        <w:rPr>
          <w:sz w:val="22"/>
          <w:szCs w:val="22"/>
        </w:rPr>
        <w:t>ICRP Publication 30.</w:t>
      </w:r>
      <w:proofErr w:type="gramEnd"/>
      <w:r w:rsidRPr="008E4A44">
        <w:rPr>
          <w:sz w:val="22"/>
          <w:szCs w:val="22"/>
        </w:rPr>
        <w:t xml:space="preserve"> </w:t>
      </w:r>
      <w:r w:rsidRPr="008E4A44">
        <w:rPr>
          <w:i/>
          <w:sz w:val="22"/>
          <w:szCs w:val="22"/>
        </w:rPr>
        <w:t>Ann. ICRP</w:t>
      </w:r>
      <w:r w:rsidRPr="008E4A44">
        <w:rPr>
          <w:sz w:val="22"/>
          <w:szCs w:val="22"/>
        </w:rPr>
        <w:t xml:space="preserve"> 2(3-4).</w:t>
      </w:r>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1983.</w:t>
      </w:r>
      <w:proofErr w:type="gramEnd"/>
      <w:r w:rsidRPr="008E4A44">
        <w:rPr>
          <w:sz w:val="22"/>
          <w:szCs w:val="22"/>
        </w:rPr>
        <w:t xml:space="preserve"> “Radionuclide Transformations: Energy and Intensity of Emissions.” </w:t>
      </w:r>
      <w:proofErr w:type="gramStart"/>
      <w:r w:rsidRPr="008E4A44">
        <w:rPr>
          <w:sz w:val="22"/>
          <w:szCs w:val="22"/>
        </w:rPr>
        <w:t>ICRP Publication 38.</w:t>
      </w:r>
      <w:proofErr w:type="gramEnd"/>
      <w:r w:rsidRPr="008E4A44">
        <w:rPr>
          <w:sz w:val="22"/>
          <w:szCs w:val="22"/>
        </w:rPr>
        <w:t xml:space="preserve"> </w:t>
      </w:r>
      <w:r w:rsidRPr="008E4A44">
        <w:rPr>
          <w:i/>
          <w:sz w:val="22"/>
          <w:szCs w:val="22"/>
        </w:rPr>
        <w:t>Ann. ICRP</w:t>
      </w:r>
      <w:r w:rsidRPr="008E4A44">
        <w:rPr>
          <w:sz w:val="22"/>
          <w:szCs w:val="22"/>
        </w:rPr>
        <w:t xml:space="preserve"> 11-13.</w:t>
      </w:r>
    </w:p>
    <w:p w:rsidR="00CD3F77" w:rsidRDefault="00CD3F77" w:rsidP="00CD3F77">
      <w:pPr>
        <w:pStyle w:val="noindent"/>
      </w:pPr>
    </w:p>
    <w:p w:rsidR="00CD3F77" w:rsidRPr="00AD7B23" w:rsidRDefault="00CD3F77" w:rsidP="00CD3F77">
      <w:pPr>
        <w:pStyle w:val="noindent"/>
        <w:rPr>
          <w:sz w:val="22"/>
          <w:szCs w:val="22"/>
        </w:rPr>
      </w:pPr>
      <w:proofErr w:type="gramStart"/>
      <w:r w:rsidRPr="00AD7B23">
        <w:rPr>
          <w:sz w:val="22"/>
          <w:szCs w:val="22"/>
        </w:rPr>
        <w:t>ICRP</w:t>
      </w:r>
      <w:r>
        <w:rPr>
          <w:sz w:val="22"/>
          <w:szCs w:val="22"/>
        </w:rPr>
        <w:t>,</w:t>
      </w:r>
      <w:r w:rsidRPr="00AD7B23">
        <w:rPr>
          <w:sz w:val="22"/>
          <w:szCs w:val="22"/>
        </w:rPr>
        <w:t xml:space="preserve"> 1990.</w:t>
      </w:r>
      <w:proofErr w:type="gramEnd"/>
      <w:r>
        <w:rPr>
          <w:sz w:val="22"/>
          <w:szCs w:val="22"/>
        </w:rPr>
        <w:t xml:space="preserve"> </w:t>
      </w:r>
      <w:proofErr w:type="gramStart"/>
      <w:r>
        <w:rPr>
          <w:sz w:val="22"/>
          <w:szCs w:val="22"/>
        </w:rPr>
        <w:t>“1990 Recommendations of the International Commission on Radiological Protection.”</w:t>
      </w:r>
      <w:proofErr w:type="gramEnd"/>
      <w:r>
        <w:rPr>
          <w:sz w:val="22"/>
          <w:szCs w:val="22"/>
        </w:rPr>
        <w:t xml:space="preserve"> </w:t>
      </w:r>
      <w:proofErr w:type="gramStart"/>
      <w:r>
        <w:rPr>
          <w:sz w:val="22"/>
          <w:szCs w:val="22"/>
        </w:rPr>
        <w:t>ICRP Publication 60.</w:t>
      </w:r>
      <w:proofErr w:type="gramEnd"/>
      <w:r>
        <w:rPr>
          <w:sz w:val="22"/>
          <w:szCs w:val="22"/>
        </w:rPr>
        <w:t xml:space="preserve"> </w:t>
      </w:r>
      <w:r w:rsidRPr="00AD7B23">
        <w:rPr>
          <w:i/>
          <w:sz w:val="22"/>
          <w:szCs w:val="22"/>
        </w:rPr>
        <w:t>Ann. ICRP</w:t>
      </w:r>
      <w:r>
        <w:rPr>
          <w:sz w:val="22"/>
          <w:szCs w:val="22"/>
        </w:rPr>
        <w:t xml:space="preserve"> 21(1-3).</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1994.</w:t>
      </w:r>
      <w:proofErr w:type="gramEnd"/>
      <w:r w:rsidRPr="008E4A44">
        <w:rPr>
          <w:sz w:val="22"/>
          <w:szCs w:val="22"/>
        </w:rPr>
        <w:t xml:space="preserve">  </w:t>
      </w:r>
      <w:proofErr w:type="gramStart"/>
      <w:r w:rsidRPr="008E4A44">
        <w:rPr>
          <w:sz w:val="22"/>
          <w:szCs w:val="22"/>
        </w:rPr>
        <w:t>“Dose Coefficients for Intakes of Radionuclides by Workers.”</w:t>
      </w:r>
      <w:proofErr w:type="gramEnd"/>
      <w:r w:rsidRPr="008E4A44">
        <w:rPr>
          <w:sz w:val="22"/>
          <w:szCs w:val="22"/>
        </w:rPr>
        <w:t xml:space="preserve"> </w:t>
      </w:r>
      <w:proofErr w:type="gramStart"/>
      <w:r w:rsidRPr="008E4A44">
        <w:rPr>
          <w:sz w:val="22"/>
          <w:szCs w:val="22"/>
        </w:rPr>
        <w:t>ICRP Publication 68.</w:t>
      </w:r>
      <w:proofErr w:type="gramEnd"/>
      <w:r w:rsidRPr="008E4A44">
        <w:rPr>
          <w:sz w:val="22"/>
          <w:szCs w:val="22"/>
        </w:rPr>
        <w:t xml:space="preserve"> </w:t>
      </w:r>
      <w:proofErr w:type="gramStart"/>
      <w:r w:rsidRPr="008E4A44">
        <w:rPr>
          <w:i/>
          <w:sz w:val="22"/>
          <w:szCs w:val="22"/>
        </w:rPr>
        <w:t>Ann. ICRP</w:t>
      </w:r>
      <w:r w:rsidRPr="008E4A44">
        <w:rPr>
          <w:sz w:val="22"/>
          <w:szCs w:val="22"/>
        </w:rPr>
        <w:t xml:space="preserve"> 24(4).</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1995.</w:t>
      </w:r>
      <w:proofErr w:type="gramEnd"/>
      <w:r w:rsidRPr="008E4A44">
        <w:rPr>
          <w:sz w:val="22"/>
          <w:szCs w:val="22"/>
        </w:rPr>
        <w:t xml:space="preserve"> “Age-dependent Doses to the Members of the Public from Intake of Radionuclides: Part 5 Compilation of Ingestion and Inhalation Coefficients.” </w:t>
      </w:r>
      <w:proofErr w:type="gramStart"/>
      <w:r w:rsidRPr="008E4A44">
        <w:rPr>
          <w:sz w:val="22"/>
          <w:szCs w:val="22"/>
        </w:rPr>
        <w:t>ICRP Publication 72.</w:t>
      </w:r>
      <w:proofErr w:type="gramEnd"/>
      <w:r w:rsidRPr="008E4A44">
        <w:rPr>
          <w:sz w:val="22"/>
          <w:szCs w:val="22"/>
        </w:rPr>
        <w:t xml:space="preserve"> </w:t>
      </w:r>
      <w:proofErr w:type="gramStart"/>
      <w:r w:rsidRPr="008E4A44">
        <w:rPr>
          <w:i/>
          <w:sz w:val="22"/>
          <w:szCs w:val="22"/>
        </w:rPr>
        <w:t xml:space="preserve">Ann. ICRP </w:t>
      </w:r>
      <w:r w:rsidRPr="008E4A44">
        <w:rPr>
          <w:sz w:val="22"/>
          <w:szCs w:val="22"/>
        </w:rPr>
        <w:t>26(1).</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1996.</w:t>
      </w:r>
      <w:proofErr w:type="gramEnd"/>
      <w:r w:rsidRPr="008E4A44">
        <w:rPr>
          <w:sz w:val="22"/>
          <w:szCs w:val="22"/>
        </w:rPr>
        <w:t xml:space="preserve"> “Conversion Coefficients for Use in Radiological Protection </w:t>
      </w:r>
      <w:proofErr w:type="gramStart"/>
      <w:r w:rsidRPr="008E4A44">
        <w:rPr>
          <w:sz w:val="22"/>
          <w:szCs w:val="22"/>
        </w:rPr>
        <w:t>Against</w:t>
      </w:r>
      <w:proofErr w:type="gramEnd"/>
      <w:r w:rsidRPr="008E4A44">
        <w:rPr>
          <w:sz w:val="22"/>
          <w:szCs w:val="22"/>
        </w:rPr>
        <w:t xml:space="preserve"> External Radiation.” </w:t>
      </w:r>
      <w:proofErr w:type="gramStart"/>
      <w:r w:rsidRPr="008E4A44">
        <w:rPr>
          <w:sz w:val="22"/>
          <w:szCs w:val="22"/>
        </w:rPr>
        <w:t>ICRP Publication 74.</w:t>
      </w:r>
      <w:proofErr w:type="gramEnd"/>
      <w:r w:rsidRPr="008E4A44">
        <w:rPr>
          <w:sz w:val="22"/>
          <w:szCs w:val="22"/>
        </w:rPr>
        <w:t xml:space="preserve"> </w:t>
      </w:r>
      <w:r w:rsidRPr="008E4A44">
        <w:rPr>
          <w:i/>
          <w:sz w:val="22"/>
          <w:szCs w:val="22"/>
        </w:rPr>
        <w:t>Ann. ICRP</w:t>
      </w:r>
      <w:r w:rsidRPr="008E4A44">
        <w:rPr>
          <w:sz w:val="22"/>
          <w:szCs w:val="22"/>
        </w:rPr>
        <w:t xml:space="preserve"> 26(3-4).</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2001.</w:t>
      </w:r>
      <w:proofErr w:type="gramEnd"/>
      <w:r w:rsidRPr="008E4A44">
        <w:rPr>
          <w:sz w:val="22"/>
          <w:szCs w:val="22"/>
        </w:rPr>
        <w:t xml:space="preserve"> </w:t>
      </w:r>
      <w:r w:rsidRPr="008E4A44">
        <w:rPr>
          <w:i/>
          <w:sz w:val="22"/>
          <w:szCs w:val="22"/>
        </w:rPr>
        <w:t>The ICRP Database of Dose Coefficients: Workers and Members of the Public</w:t>
      </w:r>
      <w:r w:rsidRPr="008E4A44">
        <w:rPr>
          <w:sz w:val="22"/>
          <w:szCs w:val="22"/>
        </w:rPr>
        <w:t xml:space="preserve">. </w:t>
      </w:r>
      <w:proofErr w:type="gramStart"/>
      <w:r w:rsidRPr="008E4A44">
        <w:rPr>
          <w:sz w:val="22"/>
          <w:szCs w:val="22"/>
        </w:rPr>
        <w:t>CD 1 Ver. 2.01.</w:t>
      </w:r>
      <w:proofErr w:type="gramEnd"/>
      <w:r w:rsidRPr="008E4A44">
        <w:rPr>
          <w:sz w:val="22"/>
          <w:szCs w:val="22"/>
        </w:rPr>
        <w:t xml:space="preserve"> </w:t>
      </w:r>
      <w:proofErr w:type="gramStart"/>
      <w:r w:rsidRPr="008E4A44">
        <w:rPr>
          <w:sz w:val="22"/>
          <w:szCs w:val="22"/>
        </w:rPr>
        <w:t>International Commission on Radiological Protection, Elsevier Science, New York</w:t>
      </w:r>
      <w:r>
        <w:rPr>
          <w:sz w:val="22"/>
          <w:szCs w:val="22"/>
        </w:rPr>
        <w:t>, NY</w:t>
      </w:r>
      <w:r w:rsidRPr="008E4A44">
        <w:rPr>
          <w:sz w:val="22"/>
          <w:szCs w:val="22"/>
        </w:rPr>
        <w:t>.</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2002.</w:t>
      </w:r>
      <w:proofErr w:type="gramEnd"/>
      <w:r w:rsidRPr="008E4A44">
        <w:rPr>
          <w:sz w:val="22"/>
          <w:szCs w:val="22"/>
        </w:rPr>
        <w:t xml:space="preserve"> “Basic Anatomical and Physiological Data for Use in Radiological Protection: Reference Values.” </w:t>
      </w:r>
      <w:proofErr w:type="gramStart"/>
      <w:r w:rsidRPr="008E4A44">
        <w:rPr>
          <w:sz w:val="22"/>
          <w:szCs w:val="22"/>
        </w:rPr>
        <w:t>ICRP Publication 89.</w:t>
      </w:r>
      <w:proofErr w:type="gramEnd"/>
      <w:r w:rsidRPr="008E4A44">
        <w:rPr>
          <w:sz w:val="22"/>
          <w:szCs w:val="22"/>
        </w:rPr>
        <w:t xml:space="preserve"> </w:t>
      </w:r>
      <w:r w:rsidRPr="008E4A44">
        <w:rPr>
          <w:i/>
          <w:sz w:val="22"/>
          <w:szCs w:val="22"/>
        </w:rPr>
        <w:t>Ann. ICRP</w:t>
      </w:r>
      <w:r w:rsidRPr="008E4A44">
        <w:rPr>
          <w:sz w:val="22"/>
          <w:szCs w:val="22"/>
        </w:rPr>
        <w:t xml:space="preserve"> 32(3-4).</w:t>
      </w:r>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ICRP</w:t>
      </w:r>
      <w:r>
        <w:rPr>
          <w:rFonts w:ascii="Times New Roman" w:hAnsi="Times New Roman"/>
          <w:sz w:val="22"/>
          <w:szCs w:val="22"/>
        </w:rPr>
        <w:t>,</w:t>
      </w:r>
      <w:r w:rsidRPr="008E4A44">
        <w:rPr>
          <w:rFonts w:ascii="Times New Roman" w:hAnsi="Times New Roman"/>
          <w:sz w:val="22"/>
          <w:szCs w:val="22"/>
        </w:rPr>
        <w:t xml:space="preserve"> 2005.</w:t>
      </w:r>
      <w:proofErr w:type="gramEnd"/>
      <w:r w:rsidRPr="008E4A44">
        <w:rPr>
          <w:rFonts w:ascii="Times New Roman" w:hAnsi="Times New Roman"/>
          <w:sz w:val="22"/>
          <w:szCs w:val="22"/>
        </w:rPr>
        <w:t xml:space="preserve"> “Protecting People </w:t>
      </w:r>
      <w:proofErr w:type="gramStart"/>
      <w:r w:rsidRPr="008E4A44">
        <w:rPr>
          <w:rFonts w:ascii="Times New Roman" w:hAnsi="Times New Roman"/>
          <w:sz w:val="22"/>
          <w:szCs w:val="22"/>
        </w:rPr>
        <w:t>Against</w:t>
      </w:r>
      <w:proofErr w:type="gramEnd"/>
      <w:r w:rsidRPr="008E4A44">
        <w:rPr>
          <w:rFonts w:ascii="Times New Roman" w:hAnsi="Times New Roman"/>
          <w:sz w:val="22"/>
          <w:szCs w:val="22"/>
        </w:rPr>
        <w:t xml:space="preserve"> Radiation Exposure in the Event of a Radiological Attack”, ICRP Publication 96. </w:t>
      </w:r>
      <w:proofErr w:type="gramStart"/>
      <w:r w:rsidRPr="008E4A44">
        <w:rPr>
          <w:rFonts w:ascii="Times New Roman" w:hAnsi="Times New Roman"/>
          <w:i/>
          <w:sz w:val="22"/>
          <w:szCs w:val="22"/>
        </w:rPr>
        <w:t>Ann. ICRP</w:t>
      </w:r>
      <w:r w:rsidRPr="008E4A44">
        <w:rPr>
          <w:rFonts w:ascii="Times New Roman" w:hAnsi="Times New Roman"/>
          <w:sz w:val="22"/>
          <w:szCs w:val="22"/>
        </w:rPr>
        <w:t xml:space="preserve"> 35(1).</w:t>
      </w:r>
      <w:proofErr w:type="gramEnd"/>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Pr>
          <w:rFonts w:ascii="Times New Roman" w:hAnsi="Times New Roman"/>
          <w:sz w:val="22"/>
          <w:szCs w:val="22"/>
        </w:rPr>
        <w:t>ICRP, 2007.</w:t>
      </w:r>
      <w:proofErr w:type="gramEnd"/>
      <w:r>
        <w:rPr>
          <w:rFonts w:ascii="Times New Roman" w:hAnsi="Times New Roman"/>
          <w:sz w:val="22"/>
          <w:szCs w:val="22"/>
        </w:rPr>
        <w:t xml:space="preserve"> </w:t>
      </w:r>
      <w:proofErr w:type="gramStart"/>
      <w:r>
        <w:rPr>
          <w:rFonts w:ascii="Times New Roman" w:hAnsi="Times New Roman"/>
          <w:sz w:val="22"/>
          <w:szCs w:val="22"/>
        </w:rPr>
        <w:t xml:space="preserve">“The 2007 Recommendations of the International </w:t>
      </w:r>
      <w:proofErr w:type="spellStart"/>
      <w:r>
        <w:rPr>
          <w:rFonts w:ascii="Times New Roman" w:hAnsi="Times New Roman"/>
          <w:sz w:val="22"/>
          <w:szCs w:val="22"/>
        </w:rPr>
        <w:t>Commision</w:t>
      </w:r>
      <w:proofErr w:type="spellEnd"/>
      <w:r>
        <w:rPr>
          <w:rFonts w:ascii="Times New Roman" w:hAnsi="Times New Roman"/>
          <w:sz w:val="22"/>
          <w:szCs w:val="22"/>
        </w:rPr>
        <w:t xml:space="preserve"> on Radiological Protection”, ICRP Publication 103.</w:t>
      </w:r>
      <w:proofErr w:type="gramEnd"/>
      <w:r>
        <w:rPr>
          <w:rFonts w:ascii="Times New Roman" w:hAnsi="Times New Roman"/>
          <w:sz w:val="22"/>
          <w:szCs w:val="22"/>
        </w:rPr>
        <w:t xml:space="preserve"> </w:t>
      </w:r>
      <w:r w:rsidRPr="00B6138F">
        <w:rPr>
          <w:rFonts w:ascii="Times New Roman" w:hAnsi="Times New Roman"/>
          <w:i/>
          <w:sz w:val="22"/>
          <w:szCs w:val="22"/>
        </w:rPr>
        <w:t>Ann. ICRP</w:t>
      </w:r>
      <w:r>
        <w:rPr>
          <w:rFonts w:ascii="Times New Roman" w:hAnsi="Times New Roman"/>
          <w:sz w:val="22"/>
          <w:szCs w:val="22"/>
        </w:rPr>
        <w:t xml:space="preserve"> 37(2-4).</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2008.</w:t>
      </w:r>
      <w:proofErr w:type="gramEnd"/>
      <w:r w:rsidRPr="008E4A44">
        <w:rPr>
          <w:sz w:val="22"/>
          <w:szCs w:val="22"/>
        </w:rPr>
        <w:t xml:space="preserve"> </w:t>
      </w:r>
      <w:proofErr w:type="gramStart"/>
      <w:r w:rsidRPr="008E4A44">
        <w:rPr>
          <w:sz w:val="22"/>
          <w:szCs w:val="22"/>
        </w:rPr>
        <w:t xml:space="preserve">“Nuclear Decay Data for </w:t>
      </w:r>
      <w:proofErr w:type="spellStart"/>
      <w:r w:rsidRPr="008E4A44">
        <w:rPr>
          <w:sz w:val="22"/>
          <w:szCs w:val="22"/>
        </w:rPr>
        <w:t>Dosimetric</w:t>
      </w:r>
      <w:proofErr w:type="spellEnd"/>
      <w:r w:rsidRPr="008E4A44">
        <w:rPr>
          <w:sz w:val="22"/>
          <w:szCs w:val="22"/>
        </w:rPr>
        <w:t xml:space="preserve"> Calculations”.</w:t>
      </w:r>
      <w:proofErr w:type="gramEnd"/>
      <w:r w:rsidRPr="008E4A44">
        <w:rPr>
          <w:sz w:val="22"/>
          <w:szCs w:val="22"/>
        </w:rPr>
        <w:t xml:space="preserve"> </w:t>
      </w:r>
      <w:proofErr w:type="gramStart"/>
      <w:r w:rsidRPr="008E4A44">
        <w:rPr>
          <w:sz w:val="22"/>
          <w:szCs w:val="22"/>
        </w:rPr>
        <w:t>ICRP Publication 107.</w:t>
      </w:r>
      <w:proofErr w:type="gramEnd"/>
      <w:r w:rsidRPr="008E4A44">
        <w:rPr>
          <w:sz w:val="22"/>
          <w:szCs w:val="22"/>
        </w:rPr>
        <w:t xml:space="preserve"> </w:t>
      </w:r>
      <w:proofErr w:type="gramStart"/>
      <w:r w:rsidRPr="008E4A44">
        <w:rPr>
          <w:i/>
          <w:sz w:val="22"/>
          <w:szCs w:val="22"/>
        </w:rPr>
        <w:t>Ann. ICRP</w:t>
      </w:r>
      <w:r w:rsidRPr="008E4A44">
        <w:rPr>
          <w:sz w:val="22"/>
          <w:szCs w:val="22"/>
        </w:rPr>
        <w:t xml:space="preserve"> 38(3).</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ICRU</w:t>
      </w:r>
      <w:r>
        <w:rPr>
          <w:sz w:val="22"/>
          <w:szCs w:val="22"/>
        </w:rPr>
        <w:t>,</w:t>
      </w:r>
      <w:r w:rsidRPr="008E4A44">
        <w:rPr>
          <w:sz w:val="22"/>
          <w:szCs w:val="22"/>
        </w:rPr>
        <w:t xml:space="preserve"> 1998.</w:t>
      </w:r>
      <w:proofErr w:type="gramEnd"/>
      <w:r w:rsidRPr="008E4A44">
        <w:rPr>
          <w:sz w:val="22"/>
          <w:szCs w:val="22"/>
        </w:rPr>
        <w:t xml:space="preserve"> </w:t>
      </w:r>
      <w:proofErr w:type="gramStart"/>
      <w:r w:rsidRPr="008E4A44">
        <w:rPr>
          <w:i/>
          <w:sz w:val="22"/>
          <w:szCs w:val="22"/>
        </w:rPr>
        <w:t>Fundamental Quantities and Units for Ionizing Radiation</w:t>
      </w:r>
      <w:r w:rsidRPr="008E4A44">
        <w:rPr>
          <w:sz w:val="22"/>
          <w:szCs w:val="22"/>
        </w:rPr>
        <w:t>.</w:t>
      </w:r>
      <w:proofErr w:type="gramEnd"/>
      <w:r w:rsidRPr="008E4A44">
        <w:rPr>
          <w:sz w:val="22"/>
          <w:szCs w:val="22"/>
        </w:rPr>
        <w:t xml:space="preserve"> ICRU Report 60. </w:t>
      </w:r>
      <w:proofErr w:type="gramStart"/>
      <w:r w:rsidRPr="008E4A44">
        <w:rPr>
          <w:sz w:val="22"/>
          <w:szCs w:val="22"/>
        </w:rPr>
        <w:t>International Commission on Radiation Units and Measurements, Bethesda, MD.</w:t>
      </w:r>
      <w:proofErr w:type="gramEnd"/>
      <w:r w:rsidRPr="008E4A44">
        <w:rPr>
          <w:sz w:val="22"/>
          <w:szCs w:val="22"/>
        </w:rPr>
        <w:t xml:space="preserve"> </w:t>
      </w:r>
    </w:p>
    <w:p w:rsidR="00CD3F77" w:rsidRPr="008E4A44" w:rsidRDefault="00CD3F77" w:rsidP="00CD3F77">
      <w:pPr>
        <w:rPr>
          <w:sz w:val="22"/>
          <w:szCs w:val="22"/>
        </w:rPr>
      </w:pPr>
    </w:p>
    <w:p w:rsidR="00CD3F77" w:rsidRDefault="00CD3F77" w:rsidP="00CD3F77">
      <w:pPr>
        <w:rPr>
          <w:sz w:val="22"/>
          <w:szCs w:val="22"/>
        </w:rPr>
      </w:pPr>
      <w:proofErr w:type="spellStart"/>
      <w:r w:rsidRPr="008E4A44">
        <w:rPr>
          <w:sz w:val="22"/>
          <w:szCs w:val="22"/>
        </w:rPr>
        <w:t>Lide</w:t>
      </w:r>
      <w:proofErr w:type="spellEnd"/>
      <w:r w:rsidRPr="008E4A44">
        <w:rPr>
          <w:sz w:val="22"/>
          <w:szCs w:val="22"/>
        </w:rPr>
        <w:t xml:space="preserve">, D. R., </w:t>
      </w:r>
      <w:r>
        <w:rPr>
          <w:sz w:val="22"/>
          <w:szCs w:val="22"/>
        </w:rPr>
        <w:t>(</w:t>
      </w:r>
      <w:proofErr w:type="spellStart"/>
      <w:proofErr w:type="gramStart"/>
      <w:r w:rsidRPr="008E4A44">
        <w:rPr>
          <w:sz w:val="22"/>
          <w:szCs w:val="22"/>
        </w:rPr>
        <w:t>ed</w:t>
      </w:r>
      <w:proofErr w:type="spellEnd"/>
      <w:proofErr w:type="gramEnd"/>
      <w:r>
        <w:rPr>
          <w:sz w:val="22"/>
          <w:szCs w:val="22"/>
        </w:rPr>
        <w:t>),</w:t>
      </w:r>
      <w:r w:rsidRPr="008E4A44">
        <w:rPr>
          <w:sz w:val="22"/>
          <w:szCs w:val="22"/>
        </w:rPr>
        <w:t xml:space="preserve"> 1997. </w:t>
      </w:r>
      <w:proofErr w:type="gramStart"/>
      <w:r w:rsidRPr="008E4A44">
        <w:rPr>
          <w:i/>
          <w:sz w:val="22"/>
          <w:szCs w:val="22"/>
        </w:rPr>
        <w:t>CRC Handbook of Chemistry and Physics</w:t>
      </w:r>
      <w:r w:rsidRPr="008E4A44">
        <w:rPr>
          <w:sz w:val="22"/>
          <w:szCs w:val="22"/>
        </w:rPr>
        <w:t>.</w:t>
      </w:r>
      <w:proofErr w:type="gramEnd"/>
      <w:r w:rsidRPr="008E4A44">
        <w:rPr>
          <w:sz w:val="22"/>
          <w:szCs w:val="22"/>
        </w:rPr>
        <w:t xml:space="preserve"> </w:t>
      </w:r>
      <w:proofErr w:type="gramStart"/>
      <w:r w:rsidRPr="008E4A44">
        <w:rPr>
          <w:sz w:val="22"/>
          <w:szCs w:val="22"/>
        </w:rPr>
        <w:t>77th ed. CRC Press, Inc., Boca Raton, FL.</w:t>
      </w:r>
      <w:proofErr w:type="gramEnd"/>
    </w:p>
    <w:p w:rsidR="00CD3F77" w:rsidRDefault="00CD3F77" w:rsidP="00CD3F77">
      <w:pPr>
        <w:pStyle w:val="noindent"/>
      </w:pPr>
    </w:p>
    <w:p w:rsidR="00CD3F77" w:rsidRPr="000E3E06" w:rsidRDefault="00CD3F77" w:rsidP="00CD3F77">
      <w:pPr>
        <w:pStyle w:val="noindent"/>
        <w:rPr>
          <w:sz w:val="22"/>
          <w:szCs w:val="22"/>
        </w:rPr>
      </w:pPr>
      <w:proofErr w:type="spellStart"/>
      <w:proofErr w:type="gramStart"/>
      <w:r w:rsidRPr="000E3E06">
        <w:rPr>
          <w:sz w:val="22"/>
          <w:szCs w:val="22"/>
        </w:rPr>
        <w:t>Mettler</w:t>
      </w:r>
      <w:proofErr w:type="spellEnd"/>
      <w:r w:rsidRPr="000E3E06">
        <w:rPr>
          <w:sz w:val="22"/>
          <w:szCs w:val="22"/>
        </w:rPr>
        <w:t>, Jr. F.A.</w:t>
      </w:r>
      <w:r>
        <w:rPr>
          <w:sz w:val="22"/>
          <w:szCs w:val="22"/>
        </w:rPr>
        <w:t>, W.</w:t>
      </w:r>
      <w:r w:rsidRPr="000E3E06">
        <w:rPr>
          <w:sz w:val="22"/>
          <w:szCs w:val="22"/>
        </w:rPr>
        <w:t xml:space="preserve"> </w:t>
      </w:r>
      <w:proofErr w:type="spellStart"/>
      <w:r w:rsidRPr="000E3E06">
        <w:rPr>
          <w:sz w:val="22"/>
          <w:szCs w:val="22"/>
        </w:rPr>
        <w:t>Jida</w:t>
      </w:r>
      <w:proofErr w:type="spellEnd"/>
      <w:r>
        <w:rPr>
          <w:sz w:val="22"/>
          <w:szCs w:val="22"/>
        </w:rPr>
        <w:t>,</w:t>
      </w:r>
      <w:r w:rsidRPr="000E3E06">
        <w:rPr>
          <w:sz w:val="22"/>
          <w:szCs w:val="22"/>
        </w:rPr>
        <w:t xml:space="preserve"> T.T. </w:t>
      </w:r>
      <w:proofErr w:type="spellStart"/>
      <w:r w:rsidRPr="000E3E06">
        <w:rPr>
          <w:sz w:val="22"/>
          <w:szCs w:val="22"/>
        </w:rPr>
        <w:t>Yoshizumi</w:t>
      </w:r>
      <w:proofErr w:type="spellEnd"/>
      <w:r w:rsidRPr="000E3E06">
        <w:rPr>
          <w:sz w:val="22"/>
          <w:szCs w:val="22"/>
        </w:rPr>
        <w:t xml:space="preserve">, </w:t>
      </w:r>
      <w:r>
        <w:rPr>
          <w:sz w:val="22"/>
          <w:szCs w:val="22"/>
        </w:rPr>
        <w:t xml:space="preserve">and </w:t>
      </w:r>
      <w:r w:rsidRPr="000E3E06">
        <w:rPr>
          <w:sz w:val="22"/>
          <w:szCs w:val="22"/>
        </w:rPr>
        <w:t>M. Mahesh</w:t>
      </w:r>
      <w:r>
        <w:rPr>
          <w:sz w:val="22"/>
          <w:szCs w:val="22"/>
        </w:rPr>
        <w:t>, 2010.</w:t>
      </w:r>
      <w:proofErr w:type="gramEnd"/>
      <w:r>
        <w:rPr>
          <w:sz w:val="22"/>
          <w:szCs w:val="22"/>
        </w:rPr>
        <w:t xml:space="preserve"> “Effective doses in radiology and diagnostic nuclear medicine: A catalog,” </w:t>
      </w:r>
      <w:r w:rsidRPr="00A54F2D">
        <w:rPr>
          <w:i/>
          <w:sz w:val="22"/>
          <w:szCs w:val="22"/>
        </w:rPr>
        <w:t>Radiology</w:t>
      </w:r>
      <w:r>
        <w:rPr>
          <w:sz w:val="22"/>
          <w:szCs w:val="22"/>
        </w:rPr>
        <w:t xml:space="preserve"> 248(1):254-263.</w:t>
      </w:r>
    </w:p>
    <w:p w:rsidR="00CD3F77" w:rsidRDefault="00CD3F77" w:rsidP="00CD3F77">
      <w:pPr>
        <w:pStyle w:val="noindent"/>
      </w:pPr>
    </w:p>
    <w:p w:rsidR="00CD3F77" w:rsidRPr="008E4A44" w:rsidRDefault="00CD3F77" w:rsidP="00CD3F77">
      <w:pPr>
        <w:rPr>
          <w:sz w:val="22"/>
          <w:szCs w:val="22"/>
        </w:rPr>
      </w:pPr>
      <w:proofErr w:type="gramStart"/>
      <w:r w:rsidRPr="008E4A44">
        <w:rPr>
          <w:sz w:val="22"/>
          <w:szCs w:val="22"/>
        </w:rPr>
        <w:t>NCRP</w:t>
      </w:r>
      <w:r>
        <w:rPr>
          <w:sz w:val="22"/>
          <w:szCs w:val="22"/>
        </w:rPr>
        <w:t>,</w:t>
      </w:r>
      <w:r w:rsidRPr="008E4A44">
        <w:rPr>
          <w:sz w:val="22"/>
          <w:szCs w:val="22"/>
        </w:rPr>
        <w:t xml:space="preserve"> 2008.</w:t>
      </w:r>
      <w:proofErr w:type="gramEnd"/>
      <w:r w:rsidRPr="008E4A44">
        <w:rPr>
          <w:sz w:val="22"/>
          <w:szCs w:val="22"/>
        </w:rPr>
        <w:t xml:space="preserve"> </w:t>
      </w:r>
      <w:r w:rsidRPr="008E4A44">
        <w:rPr>
          <w:i/>
          <w:sz w:val="22"/>
          <w:szCs w:val="22"/>
        </w:rPr>
        <w:t>Management of Persons Contaminated with Radionuclides: Handbook</w:t>
      </w:r>
      <w:r w:rsidRPr="008E4A44">
        <w:rPr>
          <w:sz w:val="22"/>
          <w:szCs w:val="22"/>
        </w:rPr>
        <w:t>. NCRP Report No. 161, National Council on Radiation Protection and Measurements, Washington, DC.</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NCRP</w:t>
      </w:r>
      <w:r>
        <w:rPr>
          <w:sz w:val="22"/>
          <w:szCs w:val="22"/>
        </w:rPr>
        <w:t>,</w:t>
      </w:r>
      <w:r w:rsidRPr="008E4A44">
        <w:rPr>
          <w:sz w:val="22"/>
          <w:szCs w:val="22"/>
        </w:rPr>
        <w:t xml:space="preserve"> 2009.</w:t>
      </w:r>
      <w:proofErr w:type="gramEnd"/>
      <w:r w:rsidRPr="008E4A44">
        <w:rPr>
          <w:sz w:val="22"/>
          <w:szCs w:val="22"/>
        </w:rPr>
        <w:t xml:space="preserve"> </w:t>
      </w:r>
      <w:proofErr w:type="gramStart"/>
      <w:r w:rsidRPr="008E4A44">
        <w:rPr>
          <w:i/>
          <w:sz w:val="22"/>
          <w:szCs w:val="22"/>
        </w:rPr>
        <w:t>Ionizing Radiation Exposure of the Population of the United States</w:t>
      </w:r>
      <w:r w:rsidRPr="008E4A44">
        <w:rPr>
          <w:sz w:val="22"/>
          <w:szCs w:val="22"/>
        </w:rPr>
        <w:t>.</w:t>
      </w:r>
      <w:proofErr w:type="gramEnd"/>
      <w:r w:rsidRPr="008E4A44">
        <w:rPr>
          <w:sz w:val="22"/>
          <w:szCs w:val="22"/>
        </w:rPr>
        <w:t xml:space="preserve"> NCRP Report No. 160, National Council on Radiation Protection and Measurements, Washington, DC.</w:t>
      </w:r>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r w:rsidRPr="008E4A44">
        <w:rPr>
          <w:rFonts w:ascii="Times New Roman" w:hAnsi="Times New Roman"/>
          <w:sz w:val="22"/>
          <w:szCs w:val="22"/>
        </w:rPr>
        <w:t>Rathbone, B.A.</w:t>
      </w:r>
      <w:r>
        <w:rPr>
          <w:rFonts w:ascii="Times New Roman" w:hAnsi="Times New Roman"/>
          <w:sz w:val="22"/>
          <w:szCs w:val="22"/>
        </w:rPr>
        <w:t>,</w:t>
      </w:r>
      <w:r w:rsidRPr="008E4A44">
        <w:rPr>
          <w:rFonts w:ascii="Times New Roman" w:hAnsi="Times New Roman"/>
          <w:sz w:val="22"/>
          <w:szCs w:val="22"/>
        </w:rPr>
        <w:t xml:space="preserve"> 2007. </w:t>
      </w:r>
      <w:proofErr w:type="gramStart"/>
      <w:r w:rsidRPr="008E4A44">
        <w:rPr>
          <w:rFonts w:ascii="Times New Roman" w:hAnsi="Times New Roman"/>
          <w:i/>
          <w:sz w:val="22"/>
          <w:szCs w:val="22"/>
        </w:rPr>
        <w:t>Hanford External Dosimetry Technical Basis Manual</w:t>
      </w:r>
      <w:r w:rsidRPr="008E4A44">
        <w:rPr>
          <w:rFonts w:ascii="Times New Roman" w:hAnsi="Times New Roman"/>
          <w:sz w:val="22"/>
          <w:szCs w:val="22"/>
        </w:rPr>
        <w:t>, PNL-MA-842, Pacific Northwest National Laboratory, Richland, WA.</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spellStart"/>
      <w:proofErr w:type="gramStart"/>
      <w:r w:rsidRPr="008E4A44">
        <w:rPr>
          <w:sz w:val="22"/>
          <w:szCs w:val="22"/>
        </w:rPr>
        <w:t>Rosman</w:t>
      </w:r>
      <w:proofErr w:type="spellEnd"/>
      <w:r w:rsidRPr="008E4A44">
        <w:rPr>
          <w:sz w:val="22"/>
          <w:szCs w:val="22"/>
        </w:rPr>
        <w:t>, K.J.R. and P.D.P. Taylor</w:t>
      </w:r>
      <w:r>
        <w:rPr>
          <w:sz w:val="22"/>
          <w:szCs w:val="22"/>
        </w:rPr>
        <w:t>,</w:t>
      </w:r>
      <w:r w:rsidRPr="008E4A44">
        <w:rPr>
          <w:sz w:val="22"/>
          <w:szCs w:val="22"/>
        </w:rPr>
        <w:t xml:space="preserve"> 1998.</w:t>
      </w:r>
      <w:proofErr w:type="gramEnd"/>
      <w:r w:rsidRPr="008E4A44">
        <w:rPr>
          <w:sz w:val="22"/>
          <w:szCs w:val="22"/>
        </w:rPr>
        <w:t xml:space="preserve"> </w:t>
      </w:r>
      <w:proofErr w:type="gramStart"/>
      <w:r w:rsidRPr="008E4A44">
        <w:rPr>
          <w:sz w:val="22"/>
          <w:szCs w:val="22"/>
        </w:rPr>
        <w:t>“Isotopic Compositions of the Elements 1997.”</w:t>
      </w:r>
      <w:proofErr w:type="gramEnd"/>
      <w:r w:rsidRPr="008E4A44">
        <w:rPr>
          <w:sz w:val="22"/>
          <w:szCs w:val="22"/>
        </w:rPr>
        <w:t xml:space="preserve"> </w:t>
      </w:r>
      <w:r w:rsidRPr="008E4A44">
        <w:rPr>
          <w:i/>
          <w:sz w:val="22"/>
          <w:szCs w:val="22"/>
        </w:rPr>
        <w:t>J. Phys. Chem. Ref. Data</w:t>
      </w:r>
      <w:r w:rsidRPr="008E4A44">
        <w:rPr>
          <w:sz w:val="22"/>
          <w:szCs w:val="22"/>
        </w:rPr>
        <w:t xml:space="preserve">. </w:t>
      </w:r>
      <w:proofErr w:type="gramStart"/>
      <w:r w:rsidRPr="008E4A44">
        <w:rPr>
          <w:sz w:val="22"/>
          <w:szCs w:val="22"/>
        </w:rPr>
        <w:t>27(6), 1275.</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Scott, B.R.</w:t>
      </w:r>
      <w:r>
        <w:rPr>
          <w:sz w:val="22"/>
          <w:szCs w:val="22"/>
        </w:rPr>
        <w:t>,</w:t>
      </w:r>
      <w:r w:rsidRPr="008E4A44">
        <w:rPr>
          <w:sz w:val="22"/>
          <w:szCs w:val="22"/>
        </w:rPr>
        <w:t xml:space="preserve"> 2004: “Health Risks from High-Level Radiation Exposures from Radiological Weapons</w:t>
      </w:r>
      <w:r>
        <w:rPr>
          <w:sz w:val="22"/>
          <w:szCs w:val="22"/>
        </w:rPr>
        <w:t>,</w:t>
      </w:r>
      <w:r w:rsidRPr="008E4A44">
        <w:rPr>
          <w:sz w:val="22"/>
          <w:szCs w:val="22"/>
        </w:rPr>
        <w:t xml:space="preserve">” </w:t>
      </w:r>
      <w:proofErr w:type="spellStart"/>
      <w:r w:rsidRPr="008E4A44">
        <w:rPr>
          <w:i/>
          <w:sz w:val="22"/>
          <w:szCs w:val="22"/>
        </w:rPr>
        <w:t>Radiat</w:t>
      </w:r>
      <w:proofErr w:type="spellEnd"/>
      <w:r w:rsidRPr="008E4A44">
        <w:rPr>
          <w:i/>
          <w:sz w:val="22"/>
          <w:szCs w:val="22"/>
        </w:rPr>
        <w:t>. Prot. Management</w:t>
      </w:r>
      <w:r w:rsidRPr="008E4A44">
        <w:rPr>
          <w:sz w:val="22"/>
          <w:szCs w:val="22"/>
        </w:rPr>
        <w:t xml:space="preserve"> 21(6): 9-25.</w:t>
      </w:r>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t>Sidhu</w:t>
      </w:r>
      <w:proofErr w:type="spellEnd"/>
      <w:r w:rsidRPr="008E4A44">
        <w:rPr>
          <w:sz w:val="22"/>
          <w:szCs w:val="22"/>
        </w:rPr>
        <w:t xml:space="preserve">, G.S., </w:t>
      </w:r>
      <w:r>
        <w:rPr>
          <w:sz w:val="22"/>
          <w:szCs w:val="22"/>
        </w:rPr>
        <w:t xml:space="preserve">P.S. </w:t>
      </w:r>
      <w:r w:rsidRPr="008E4A44">
        <w:rPr>
          <w:sz w:val="22"/>
          <w:szCs w:val="22"/>
        </w:rPr>
        <w:t xml:space="preserve">Singh, and </w:t>
      </w:r>
      <w:r>
        <w:rPr>
          <w:sz w:val="22"/>
          <w:szCs w:val="22"/>
        </w:rPr>
        <w:t xml:space="preserve">G.S. </w:t>
      </w:r>
      <w:proofErr w:type="spellStart"/>
      <w:r w:rsidRPr="008E4A44">
        <w:rPr>
          <w:sz w:val="22"/>
          <w:szCs w:val="22"/>
        </w:rPr>
        <w:t>Mudahar</w:t>
      </w:r>
      <w:proofErr w:type="spellEnd"/>
      <w:r>
        <w:rPr>
          <w:sz w:val="22"/>
          <w:szCs w:val="22"/>
        </w:rPr>
        <w:t>,</w:t>
      </w:r>
      <w:r w:rsidRPr="008E4A44">
        <w:rPr>
          <w:sz w:val="22"/>
          <w:szCs w:val="22"/>
        </w:rPr>
        <w:t xml:space="preserve"> 1999.</w:t>
      </w:r>
      <w:proofErr w:type="gramEnd"/>
      <w:r w:rsidRPr="008E4A44">
        <w:rPr>
          <w:sz w:val="22"/>
          <w:szCs w:val="22"/>
        </w:rPr>
        <w:t xml:space="preserve"> </w:t>
      </w:r>
      <w:proofErr w:type="gramStart"/>
      <w:r w:rsidRPr="008E4A44">
        <w:rPr>
          <w:sz w:val="22"/>
          <w:szCs w:val="22"/>
        </w:rPr>
        <w:t>“Energy Absorption Build-up Factor Studies in Biological Samples.”</w:t>
      </w:r>
      <w:proofErr w:type="gramEnd"/>
      <w:r w:rsidRPr="008E4A44">
        <w:rPr>
          <w:sz w:val="22"/>
          <w:szCs w:val="22"/>
        </w:rPr>
        <w:t xml:space="preserve"> </w:t>
      </w:r>
      <w:r w:rsidRPr="008E4A44">
        <w:rPr>
          <w:i/>
          <w:sz w:val="22"/>
          <w:szCs w:val="22"/>
        </w:rPr>
        <w:t xml:space="preserve">Rad. Prot. </w:t>
      </w:r>
      <w:proofErr w:type="spellStart"/>
      <w:r w:rsidRPr="008E4A44">
        <w:rPr>
          <w:i/>
          <w:sz w:val="22"/>
          <w:szCs w:val="22"/>
        </w:rPr>
        <w:t>Dosim</w:t>
      </w:r>
      <w:proofErr w:type="spellEnd"/>
      <w:r w:rsidRPr="008E4A44">
        <w:rPr>
          <w:sz w:val="22"/>
          <w:szCs w:val="22"/>
        </w:rPr>
        <w:t xml:space="preserve">. </w:t>
      </w:r>
      <w:proofErr w:type="gramStart"/>
      <w:r w:rsidRPr="008E4A44">
        <w:rPr>
          <w:sz w:val="22"/>
          <w:szCs w:val="22"/>
        </w:rPr>
        <w:t>86(3):207-216.</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lastRenderedPageBreak/>
        <w:t>Sidhu</w:t>
      </w:r>
      <w:proofErr w:type="spellEnd"/>
      <w:r w:rsidRPr="008E4A44">
        <w:rPr>
          <w:sz w:val="22"/>
          <w:szCs w:val="22"/>
        </w:rPr>
        <w:t xml:space="preserve">, G.S., </w:t>
      </w:r>
      <w:r>
        <w:rPr>
          <w:sz w:val="22"/>
          <w:szCs w:val="22"/>
        </w:rPr>
        <w:t xml:space="preserve">P.S. </w:t>
      </w:r>
      <w:r w:rsidRPr="008E4A44">
        <w:rPr>
          <w:sz w:val="22"/>
          <w:szCs w:val="22"/>
        </w:rPr>
        <w:t xml:space="preserve">Singh, and </w:t>
      </w:r>
      <w:r>
        <w:rPr>
          <w:sz w:val="22"/>
          <w:szCs w:val="22"/>
        </w:rPr>
        <w:t xml:space="preserve">G.S. </w:t>
      </w:r>
      <w:proofErr w:type="spellStart"/>
      <w:r w:rsidRPr="008E4A44">
        <w:rPr>
          <w:sz w:val="22"/>
          <w:szCs w:val="22"/>
        </w:rPr>
        <w:t>Mudahar</w:t>
      </w:r>
      <w:proofErr w:type="spellEnd"/>
      <w:r>
        <w:rPr>
          <w:sz w:val="22"/>
          <w:szCs w:val="22"/>
        </w:rPr>
        <w:t>,</w:t>
      </w:r>
      <w:r w:rsidRPr="008E4A44">
        <w:rPr>
          <w:sz w:val="22"/>
          <w:szCs w:val="22"/>
        </w:rPr>
        <w:t xml:space="preserve"> 2000.</w:t>
      </w:r>
      <w:proofErr w:type="gramEnd"/>
      <w:r w:rsidRPr="008E4A44">
        <w:rPr>
          <w:sz w:val="22"/>
          <w:szCs w:val="22"/>
        </w:rPr>
        <w:t xml:space="preserve"> “A Study of Energy and Effective Atomic Number Dependence of the Exposure Build-up Factors in Biological Samples.” </w:t>
      </w:r>
      <w:r w:rsidRPr="008E4A44">
        <w:rPr>
          <w:i/>
          <w:sz w:val="22"/>
          <w:szCs w:val="22"/>
        </w:rPr>
        <w:t xml:space="preserve">J. </w:t>
      </w:r>
      <w:proofErr w:type="spellStart"/>
      <w:r w:rsidRPr="008E4A44">
        <w:rPr>
          <w:i/>
          <w:sz w:val="22"/>
          <w:szCs w:val="22"/>
        </w:rPr>
        <w:t>Radiol</w:t>
      </w:r>
      <w:proofErr w:type="spellEnd"/>
      <w:r w:rsidRPr="008E4A44">
        <w:rPr>
          <w:i/>
          <w:sz w:val="22"/>
          <w:szCs w:val="22"/>
        </w:rPr>
        <w:t>. Prot</w:t>
      </w:r>
      <w:r w:rsidRPr="008E4A44">
        <w:rPr>
          <w:sz w:val="22"/>
          <w:szCs w:val="22"/>
        </w:rPr>
        <w:t>. 20:53-68.</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 xml:space="preserve">Schneider, S., </w:t>
      </w:r>
      <w:r>
        <w:rPr>
          <w:sz w:val="22"/>
          <w:szCs w:val="22"/>
        </w:rPr>
        <w:t xml:space="preserve">D.C. Kocher, G.D. Kerr, P.A. Scofield, F.R. O’Donnell, C.R. </w:t>
      </w:r>
      <w:proofErr w:type="spellStart"/>
      <w:r>
        <w:rPr>
          <w:sz w:val="22"/>
          <w:szCs w:val="22"/>
        </w:rPr>
        <w:t>Mattsen</w:t>
      </w:r>
      <w:proofErr w:type="spellEnd"/>
      <w:r>
        <w:rPr>
          <w:sz w:val="22"/>
          <w:szCs w:val="22"/>
        </w:rPr>
        <w:t xml:space="preserve">, S.J. Cotter, J.S. </w:t>
      </w:r>
      <w:proofErr w:type="spellStart"/>
      <w:r>
        <w:rPr>
          <w:sz w:val="22"/>
          <w:szCs w:val="22"/>
        </w:rPr>
        <w:t>Bogard</w:t>
      </w:r>
      <w:proofErr w:type="spellEnd"/>
      <w:r>
        <w:rPr>
          <w:sz w:val="22"/>
          <w:szCs w:val="22"/>
        </w:rPr>
        <w:t xml:space="preserve">, J.S. Bland, and C. </w:t>
      </w:r>
      <w:proofErr w:type="spellStart"/>
      <w:r>
        <w:rPr>
          <w:sz w:val="22"/>
          <w:szCs w:val="22"/>
        </w:rPr>
        <w:t>Wiblin</w:t>
      </w:r>
      <w:proofErr w:type="spellEnd"/>
      <w:r>
        <w:rPr>
          <w:sz w:val="22"/>
          <w:szCs w:val="22"/>
        </w:rPr>
        <w:t>,</w:t>
      </w:r>
      <w:r w:rsidRPr="008E4A44">
        <w:rPr>
          <w:sz w:val="22"/>
          <w:szCs w:val="22"/>
        </w:rPr>
        <w:t xml:space="preserve"> 2001. </w:t>
      </w:r>
      <w:proofErr w:type="gramStart"/>
      <w:r w:rsidRPr="008E4A44">
        <w:rPr>
          <w:i/>
          <w:sz w:val="22"/>
          <w:szCs w:val="22"/>
        </w:rPr>
        <w:t>Systematic Radiological Assessment of Exemptions for Source and Byproduct Materials</w:t>
      </w:r>
      <w:r w:rsidRPr="008E4A44">
        <w:rPr>
          <w:sz w:val="22"/>
          <w:szCs w:val="22"/>
        </w:rPr>
        <w:t>.</w:t>
      </w:r>
      <w:proofErr w:type="gramEnd"/>
      <w:r w:rsidRPr="008E4A44">
        <w:rPr>
          <w:sz w:val="22"/>
          <w:szCs w:val="22"/>
        </w:rPr>
        <w:t xml:space="preserve"> </w:t>
      </w:r>
      <w:proofErr w:type="gramStart"/>
      <w:r w:rsidRPr="008E4A44">
        <w:rPr>
          <w:sz w:val="22"/>
          <w:szCs w:val="22"/>
        </w:rPr>
        <w:t>NUREG-1717, U.S. Nuclear Regulatory Commission, Washington, DC.</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Williams III, R.G.</w:t>
      </w:r>
      <w:r>
        <w:rPr>
          <w:rFonts w:ascii="Times New Roman" w:hAnsi="Times New Roman"/>
          <w:sz w:val="22"/>
          <w:szCs w:val="22"/>
        </w:rPr>
        <w:t xml:space="preserve">, C.J. </w:t>
      </w:r>
      <w:proofErr w:type="spellStart"/>
      <w:r>
        <w:rPr>
          <w:rFonts w:ascii="Times New Roman" w:hAnsi="Times New Roman"/>
          <w:sz w:val="22"/>
          <w:szCs w:val="22"/>
        </w:rPr>
        <w:t>Gesh</w:t>
      </w:r>
      <w:proofErr w:type="spellEnd"/>
      <w:r>
        <w:rPr>
          <w:rFonts w:ascii="Times New Roman" w:hAnsi="Times New Roman"/>
          <w:sz w:val="22"/>
          <w:szCs w:val="22"/>
        </w:rPr>
        <w:t xml:space="preserve">, and R.T. </w:t>
      </w:r>
      <w:proofErr w:type="spellStart"/>
      <w:r>
        <w:rPr>
          <w:rFonts w:ascii="Times New Roman" w:hAnsi="Times New Roman"/>
          <w:sz w:val="22"/>
          <w:szCs w:val="22"/>
        </w:rPr>
        <w:t>Pagh</w:t>
      </w:r>
      <w:proofErr w:type="spellEnd"/>
      <w:r>
        <w:rPr>
          <w:rFonts w:ascii="Times New Roman" w:hAnsi="Times New Roman"/>
          <w:sz w:val="22"/>
          <w:szCs w:val="22"/>
        </w:rPr>
        <w:t xml:space="preserve">, </w:t>
      </w:r>
      <w:r w:rsidRPr="008E4A44">
        <w:rPr>
          <w:rFonts w:ascii="Times New Roman" w:hAnsi="Times New Roman"/>
          <w:sz w:val="22"/>
          <w:szCs w:val="22"/>
        </w:rPr>
        <w:t>2006.</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Compendium of Material Composition Data for Radiation Transport Modeling</w:t>
      </w:r>
      <w:r w:rsidRPr="008E4A44">
        <w:rPr>
          <w:rFonts w:ascii="Times New Roman" w:hAnsi="Times New Roman"/>
          <w:sz w:val="22"/>
          <w:szCs w:val="22"/>
        </w:rPr>
        <w:t>.</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PNNL-15870, Pacific Northwest National Laboratory, Richland, WA.</w:t>
      </w:r>
      <w:proofErr w:type="gramEnd"/>
    </w:p>
    <w:p w:rsidR="00CD3F77" w:rsidRPr="00DA647C" w:rsidRDefault="00CD3F77" w:rsidP="00CD3F77">
      <w:pPr>
        <w:rPr>
          <w:sz w:val="22"/>
          <w:szCs w:val="22"/>
        </w:rPr>
      </w:pPr>
    </w:p>
    <w:p w:rsidR="00CD3F77" w:rsidRDefault="00CD3F77" w:rsidP="00CD3F77">
      <w:pPr>
        <w:sectPr w:rsidR="00CD3F77">
          <w:endnotePr>
            <w:numFmt w:val="decimal"/>
          </w:endnotePr>
          <w:pgSz w:w="12240" w:h="15840" w:code="1"/>
          <w:pgMar w:top="1440" w:right="1440" w:bottom="1440" w:left="1440" w:header="720" w:footer="720" w:gutter="0"/>
          <w:cols w:space="720"/>
        </w:sectPr>
      </w:pPr>
    </w:p>
    <w:p w:rsidR="00CD3F77" w:rsidRDefault="00CD3F77" w:rsidP="00CD3F77">
      <w:pPr>
        <w:pStyle w:val="APPENDIX"/>
        <w:numPr>
          <w:ilvl w:val="0"/>
          <w:numId w:val="0"/>
        </w:numPr>
        <w:spacing w:after="0"/>
        <w:ind w:left="360"/>
      </w:pPr>
    </w:p>
    <w:p w:rsidR="00CD3F77" w:rsidRPr="00C43C56" w:rsidRDefault="00CD3F77" w:rsidP="00CD3F77">
      <w:pPr>
        <w:pStyle w:val="APPENDIX"/>
        <w:spacing w:after="240"/>
        <w:ind w:left="0" w:firstLine="0"/>
      </w:pPr>
      <w:bookmarkStart w:id="96" w:name="_Toc345688268"/>
      <w:r>
        <w:br/>
      </w:r>
      <w:bookmarkStart w:id="97" w:name="_Toc355177448"/>
      <w:bookmarkEnd w:id="97"/>
    </w:p>
    <w:p w:rsidR="00CD3F77" w:rsidRDefault="00CD3F77" w:rsidP="00CD3F77">
      <w:pPr>
        <w:pStyle w:val="APPENDIX"/>
        <w:numPr>
          <w:ilvl w:val="0"/>
          <w:numId w:val="0"/>
        </w:numPr>
        <w:rPr>
          <w:caps w:val="0"/>
        </w:rPr>
      </w:pPr>
      <w:bookmarkStart w:id="98" w:name="_Toc355177449"/>
      <w:r>
        <w:rPr>
          <w:caps w:val="0"/>
        </w:rPr>
        <w:t>IDENTITY</w:t>
      </w:r>
      <w:r w:rsidRPr="00BC10D0">
        <w:rPr>
          <w:caps w:val="0"/>
        </w:rPr>
        <w:t xml:space="preserve"> OF ISOMERS IN ICRP PUBLICATION 38</w:t>
      </w:r>
      <w:bookmarkEnd w:id="96"/>
      <w:bookmarkEnd w:id="98"/>
    </w:p>
    <w:p w:rsidR="00CD3F77" w:rsidRDefault="00CD3F77" w:rsidP="00CD3F77">
      <w:pPr>
        <w:pStyle w:val="BodyTextFirstIndent"/>
      </w:pPr>
    </w:p>
    <w:p w:rsidR="00CD3F77" w:rsidRPr="001B7671" w:rsidRDefault="00CD3F77" w:rsidP="00CD3F77">
      <w:pPr>
        <w:pStyle w:val="BodyTextFirstIndent"/>
        <w:sectPr w:rsidR="00CD3F77" w:rsidRPr="001B7671">
          <w:footerReference w:type="default" r:id="rId43"/>
          <w:endnotePr>
            <w:numFmt w:val="decimal"/>
          </w:endnotePr>
          <w:pgSz w:w="12240" w:h="15840" w:code="1"/>
          <w:pgMar w:top="1440" w:right="1440" w:bottom="1440" w:left="1440" w:header="720" w:footer="720" w:gutter="0"/>
          <w:pgNumType w:start="1" w:chapStyle="7"/>
          <w:cols w:space="720"/>
          <w:vAlign w:val="center"/>
          <w:noEndnote/>
        </w:sectPr>
      </w:pPr>
    </w:p>
    <w:p w:rsidR="00CD3F77" w:rsidRDefault="00CD3F77" w:rsidP="00CD3F77">
      <w:pPr>
        <w:jc w:val="both"/>
        <w:rPr>
          <w:sz w:val="22"/>
          <w:szCs w:val="22"/>
        </w:rPr>
      </w:pPr>
      <w:r w:rsidRPr="00DA647C">
        <w:rPr>
          <w:sz w:val="22"/>
          <w:szCs w:val="22"/>
        </w:rPr>
        <w:lastRenderedPageBreak/>
        <w:t xml:space="preserve">The nuclear decay data used in the calculations of the dose coefficients of ICRP Publications 30, 68 and 72 (ICRP 1979, 1994, 1995) were from ICRP Publication 38 (ICRP 1983). The physical data available during the preparation of Publication 38 was insufficient to identify the ground and excited state of a few radionuclides. These radionuclides and their isomers were identified by their half-life and assigned an </w:t>
      </w:r>
      <w:r w:rsidRPr="00DA647C">
        <w:rPr>
          <w:i/>
          <w:sz w:val="22"/>
          <w:szCs w:val="22"/>
        </w:rPr>
        <w:t>ad hoc</w:t>
      </w:r>
      <w:r w:rsidRPr="00DA647C">
        <w:rPr>
          <w:sz w:val="22"/>
          <w:szCs w:val="22"/>
        </w:rPr>
        <w:t xml:space="preserve"> designation, for database purposed, in the ICRP Database of Dose Coefficients: Workers and Members of the Public (ICRP 2002) based on their relative physical half-life. In ICRP Publication 107 (ICRP 2008) the ground and excited states of these isomers have been identified</w:t>
      </w:r>
      <w:r>
        <w:rPr>
          <w:sz w:val="22"/>
          <w:szCs w:val="22"/>
        </w:rPr>
        <w:t xml:space="preserve"> below and that notation is</w:t>
      </w:r>
      <w:r w:rsidRPr="00DA647C">
        <w:rPr>
          <w:sz w:val="22"/>
          <w:szCs w:val="22"/>
        </w:rPr>
        <w:t xml:space="preserve"> used in the tabulations of the </w:t>
      </w:r>
      <w:r>
        <w:rPr>
          <w:sz w:val="22"/>
          <w:szCs w:val="22"/>
        </w:rPr>
        <w:t>Radiological Toolbox</w:t>
      </w:r>
      <w:r w:rsidRPr="00DA647C">
        <w:rPr>
          <w:sz w:val="22"/>
          <w:szCs w:val="22"/>
        </w:rPr>
        <w:t>.</w:t>
      </w:r>
    </w:p>
    <w:p w:rsidR="00CD3F77" w:rsidRPr="00533464" w:rsidRDefault="00CD3F77" w:rsidP="00CD3F77">
      <w:pPr>
        <w:pStyle w:val="noindent"/>
      </w:pPr>
    </w:p>
    <w:p w:rsidR="00CD3F77" w:rsidRDefault="00CD3F77" w:rsidP="00CD3F77">
      <w:pPr>
        <w:pStyle w:val="Caption"/>
        <w:spacing w:before="0" w:after="120"/>
        <w:rPr>
          <w:i/>
          <w:iCs/>
        </w:rPr>
      </w:pPr>
      <w:bookmarkStart w:id="99" w:name="_Toc346029049"/>
      <w:bookmarkStart w:id="100" w:name="_Toc346103455"/>
      <w:r>
        <w:t>Table A.</w:t>
      </w:r>
      <w:r w:rsidR="00A218AF">
        <w:fldChar w:fldCharType="begin"/>
      </w:r>
      <w:r w:rsidR="00A218AF">
        <w:instrText xml:space="preserve"> SEQ Table_A. \* ARABIC </w:instrText>
      </w:r>
      <w:r w:rsidR="00A218AF">
        <w:fldChar w:fldCharType="separate"/>
      </w:r>
      <w:r w:rsidR="00A218AF">
        <w:rPr>
          <w:noProof/>
        </w:rPr>
        <w:t>1</w:t>
      </w:r>
      <w:r w:rsidR="00A218AF">
        <w:rPr>
          <w:noProof/>
        </w:rPr>
        <w:fldChar w:fldCharType="end"/>
      </w:r>
      <w:r>
        <w:t xml:space="preserve">. </w:t>
      </w:r>
      <w:r w:rsidRPr="000034C7">
        <w:t>Identification of Isomers in Publication 38</w:t>
      </w:r>
      <w:bookmarkEnd w:id="99"/>
      <w:bookmarkEnd w:id="100"/>
    </w:p>
    <w:tbl>
      <w:tblPr>
        <w:tblW w:w="0" w:type="auto"/>
        <w:jc w:val="center"/>
        <w:tblBorders>
          <w:top w:val="single" w:sz="4" w:space="0" w:color="000000"/>
          <w:bottom w:val="single" w:sz="4" w:space="0" w:color="000000"/>
          <w:insideV w:val="single" w:sz="4" w:space="0" w:color="000000"/>
        </w:tblBorders>
        <w:tblLook w:val="04A0" w:firstRow="1" w:lastRow="0" w:firstColumn="1" w:lastColumn="0" w:noHBand="0" w:noVBand="1"/>
      </w:tblPr>
      <w:tblGrid>
        <w:gridCol w:w="1530"/>
        <w:gridCol w:w="1130"/>
        <w:gridCol w:w="850"/>
        <w:gridCol w:w="1890"/>
      </w:tblGrid>
      <w:tr w:rsidR="00CD3F77" w:rsidTr="00CD3F77">
        <w:trPr>
          <w:jc w:val="center"/>
        </w:trPr>
        <w:tc>
          <w:tcPr>
            <w:tcW w:w="2660" w:type="dxa"/>
            <w:gridSpan w:val="2"/>
            <w:tcBorders>
              <w:top w:val="single" w:sz="4" w:space="0" w:color="000000"/>
              <w:bottom w:val="nil"/>
              <w:right w:val="nil"/>
            </w:tcBorders>
          </w:tcPr>
          <w:p w:rsidR="00CD3F77" w:rsidRPr="009248E7" w:rsidRDefault="00CD3F77" w:rsidP="00CD3F77">
            <w:pPr>
              <w:tabs>
                <w:tab w:val="center" w:pos="4153"/>
                <w:tab w:val="right" w:pos="8306"/>
              </w:tabs>
              <w:jc w:val="center"/>
              <w:rPr>
                <w:b/>
                <w:sz w:val="22"/>
                <w:szCs w:val="22"/>
              </w:rPr>
            </w:pPr>
            <w:r w:rsidRPr="009248E7">
              <w:rPr>
                <w:b/>
                <w:sz w:val="22"/>
                <w:szCs w:val="22"/>
              </w:rPr>
              <w:t>Publication 38</w:t>
            </w:r>
          </w:p>
        </w:tc>
        <w:tc>
          <w:tcPr>
            <w:tcW w:w="850" w:type="dxa"/>
            <w:tcBorders>
              <w:top w:val="single" w:sz="4" w:space="0" w:color="000000"/>
              <w:left w:val="nil"/>
              <w:bottom w:val="nil"/>
              <w:right w:val="nil"/>
            </w:tcBorders>
          </w:tcPr>
          <w:p w:rsidR="00CD3F77" w:rsidRPr="009248E7" w:rsidRDefault="00CD3F77" w:rsidP="00CD3F77">
            <w:pPr>
              <w:tabs>
                <w:tab w:val="center" w:pos="4153"/>
                <w:tab w:val="right" w:pos="8306"/>
              </w:tabs>
              <w:rPr>
                <w:b/>
                <w:sz w:val="22"/>
                <w:szCs w:val="22"/>
              </w:rPr>
            </w:pPr>
          </w:p>
        </w:tc>
        <w:tc>
          <w:tcPr>
            <w:tcW w:w="1890" w:type="dxa"/>
            <w:tcBorders>
              <w:top w:val="single" w:sz="4" w:space="0" w:color="000000"/>
              <w:left w:val="nil"/>
              <w:bottom w:val="nil"/>
            </w:tcBorders>
          </w:tcPr>
          <w:p w:rsidR="00CD3F77" w:rsidRPr="009248E7" w:rsidRDefault="00CD3F77" w:rsidP="00CD3F77">
            <w:pPr>
              <w:tabs>
                <w:tab w:val="center" w:pos="4153"/>
                <w:tab w:val="right" w:pos="8306"/>
              </w:tabs>
              <w:rPr>
                <w:b/>
                <w:sz w:val="22"/>
                <w:szCs w:val="22"/>
              </w:rPr>
            </w:pPr>
            <w:r w:rsidRPr="009248E7">
              <w:rPr>
                <w:b/>
                <w:sz w:val="22"/>
                <w:szCs w:val="22"/>
              </w:rPr>
              <w:t>Publication 107</w:t>
            </w:r>
          </w:p>
        </w:tc>
      </w:tr>
      <w:tr w:rsidR="00CD3F77" w:rsidTr="00CD3F77">
        <w:trPr>
          <w:jc w:val="center"/>
        </w:trPr>
        <w:tc>
          <w:tcPr>
            <w:tcW w:w="1530" w:type="dxa"/>
            <w:tcBorders>
              <w:top w:val="single" w:sz="4" w:space="0" w:color="000000"/>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Nuclide</w:t>
            </w:r>
            <w:r>
              <w:rPr>
                <w:i/>
                <w:sz w:val="22"/>
                <w:szCs w:val="22"/>
                <w:vertAlign w:val="superscript"/>
              </w:rPr>
              <w:t>*</w:t>
            </w:r>
          </w:p>
        </w:tc>
        <w:tc>
          <w:tcPr>
            <w:tcW w:w="1130" w:type="dxa"/>
            <w:tcBorders>
              <w:top w:val="single" w:sz="4" w:space="0" w:color="000000"/>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T</w:t>
            </w:r>
            <w:r w:rsidRPr="00211270">
              <w:rPr>
                <w:sz w:val="22"/>
                <w:szCs w:val="22"/>
                <w:vertAlign w:val="subscript"/>
              </w:rPr>
              <w:t>1/2</w:t>
            </w:r>
          </w:p>
        </w:tc>
        <w:tc>
          <w:tcPr>
            <w:tcW w:w="850" w:type="dxa"/>
            <w:tcBorders>
              <w:top w:val="single" w:sz="4" w:space="0" w:color="000000"/>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single" w:sz="4" w:space="0" w:color="000000"/>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Nuclide</w:t>
            </w:r>
          </w:p>
        </w:tc>
      </w:tr>
      <w:tr w:rsidR="00CD3F77" w:rsidTr="00CD3F77">
        <w:trPr>
          <w:jc w:val="center"/>
        </w:trPr>
        <w:tc>
          <w:tcPr>
            <w:tcW w:w="1530" w:type="dxa"/>
            <w:tcBorders>
              <w:top w:val="single" w:sz="4" w:space="0" w:color="000000"/>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Nb-89s</w:t>
            </w:r>
          </w:p>
        </w:tc>
        <w:tc>
          <w:tcPr>
            <w:tcW w:w="1130" w:type="dxa"/>
            <w:tcBorders>
              <w:top w:val="single" w:sz="4" w:space="0" w:color="000000"/>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66 m</w:t>
            </w:r>
          </w:p>
        </w:tc>
        <w:tc>
          <w:tcPr>
            <w:tcW w:w="850" w:type="dxa"/>
            <w:tcBorders>
              <w:top w:val="single" w:sz="4" w:space="0" w:color="000000"/>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single" w:sz="4" w:space="0" w:color="000000"/>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Nb-89m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Nb-89l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122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Nb-89</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Nb-98</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51.5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Nb-98m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Rh-102</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2.9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Rh-102m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Rh-102m</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207 d</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Rh-102</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In-110s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69.1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In-110m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In-110l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4.9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In-110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15.98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5.76 d</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Sb-124ml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20.2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Sb-124n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Sb-128s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10.4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Sb-128m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Sb-128l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9.01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Sb-128</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Eu-150s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12.62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Eu-150m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Eu-150l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34.2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Eu-150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Tb-156ms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5.0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Tb-156n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Tb-156ml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24,4h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Tb-156m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Ta-178s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9.31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Ta-178</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Ta-178l</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Ta-178m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Ta-180m</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8.1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Ta-180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Ta-180</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1.0E13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Ta-180m</w:t>
            </w:r>
            <w:r w:rsidRPr="00C64F28">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Re-182s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12.7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Re-186m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Re-182l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64.0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Re-186</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Ir-186s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1.75</w:t>
            </w:r>
            <w:r>
              <w:rPr>
                <w:sz w:val="22"/>
                <w:szCs w:val="22"/>
              </w:rPr>
              <w:t xml:space="preserve"> </w:t>
            </w:r>
            <w:r w:rsidRPr="00211270">
              <w:rPr>
                <w:sz w:val="22"/>
                <w:szCs w:val="22"/>
              </w:rPr>
              <w:t>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Ir-186m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Ir-186l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15.8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Ir-186</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Ir-190ms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1.2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Ir-190m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Ir-190ml</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3.1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Ir-190n</w:t>
            </w:r>
            <w:r>
              <w:rPr>
                <w:sz w:val="22"/>
                <w:szCs w:val="22"/>
                <w:vertAlign w:val="superscript"/>
              </w:rPr>
              <w:t>†</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Ir-192m</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241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Ir-192n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Np-236s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22.5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Np-236m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Np-236l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115E3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Np-236</w:t>
            </w:r>
          </w:p>
        </w:tc>
      </w:tr>
      <w:tr w:rsidR="00CD3F77" w:rsidTr="00CD3F77">
        <w:trPr>
          <w:jc w:val="center"/>
        </w:trPr>
        <w:tc>
          <w:tcPr>
            <w:tcW w:w="1530" w:type="dxa"/>
            <w:tcBorders>
              <w:top w:val="nil"/>
              <w:bottom w:val="single" w:sz="4" w:space="0" w:color="000000"/>
              <w:right w:val="nil"/>
            </w:tcBorders>
          </w:tcPr>
          <w:p w:rsidR="00CD3F77" w:rsidRPr="00211270" w:rsidRDefault="00CD3F77" w:rsidP="00CD3F77">
            <w:pPr>
              <w:tabs>
                <w:tab w:val="center" w:pos="4153"/>
                <w:tab w:val="right" w:pos="8306"/>
              </w:tabs>
              <w:rPr>
                <w:sz w:val="22"/>
                <w:szCs w:val="22"/>
              </w:rPr>
            </w:pPr>
            <w:r>
              <w:rPr>
                <w:sz w:val="22"/>
                <w:szCs w:val="22"/>
              </w:rPr>
              <w:t>Es-250</w:t>
            </w:r>
          </w:p>
        </w:tc>
        <w:tc>
          <w:tcPr>
            <w:tcW w:w="1130" w:type="dxa"/>
            <w:tcBorders>
              <w:top w:val="nil"/>
              <w:left w:val="nil"/>
              <w:bottom w:val="single" w:sz="4" w:space="0" w:color="000000"/>
              <w:right w:val="nil"/>
            </w:tcBorders>
          </w:tcPr>
          <w:p w:rsidR="00CD3F77" w:rsidRPr="00211270" w:rsidRDefault="00CD3F77" w:rsidP="00CD3F77">
            <w:pPr>
              <w:tabs>
                <w:tab w:val="center" w:pos="4153"/>
                <w:tab w:val="right" w:pos="8306"/>
              </w:tabs>
              <w:jc w:val="center"/>
              <w:rPr>
                <w:sz w:val="22"/>
                <w:szCs w:val="22"/>
              </w:rPr>
            </w:pPr>
            <w:r>
              <w:rPr>
                <w:sz w:val="22"/>
                <w:szCs w:val="22"/>
              </w:rPr>
              <w:t>2.1 h</w:t>
            </w:r>
          </w:p>
        </w:tc>
        <w:tc>
          <w:tcPr>
            <w:tcW w:w="850" w:type="dxa"/>
            <w:tcBorders>
              <w:top w:val="nil"/>
              <w:left w:val="nil"/>
              <w:bottom w:val="single" w:sz="4" w:space="0" w:color="000000"/>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single" w:sz="4" w:space="0" w:color="000000"/>
            </w:tcBorders>
          </w:tcPr>
          <w:p w:rsidR="00CD3F77" w:rsidRPr="00211270" w:rsidRDefault="00CD3F77" w:rsidP="00CD3F77">
            <w:pPr>
              <w:tabs>
                <w:tab w:val="center" w:pos="4153"/>
                <w:tab w:val="right" w:pos="8306"/>
              </w:tabs>
              <w:rPr>
                <w:sz w:val="22"/>
                <w:szCs w:val="22"/>
              </w:rPr>
            </w:pPr>
            <w:r>
              <w:rPr>
                <w:sz w:val="22"/>
                <w:szCs w:val="22"/>
              </w:rPr>
              <w:t>Es-250m</w:t>
            </w:r>
          </w:p>
        </w:tc>
      </w:tr>
      <w:tr w:rsidR="00CD3F77" w:rsidTr="00CD3F77">
        <w:trPr>
          <w:jc w:val="center"/>
        </w:trPr>
        <w:tc>
          <w:tcPr>
            <w:tcW w:w="5400" w:type="dxa"/>
            <w:gridSpan w:val="4"/>
            <w:tcBorders>
              <w:top w:val="single" w:sz="4" w:space="0" w:color="000000"/>
              <w:bottom w:val="single" w:sz="4" w:space="0" w:color="000000"/>
            </w:tcBorders>
          </w:tcPr>
          <w:p w:rsidR="00CD3F77" w:rsidRDefault="00CD3F77" w:rsidP="00CD3F77">
            <w:pPr>
              <w:tabs>
                <w:tab w:val="center" w:pos="4153"/>
                <w:tab w:val="right" w:pos="8306"/>
              </w:tabs>
              <w:jc w:val="both"/>
              <w:rPr>
                <w:sz w:val="20"/>
                <w:szCs w:val="20"/>
              </w:rPr>
            </w:pPr>
            <w:r>
              <w:rPr>
                <w:i/>
                <w:sz w:val="20"/>
                <w:szCs w:val="20"/>
                <w:vertAlign w:val="superscript"/>
              </w:rPr>
              <w:t>*</w:t>
            </w:r>
            <w:r w:rsidRPr="001B7671">
              <w:rPr>
                <w:sz w:val="20"/>
                <w:szCs w:val="20"/>
              </w:rPr>
              <w:t xml:space="preserve">Ad hoc notation </w:t>
            </w:r>
            <w:r>
              <w:rPr>
                <w:sz w:val="20"/>
                <w:szCs w:val="20"/>
              </w:rPr>
              <w:t>‘</w:t>
            </w:r>
            <w:r w:rsidRPr="001B7671">
              <w:rPr>
                <w:sz w:val="20"/>
                <w:szCs w:val="20"/>
              </w:rPr>
              <w:t>s</w:t>
            </w:r>
            <w:r>
              <w:rPr>
                <w:sz w:val="20"/>
                <w:szCs w:val="20"/>
              </w:rPr>
              <w:t>’</w:t>
            </w:r>
            <w:r w:rsidRPr="001B7671">
              <w:rPr>
                <w:sz w:val="20"/>
                <w:szCs w:val="20"/>
              </w:rPr>
              <w:t xml:space="preserve"> and </w:t>
            </w:r>
            <w:r>
              <w:rPr>
                <w:sz w:val="20"/>
                <w:szCs w:val="20"/>
              </w:rPr>
              <w:t>‘</w:t>
            </w:r>
            <w:r w:rsidRPr="001B7671">
              <w:rPr>
                <w:sz w:val="20"/>
                <w:szCs w:val="20"/>
              </w:rPr>
              <w:t>l</w:t>
            </w:r>
            <w:r>
              <w:rPr>
                <w:sz w:val="20"/>
                <w:szCs w:val="20"/>
              </w:rPr>
              <w:t>’</w:t>
            </w:r>
            <w:r w:rsidRPr="001B7671">
              <w:rPr>
                <w:sz w:val="20"/>
                <w:szCs w:val="20"/>
              </w:rPr>
              <w:t xml:space="preserve"> denotes short and long physical half-life</w:t>
            </w:r>
            <w:r>
              <w:rPr>
                <w:sz w:val="20"/>
                <w:szCs w:val="20"/>
              </w:rPr>
              <w:t xml:space="preserve"> as used in ICRP CD 1</w:t>
            </w:r>
            <w:r w:rsidRPr="001B7671">
              <w:rPr>
                <w:sz w:val="20"/>
                <w:szCs w:val="20"/>
              </w:rPr>
              <w:t>.</w:t>
            </w:r>
          </w:p>
          <w:p w:rsidR="00CD3F77" w:rsidRDefault="00CD3F77" w:rsidP="00CD3F77">
            <w:pPr>
              <w:tabs>
                <w:tab w:val="center" w:pos="4153"/>
                <w:tab w:val="right" w:pos="8306"/>
              </w:tabs>
              <w:rPr>
                <w:sz w:val="22"/>
                <w:szCs w:val="22"/>
              </w:rPr>
            </w:pPr>
            <w:r>
              <w:rPr>
                <w:sz w:val="22"/>
                <w:szCs w:val="22"/>
                <w:vertAlign w:val="superscript"/>
              </w:rPr>
              <w:t>†</w:t>
            </w:r>
            <w:r>
              <w:rPr>
                <w:sz w:val="22"/>
                <w:szCs w:val="22"/>
              </w:rPr>
              <w:t>Metastable state of higher energy than the first metastable state, and is hence denoted by ‘n’.</w:t>
            </w:r>
          </w:p>
          <w:p w:rsidR="00CD3F77" w:rsidRPr="00211270" w:rsidRDefault="00CD3F77" w:rsidP="00CD3F77">
            <w:pPr>
              <w:pStyle w:val="noindent"/>
              <w:rPr>
                <w:sz w:val="22"/>
                <w:szCs w:val="22"/>
              </w:rPr>
            </w:pPr>
            <w:r w:rsidRPr="00C64F28">
              <w:rPr>
                <w:sz w:val="22"/>
                <w:szCs w:val="22"/>
                <w:vertAlign w:val="superscript"/>
              </w:rPr>
              <w:t>‡</w:t>
            </w:r>
            <w:r>
              <w:rPr>
                <w:sz w:val="22"/>
                <w:szCs w:val="22"/>
              </w:rPr>
              <w:t xml:space="preserve">Half-life so long that the metastable state has never been observed to decay; Ta-180m is </w:t>
            </w:r>
            <w:r w:rsidRPr="00CF3A07">
              <w:rPr>
                <w:i/>
                <w:sz w:val="22"/>
                <w:szCs w:val="22"/>
              </w:rPr>
              <w:t>observationally stable</w:t>
            </w:r>
            <w:r>
              <w:rPr>
                <w:sz w:val="22"/>
                <w:szCs w:val="22"/>
              </w:rPr>
              <w:t>.</w:t>
            </w:r>
          </w:p>
        </w:tc>
      </w:tr>
    </w:tbl>
    <w:p w:rsidR="00CD3F77" w:rsidRDefault="00CD3F77"/>
    <w:sectPr w:rsidR="00CD3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7BE" w:rsidRDefault="004677BE" w:rsidP="00CD3F77">
      <w:r>
        <w:separator/>
      </w:r>
    </w:p>
  </w:endnote>
  <w:endnote w:type="continuationSeparator" w:id="0">
    <w:p w:rsidR="004677BE" w:rsidRDefault="004677BE" w:rsidP="00CD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otum">
    <w:altName w:val="돋움"/>
    <w:panose1 w:val="020B0600000101010101"/>
    <w:charset w:val="81"/>
    <w:family w:val="moder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Default="004677BE">
    <w:pPr>
      <w:pStyle w:val="Footer"/>
      <w:jc w:val="center"/>
    </w:pPr>
    <w:r>
      <w:fldChar w:fldCharType="begin"/>
    </w:r>
    <w:r>
      <w:instrText xml:space="preserve"> PAGE   \* MERGEFORMAT </w:instrText>
    </w:r>
    <w:r>
      <w:fldChar w:fldCharType="separate"/>
    </w:r>
    <w:r>
      <w:rPr>
        <w:noProof/>
      </w:rPr>
      <w:t>iii</w:t>
    </w:r>
    <w:r>
      <w:rPr>
        <w:noProof/>
      </w:rPr>
      <w:fldChar w:fldCharType="end"/>
    </w:r>
  </w:p>
  <w:p w:rsidR="004677BE" w:rsidRDefault="004677BE" w:rsidP="00CD3F7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7671" w:rsidRDefault="004677BE" w:rsidP="00CD3F77">
    <w:pPr>
      <w:pStyle w:val="Footer"/>
      <w:jc w:val="center"/>
      <w:rPr>
        <w:sz w:val="22"/>
        <w:szCs w:val="22"/>
      </w:rPr>
    </w:pPr>
    <w:r w:rsidRPr="001B7671">
      <w:rPr>
        <w:sz w:val="22"/>
        <w:szCs w:val="22"/>
      </w:rPr>
      <w:fldChar w:fldCharType="begin"/>
    </w:r>
    <w:r w:rsidRPr="001B7671">
      <w:rPr>
        <w:sz w:val="22"/>
        <w:szCs w:val="22"/>
      </w:rPr>
      <w:instrText xml:space="preserve"> PAGE   \* MERGEFORMAT </w:instrText>
    </w:r>
    <w:r w:rsidRPr="001B7671">
      <w:rPr>
        <w:sz w:val="22"/>
        <w:szCs w:val="22"/>
      </w:rPr>
      <w:fldChar w:fldCharType="separate"/>
    </w:r>
    <w:r w:rsidR="00A218AF">
      <w:rPr>
        <w:noProof/>
        <w:sz w:val="22"/>
        <w:szCs w:val="22"/>
      </w:rPr>
      <w:t>i</w:t>
    </w:r>
    <w:r w:rsidRPr="001B7671">
      <w:rPr>
        <w:noProof/>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7671" w:rsidRDefault="004677BE" w:rsidP="00CD3F77">
    <w:pPr>
      <w:pStyle w:val="Footer"/>
      <w:jc w:val="center"/>
      <w:rPr>
        <w:sz w:val="22"/>
        <w:szCs w:val="22"/>
      </w:rPr>
    </w:pPr>
    <w:r w:rsidRPr="001B7671">
      <w:rPr>
        <w:sz w:val="22"/>
        <w:szCs w:val="22"/>
      </w:rPr>
      <w:fldChar w:fldCharType="begin"/>
    </w:r>
    <w:r w:rsidRPr="001B7671">
      <w:rPr>
        <w:sz w:val="22"/>
        <w:szCs w:val="22"/>
      </w:rPr>
      <w:instrText xml:space="preserve"> PAGE   \* MERGEFORMAT </w:instrText>
    </w:r>
    <w:r w:rsidRPr="001B7671">
      <w:rPr>
        <w:sz w:val="22"/>
        <w:szCs w:val="22"/>
      </w:rPr>
      <w:fldChar w:fldCharType="separate"/>
    </w:r>
    <w:r w:rsidR="00A218AF">
      <w:rPr>
        <w:noProof/>
        <w:sz w:val="22"/>
        <w:szCs w:val="22"/>
      </w:rPr>
      <w:t>1</w:t>
    </w:r>
    <w:r w:rsidRPr="001B7671">
      <w:rPr>
        <w:noProof/>
        <w:sz w:val="22"/>
        <w:szCs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r w:rsidRPr="001B5F32">
      <w:rPr>
        <w:rStyle w:val="PageNumber"/>
        <w:sz w:val="22"/>
        <w:szCs w:val="22"/>
      </w:rPr>
      <w:fldChar w:fldCharType="begin"/>
    </w:r>
    <w:r w:rsidRPr="001B5F32">
      <w:rPr>
        <w:rStyle w:val="PageNumber"/>
        <w:sz w:val="22"/>
        <w:szCs w:val="22"/>
      </w:rPr>
      <w:instrText xml:space="preserve"> PAGE </w:instrText>
    </w:r>
    <w:r w:rsidRPr="001B5F32">
      <w:rPr>
        <w:rStyle w:val="PageNumber"/>
        <w:sz w:val="22"/>
        <w:szCs w:val="22"/>
      </w:rPr>
      <w:fldChar w:fldCharType="separate"/>
    </w:r>
    <w:r w:rsidR="00A218AF">
      <w:rPr>
        <w:rStyle w:val="PageNumber"/>
        <w:noProof/>
        <w:sz w:val="22"/>
        <w:szCs w:val="22"/>
      </w:rPr>
      <w:t>3</w:t>
    </w:r>
    <w:r w:rsidRPr="001B5F32">
      <w:rPr>
        <w:rStyle w:val="PageNumber"/>
        <w:sz w:val="22"/>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r w:rsidRPr="001B5F32">
      <w:rPr>
        <w:rStyle w:val="PageNumber"/>
        <w:sz w:val="22"/>
        <w:szCs w:val="22"/>
      </w:rPr>
      <w:fldChar w:fldCharType="begin"/>
    </w:r>
    <w:r w:rsidRPr="001B5F32">
      <w:rPr>
        <w:rStyle w:val="PageNumber"/>
        <w:sz w:val="22"/>
        <w:szCs w:val="22"/>
      </w:rPr>
      <w:instrText xml:space="preserve"> PAGE </w:instrText>
    </w:r>
    <w:r w:rsidRPr="001B5F32">
      <w:rPr>
        <w:rStyle w:val="PageNumber"/>
        <w:sz w:val="22"/>
        <w:szCs w:val="22"/>
      </w:rPr>
      <w:fldChar w:fldCharType="separate"/>
    </w:r>
    <w:r w:rsidR="00A218AF">
      <w:rPr>
        <w:rStyle w:val="PageNumber"/>
        <w:noProof/>
        <w:sz w:val="22"/>
        <w:szCs w:val="22"/>
      </w:rPr>
      <w:t>19</w:t>
    </w:r>
    <w:r w:rsidRPr="001B5F32">
      <w:rPr>
        <w:rStyle w:val="PageNumber"/>
        <w:sz w:val="22"/>
        <w:szCs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7BE" w:rsidRDefault="004677BE" w:rsidP="00CD3F77">
      <w:r>
        <w:separator/>
      </w:r>
    </w:p>
  </w:footnote>
  <w:footnote w:type="continuationSeparator" w:id="0">
    <w:p w:rsidR="004677BE" w:rsidRDefault="004677BE" w:rsidP="00CD3F77">
      <w:r>
        <w:continuationSeparator/>
      </w:r>
    </w:p>
  </w:footnote>
  <w:footnote w:id="1">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 xml:space="preserve">The installation file was created using </w:t>
      </w:r>
      <w:proofErr w:type="spellStart"/>
      <w:r w:rsidRPr="00DA647C">
        <w:rPr>
          <w:sz w:val="22"/>
          <w:szCs w:val="22"/>
        </w:rPr>
        <w:t>Inno</w:t>
      </w:r>
      <w:proofErr w:type="spellEnd"/>
      <w:r w:rsidRPr="00DA647C">
        <w:rPr>
          <w:sz w:val="22"/>
          <w:szCs w:val="22"/>
        </w:rPr>
        <w:t xml:space="preserve"> Setup compiler available from http://www.innosetup.com. </w:t>
      </w:r>
    </w:p>
  </w:footnote>
  <w:footnote w:id="2">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Adobe Acrobat Reader of Adobe Inc. is available from htt://www.pdf-2007.com/index.asp.</w:t>
      </w:r>
    </w:p>
  </w:footnote>
  <w:footnote w:id="3">
    <w:p w:rsidR="004677BE" w:rsidRDefault="004677BE" w:rsidP="00CD3F77">
      <w:pPr>
        <w:pStyle w:val="FootnoteText"/>
        <w:ind w:firstLine="288"/>
      </w:pPr>
      <w:r>
        <w:rPr>
          <w:rStyle w:val="FootnoteReference"/>
        </w:rPr>
        <w:footnoteRef/>
      </w:r>
      <w:hyperlink r:id="rId1" w:history="1">
        <w:r>
          <w:rPr>
            <w:rStyle w:val="Hyperlink"/>
          </w:rPr>
          <w:t>www.nrc.gov/about-nrc/regulatory/research/contact-us-rad-toolbox.html</w:t>
        </w:r>
      </w:hyperlink>
    </w:p>
  </w:footnote>
  <w:footnote w:id="4">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The numbers of nuclides differ between FGR 12 and ICRP Publications 30, 68, and 72 as the latter set of publications do not consider the intake of radionuclides of half-life less than 10 minutes.</w:t>
      </w:r>
    </w:p>
  </w:footnote>
  <w:footnote w:id="5">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 xml:space="preserve">The ICRP Database of Dose Coefficients: Workers and Members of the Public; Ver. 3.0 is now available as a free educational download; </w:t>
      </w:r>
      <w:hyperlink r:id="rId2" w:history="1">
        <w:r w:rsidRPr="00366815">
          <w:rPr>
            <w:rStyle w:val="Hyperlink"/>
            <w:sz w:val="22"/>
            <w:szCs w:val="22"/>
          </w:rPr>
          <w:t>http://www.icrp.org/page.asp?id=145</w:t>
        </w:r>
      </w:hyperlink>
      <w:r w:rsidRPr="00DA647C">
        <w:rPr>
          <w:sz w:val="22"/>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958AA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6E499D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16007E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C32DB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7C9D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BB0C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D9851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72EA9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D0B3E0"/>
    <w:lvl w:ilvl="0">
      <w:start w:val="1"/>
      <w:numFmt w:val="decimal"/>
      <w:pStyle w:val="ListNumber"/>
      <w:lvlText w:val="%1."/>
      <w:lvlJc w:val="left"/>
      <w:pPr>
        <w:tabs>
          <w:tab w:val="num" w:pos="360"/>
        </w:tabs>
        <w:ind w:left="360" w:hanging="360"/>
      </w:pPr>
    </w:lvl>
  </w:abstractNum>
  <w:abstractNum w:abstractNumId="9">
    <w:nsid w:val="FFFFFF89"/>
    <w:multiLevelType w:val="singleLevel"/>
    <w:tmpl w:val="93C6BD0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5577EC"/>
    <w:multiLevelType w:val="hybridMultilevel"/>
    <w:tmpl w:val="BB82FD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D40751"/>
    <w:multiLevelType w:val="hybridMultilevel"/>
    <w:tmpl w:val="998C22DC"/>
    <w:lvl w:ilvl="0" w:tplc="33D01D70">
      <w:start w:val="1"/>
      <w:numFmt w:val="bullet"/>
      <w:lvlText w:val=""/>
      <w:lvlJc w:val="left"/>
      <w:pPr>
        <w:tabs>
          <w:tab w:val="num" w:pos="720"/>
        </w:tabs>
        <w:ind w:left="720" w:hanging="360"/>
      </w:pPr>
      <w:rPr>
        <w:rFonts w:ascii="Symbol" w:hAnsi="Symbol" w:hint="default"/>
      </w:rPr>
    </w:lvl>
    <w:lvl w:ilvl="1" w:tplc="B8121172">
      <w:start w:val="1"/>
      <w:numFmt w:val="bullet"/>
      <w:lvlText w:val="o"/>
      <w:lvlJc w:val="left"/>
      <w:pPr>
        <w:tabs>
          <w:tab w:val="num" w:pos="1530"/>
        </w:tabs>
        <w:ind w:left="1530" w:hanging="360"/>
      </w:pPr>
      <w:rPr>
        <w:rFonts w:ascii="Courier New" w:hAnsi="Courier New" w:cs="Courier New" w:hint="default"/>
      </w:rPr>
    </w:lvl>
    <w:lvl w:ilvl="2" w:tplc="BD18E902">
      <w:start w:val="1"/>
      <w:numFmt w:val="bullet"/>
      <w:lvlText w:val=""/>
      <w:lvlJc w:val="left"/>
      <w:pPr>
        <w:tabs>
          <w:tab w:val="num" w:pos="2160"/>
        </w:tabs>
        <w:ind w:left="2160" w:hanging="360"/>
      </w:pPr>
      <w:rPr>
        <w:rFonts w:ascii="Wingdings" w:hAnsi="Wingdings" w:hint="default"/>
      </w:rPr>
    </w:lvl>
    <w:lvl w:ilvl="3" w:tplc="B05A11C4" w:tentative="1">
      <w:start w:val="1"/>
      <w:numFmt w:val="bullet"/>
      <w:lvlText w:val=""/>
      <w:lvlJc w:val="left"/>
      <w:pPr>
        <w:tabs>
          <w:tab w:val="num" w:pos="2880"/>
        </w:tabs>
        <w:ind w:left="2880" w:hanging="360"/>
      </w:pPr>
      <w:rPr>
        <w:rFonts w:ascii="Symbol" w:hAnsi="Symbol" w:hint="default"/>
      </w:rPr>
    </w:lvl>
    <w:lvl w:ilvl="4" w:tplc="F03A7A4E" w:tentative="1">
      <w:start w:val="1"/>
      <w:numFmt w:val="bullet"/>
      <w:lvlText w:val="o"/>
      <w:lvlJc w:val="left"/>
      <w:pPr>
        <w:tabs>
          <w:tab w:val="num" w:pos="3600"/>
        </w:tabs>
        <w:ind w:left="3600" w:hanging="360"/>
      </w:pPr>
      <w:rPr>
        <w:rFonts w:ascii="Courier New" w:hAnsi="Courier New" w:cs="Courier New" w:hint="default"/>
      </w:rPr>
    </w:lvl>
    <w:lvl w:ilvl="5" w:tplc="A08E19B0" w:tentative="1">
      <w:start w:val="1"/>
      <w:numFmt w:val="bullet"/>
      <w:lvlText w:val=""/>
      <w:lvlJc w:val="left"/>
      <w:pPr>
        <w:tabs>
          <w:tab w:val="num" w:pos="4320"/>
        </w:tabs>
        <w:ind w:left="4320" w:hanging="360"/>
      </w:pPr>
      <w:rPr>
        <w:rFonts w:ascii="Wingdings" w:hAnsi="Wingdings" w:hint="default"/>
      </w:rPr>
    </w:lvl>
    <w:lvl w:ilvl="6" w:tplc="D026E3B6" w:tentative="1">
      <w:start w:val="1"/>
      <w:numFmt w:val="bullet"/>
      <w:lvlText w:val=""/>
      <w:lvlJc w:val="left"/>
      <w:pPr>
        <w:tabs>
          <w:tab w:val="num" w:pos="5040"/>
        </w:tabs>
        <w:ind w:left="5040" w:hanging="360"/>
      </w:pPr>
      <w:rPr>
        <w:rFonts w:ascii="Symbol" w:hAnsi="Symbol" w:hint="default"/>
      </w:rPr>
    </w:lvl>
    <w:lvl w:ilvl="7" w:tplc="6338B4A6" w:tentative="1">
      <w:start w:val="1"/>
      <w:numFmt w:val="bullet"/>
      <w:lvlText w:val="o"/>
      <w:lvlJc w:val="left"/>
      <w:pPr>
        <w:tabs>
          <w:tab w:val="num" w:pos="5760"/>
        </w:tabs>
        <w:ind w:left="5760" w:hanging="360"/>
      </w:pPr>
      <w:rPr>
        <w:rFonts w:ascii="Courier New" w:hAnsi="Courier New" w:cs="Courier New" w:hint="default"/>
      </w:rPr>
    </w:lvl>
    <w:lvl w:ilvl="8" w:tplc="E9D08E94" w:tentative="1">
      <w:start w:val="1"/>
      <w:numFmt w:val="bullet"/>
      <w:lvlText w:val=""/>
      <w:lvlJc w:val="left"/>
      <w:pPr>
        <w:tabs>
          <w:tab w:val="num" w:pos="6480"/>
        </w:tabs>
        <w:ind w:left="6480" w:hanging="360"/>
      </w:pPr>
      <w:rPr>
        <w:rFonts w:ascii="Wingdings" w:hAnsi="Wingdings" w:hint="default"/>
      </w:rPr>
    </w:lvl>
  </w:abstractNum>
  <w:abstractNum w:abstractNumId="12">
    <w:nsid w:val="294F09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8731E7"/>
    <w:multiLevelType w:val="hybridMultilevel"/>
    <w:tmpl w:val="46BE7DDC"/>
    <w:lvl w:ilvl="0" w:tplc="02362886">
      <w:start w:val="1"/>
      <w:numFmt w:val="upperLetter"/>
      <w:pStyle w:val="APPENDIX"/>
      <w:suff w:val="nothing"/>
      <w:lvlText w:val="APPENDIX %1"/>
      <w:lvlJc w:val="left"/>
      <w:pPr>
        <w:ind w:left="72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C172E16A" w:tentative="1">
      <w:start w:val="1"/>
      <w:numFmt w:val="lowerLetter"/>
      <w:lvlText w:val="%2."/>
      <w:lvlJc w:val="left"/>
      <w:pPr>
        <w:tabs>
          <w:tab w:val="num" w:pos="1440"/>
        </w:tabs>
        <w:ind w:left="1440" w:hanging="360"/>
      </w:pPr>
    </w:lvl>
    <w:lvl w:ilvl="2" w:tplc="580AF2DE" w:tentative="1">
      <w:start w:val="1"/>
      <w:numFmt w:val="lowerRoman"/>
      <w:lvlText w:val="%3."/>
      <w:lvlJc w:val="right"/>
      <w:pPr>
        <w:tabs>
          <w:tab w:val="num" w:pos="2160"/>
        </w:tabs>
        <w:ind w:left="2160" w:hanging="180"/>
      </w:pPr>
    </w:lvl>
    <w:lvl w:ilvl="3" w:tplc="C024DF76" w:tentative="1">
      <w:start w:val="1"/>
      <w:numFmt w:val="decimal"/>
      <w:lvlText w:val="%4."/>
      <w:lvlJc w:val="left"/>
      <w:pPr>
        <w:tabs>
          <w:tab w:val="num" w:pos="2880"/>
        </w:tabs>
        <w:ind w:left="2880" w:hanging="360"/>
      </w:pPr>
    </w:lvl>
    <w:lvl w:ilvl="4" w:tplc="3A02F200" w:tentative="1">
      <w:start w:val="1"/>
      <w:numFmt w:val="lowerLetter"/>
      <w:lvlText w:val="%5."/>
      <w:lvlJc w:val="left"/>
      <w:pPr>
        <w:tabs>
          <w:tab w:val="num" w:pos="3600"/>
        </w:tabs>
        <w:ind w:left="3600" w:hanging="360"/>
      </w:pPr>
    </w:lvl>
    <w:lvl w:ilvl="5" w:tplc="9088501C" w:tentative="1">
      <w:start w:val="1"/>
      <w:numFmt w:val="lowerRoman"/>
      <w:lvlText w:val="%6."/>
      <w:lvlJc w:val="right"/>
      <w:pPr>
        <w:tabs>
          <w:tab w:val="num" w:pos="4320"/>
        </w:tabs>
        <w:ind w:left="4320" w:hanging="180"/>
      </w:pPr>
    </w:lvl>
    <w:lvl w:ilvl="6" w:tplc="A5485114" w:tentative="1">
      <w:start w:val="1"/>
      <w:numFmt w:val="decimal"/>
      <w:lvlText w:val="%7."/>
      <w:lvlJc w:val="left"/>
      <w:pPr>
        <w:tabs>
          <w:tab w:val="num" w:pos="5040"/>
        </w:tabs>
        <w:ind w:left="5040" w:hanging="360"/>
      </w:pPr>
    </w:lvl>
    <w:lvl w:ilvl="7" w:tplc="D22EAE0C" w:tentative="1">
      <w:start w:val="1"/>
      <w:numFmt w:val="lowerLetter"/>
      <w:lvlText w:val="%8."/>
      <w:lvlJc w:val="left"/>
      <w:pPr>
        <w:tabs>
          <w:tab w:val="num" w:pos="5760"/>
        </w:tabs>
        <w:ind w:left="5760" w:hanging="360"/>
      </w:pPr>
    </w:lvl>
    <w:lvl w:ilvl="8" w:tplc="98465CDE" w:tentative="1">
      <w:start w:val="1"/>
      <w:numFmt w:val="lowerRoman"/>
      <w:lvlText w:val="%9."/>
      <w:lvlJc w:val="right"/>
      <w:pPr>
        <w:tabs>
          <w:tab w:val="num" w:pos="6480"/>
        </w:tabs>
        <w:ind w:left="6480" w:hanging="180"/>
      </w:pPr>
    </w:lvl>
  </w:abstractNum>
  <w:abstractNum w:abstractNumId="14">
    <w:nsid w:val="406D5F6A"/>
    <w:multiLevelType w:val="hybridMultilevel"/>
    <w:tmpl w:val="76D0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929C5"/>
    <w:multiLevelType w:val="hybridMultilevel"/>
    <w:tmpl w:val="360C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6E24E2"/>
    <w:multiLevelType w:val="hybridMultilevel"/>
    <w:tmpl w:val="3DA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23A05"/>
    <w:multiLevelType w:val="hybridMultilevel"/>
    <w:tmpl w:val="1EC6E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A5822"/>
    <w:multiLevelType w:val="multilevel"/>
    <w:tmpl w:val="9F46F02E"/>
    <w:lvl w:ilvl="0">
      <w:start w:val="1"/>
      <w:numFmt w:val="decimal"/>
      <w:lvlText w:val="%1"/>
      <w:lvlJc w:val="left"/>
      <w:pPr>
        <w:tabs>
          <w:tab w:val="num" w:pos="1512"/>
        </w:tabs>
        <w:ind w:left="1512" w:hanging="432"/>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972"/>
        </w:tabs>
        <w:ind w:left="972" w:hanging="432"/>
      </w:pPr>
      <w:rPr>
        <w:rFonts w:hint="default"/>
      </w:rPr>
    </w:lvl>
    <w:lvl w:ilvl="3">
      <w:start w:val="1"/>
      <w:numFmt w:val="decimal"/>
      <w:lvlText w:val="%1.%2.%3.%4"/>
      <w:lvlJc w:val="left"/>
      <w:pPr>
        <w:tabs>
          <w:tab w:val="num" w:pos="1944"/>
        </w:tabs>
        <w:ind w:left="1944" w:hanging="864"/>
      </w:pPr>
      <w:rPr>
        <w:rFonts w:hint="default"/>
      </w:rPr>
    </w:lvl>
    <w:lvl w:ilvl="4">
      <w:start w:val="1"/>
      <w:numFmt w:val="decimal"/>
      <w:pStyle w:val="Heading5"/>
      <w:lvlText w:val="%1.%2.%3.%4.%5"/>
      <w:lvlJc w:val="left"/>
      <w:pPr>
        <w:tabs>
          <w:tab w:val="num" w:pos="2088"/>
        </w:tabs>
        <w:ind w:left="2088" w:hanging="1008"/>
      </w:pPr>
      <w:rPr>
        <w:rFonts w:hint="default"/>
      </w:rPr>
    </w:lvl>
    <w:lvl w:ilvl="5">
      <w:start w:val="1"/>
      <w:numFmt w:val="decimal"/>
      <w:pStyle w:val="Heading6"/>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pStyle w:val="Heading8"/>
      <w:lvlText w:val="%1.%2.%3.%4.%5.%6.%7.%8"/>
      <w:lvlJc w:val="left"/>
      <w:pPr>
        <w:tabs>
          <w:tab w:val="num" w:pos="2520"/>
        </w:tabs>
        <w:ind w:left="2520" w:hanging="1440"/>
      </w:pPr>
      <w:rPr>
        <w:rFonts w:hint="default"/>
      </w:rPr>
    </w:lvl>
    <w:lvl w:ilvl="8">
      <w:start w:val="1"/>
      <w:numFmt w:val="decimal"/>
      <w:pStyle w:val="Heading9"/>
      <w:lvlText w:val="%1.%2.%3.%4.%5.%6.%7.%8.%9"/>
      <w:lvlJc w:val="left"/>
      <w:pPr>
        <w:tabs>
          <w:tab w:val="num" w:pos="2664"/>
        </w:tabs>
        <w:ind w:left="2664" w:hanging="1584"/>
      </w:pPr>
      <w:rPr>
        <w:rFonts w:hint="default"/>
      </w:rPr>
    </w:lvl>
  </w:abstractNum>
  <w:abstractNum w:abstractNumId="19">
    <w:nsid w:val="69483724"/>
    <w:multiLevelType w:val="hybridMultilevel"/>
    <w:tmpl w:val="BD004DD0"/>
    <w:lvl w:ilvl="0" w:tplc="FFFFFFFF">
      <w:start w:val="1"/>
      <w:numFmt w:val="decimal"/>
      <w:pStyle w:val="Annalstext"/>
      <w:lvlText w:val="(%1)"/>
      <w:lvlJc w:val="left"/>
      <w:pPr>
        <w:tabs>
          <w:tab w:val="num" w:pos="644"/>
        </w:tabs>
        <w:ind w:left="0" w:firstLine="284"/>
      </w:pPr>
      <w:rPr>
        <w:rFonts w:ascii="Times New Roman" w:hAnsi="Times New Roman" w:hint="default"/>
        <w:b w:val="0"/>
        <w:i w:val="0"/>
        <w:caps w:val="0"/>
        <w:strike w:val="0"/>
        <w:dstrike w:val="0"/>
        <w:vanish w:val="0"/>
        <w:color w:val="auto"/>
        <w:sz w:val="24"/>
        <w:vertAlign w:val="baseline"/>
      </w:rPr>
    </w:lvl>
    <w:lvl w:ilvl="1" w:tplc="FFFFFFFF">
      <w:start w:val="1"/>
      <w:numFmt w:val="lowerRoman"/>
      <w:lvlText w:val="(%2)"/>
      <w:lvlJc w:val="left"/>
      <w:pPr>
        <w:tabs>
          <w:tab w:val="num" w:pos="1800"/>
        </w:tabs>
        <w:ind w:left="1800" w:hanging="720"/>
      </w:pPr>
      <w:rPr>
        <w:rFonts w:hint="default"/>
      </w:rPr>
    </w:lvl>
    <w:lvl w:ilvl="2" w:tplc="FFFFFFFF">
      <w:start w:val="1"/>
      <w:numFmt w:val="bullet"/>
      <w:lvlText w:val=""/>
      <w:lvlJc w:val="left"/>
      <w:pPr>
        <w:tabs>
          <w:tab w:val="num" w:pos="2340"/>
        </w:tabs>
        <w:ind w:left="2340" w:hanging="360"/>
      </w:pPr>
      <w:rPr>
        <w:rFonts w:ascii="Symbol" w:hAnsi="Symbol" w:hint="default"/>
      </w:rPr>
    </w:lvl>
    <w:lvl w:ilvl="3" w:tplc="B7224282">
      <w:start w:val="1"/>
      <w:numFmt w:val="lowerLetter"/>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9A640E1"/>
    <w:multiLevelType w:val="hybridMultilevel"/>
    <w:tmpl w:val="6C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8F0C86"/>
    <w:multiLevelType w:val="multilevel"/>
    <w:tmpl w:val="910AACC6"/>
    <w:lvl w:ilvl="0">
      <w:start w:val="1"/>
      <w:numFmt w:val="decimal"/>
      <w:pStyle w:val="Heading1"/>
      <w:lvlText w:val="%1."/>
      <w:lvlJc w:val="left"/>
      <w:pPr>
        <w:tabs>
          <w:tab w:val="num" w:pos="7477"/>
        </w:tabs>
        <w:ind w:left="7477" w:hanging="1087"/>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1">
      <w:start w:val="1"/>
      <w:numFmt w:val="decimal"/>
      <w:pStyle w:val="Heading2"/>
      <w:lvlText w:val="%1.%2"/>
      <w:lvlJc w:val="left"/>
      <w:pPr>
        <w:tabs>
          <w:tab w:val="num" w:pos="972"/>
        </w:tabs>
        <w:ind w:left="972" w:hanging="972"/>
      </w:pPr>
      <w:rPr>
        <w:rFonts w:hint="default"/>
      </w:rPr>
    </w:lvl>
    <w:lvl w:ilvl="2">
      <w:start w:val="1"/>
      <w:numFmt w:val="decimal"/>
      <w:pStyle w:val="Heading3"/>
      <w:lvlText w:val="%1.%2.%3"/>
      <w:lvlJc w:val="left"/>
      <w:pPr>
        <w:tabs>
          <w:tab w:val="num" w:pos="972"/>
        </w:tabs>
        <w:ind w:left="972" w:hanging="972"/>
      </w:pPr>
      <w:rPr>
        <w:rFonts w:hint="default"/>
      </w:rPr>
    </w:lvl>
    <w:lvl w:ilvl="3">
      <w:start w:val="1"/>
      <w:numFmt w:val="decimal"/>
      <w:pStyle w:val="Heading4"/>
      <w:lvlText w:val="%1.%2.%3.%4"/>
      <w:lvlJc w:val="left"/>
      <w:pPr>
        <w:tabs>
          <w:tab w:val="num" w:pos="1944"/>
        </w:tabs>
        <w:ind w:left="1944" w:hanging="1944"/>
      </w:pPr>
      <w:rPr>
        <w:rFonts w:hint="default"/>
      </w:rPr>
    </w:lvl>
    <w:lvl w:ilvl="4">
      <w:start w:val="1"/>
      <w:numFmt w:val="decimal"/>
      <w:lvlText w:val="%1.%2.%3.%4.%5"/>
      <w:lvlJc w:val="left"/>
      <w:pPr>
        <w:tabs>
          <w:tab w:val="num" w:pos="2088"/>
        </w:tabs>
        <w:ind w:left="2088" w:hanging="208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22">
    <w:nsid w:val="72DC3B82"/>
    <w:multiLevelType w:val="hybridMultilevel"/>
    <w:tmpl w:val="1F9856AE"/>
    <w:lvl w:ilvl="0" w:tplc="AF8C1418">
      <w:start w:val="1"/>
      <w:numFmt w:val="upperLetter"/>
      <w:pStyle w:val="Heading7"/>
      <w:lvlText w:val="%1"/>
      <w:lvlJc w:val="left"/>
      <w:pPr>
        <w:ind w:left="36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nsid w:val="7EA27156"/>
    <w:multiLevelType w:val="hybridMultilevel"/>
    <w:tmpl w:val="70E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18"/>
  </w:num>
  <w:num w:numId="14">
    <w:abstractNumId w:val="17"/>
  </w:num>
  <w:num w:numId="15">
    <w:abstractNumId w:val="22"/>
  </w:num>
  <w:num w:numId="16">
    <w:abstractNumId w:val="11"/>
  </w:num>
  <w:num w:numId="17">
    <w:abstractNumId w:val="23"/>
  </w:num>
  <w:num w:numId="18">
    <w:abstractNumId w:val="10"/>
  </w:num>
  <w:num w:numId="19">
    <w:abstractNumId w:val="14"/>
  </w:num>
  <w:num w:numId="20">
    <w:abstractNumId w:val="15"/>
  </w:num>
  <w:num w:numId="21">
    <w:abstractNumId w:val="21"/>
    <w:lvlOverride w:ilvl="0">
      <w:startOverride w:val="2"/>
    </w:lvlOverride>
    <w:lvlOverride w:ilvl="1">
      <w:startOverride w:val="4"/>
    </w:lvlOverride>
  </w:num>
  <w:num w:numId="22">
    <w:abstractNumId w:val="16"/>
  </w:num>
  <w:num w:numId="23">
    <w:abstractNumId w:val="20"/>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77"/>
    <w:rsid w:val="00051B18"/>
    <w:rsid w:val="00075F79"/>
    <w:rsid w:val="00090EBC"/>
    <w:rsid w:val="003569B8"/>
    <w:rsid w:val="00396C78"/>
    <w:rsid w:val="004677BE"/>
    <w:rsid w:val="0080286E"/>
    <w:rsid w:val="008A79AD"/>
    <w:rsid w:val="00A218AF"/>
    <w:rsid w:val="00A4509B"/>
    <w:rsid w:val="00CC1CCD"/>
    <w:rsid w:val="00CD3F77"/>
    <w:rsid w:val="00E405AB"/>
    <w:rsid w:val="00EB24B4"/>
    <w:rsid w:val="00F4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qFormat="1"/>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indent"/>
    <w:qFormat/>
    <w:rsid w:val="00CD3F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F77"/>
    <w:pPr>
      <w:keepNext/>
      <w:widowControl w:val="0"/>
      <w:numPr>
        <w:numId w:val="11"/>
      </w:numPr>
      <w:tabs>
        <w:tab w:val="left" w:pos="360"/>
      </w:tabs>
      <w:overflowPunct w:val="0"/>
      <w:autoSpaceDE w:val="0"/>
      <w:autoSpaceDN w:val="0"/>
      <w:adjustRightInd w:val="0"/>
      <w:spacing w:after="360"/>
      <w:jc w:val="center"/>
      <w:textAlignment w:val="baseline"/>
      <w:outlineLvl w:val="0"/>
    </w:pPr>
    <w:rPr>
      <w:rFonts w:cs="Arial"/>
      <w:b/>
      <w:bCs/>
      <w:caps/>
      <w:snapToGrid w:val="0"/>
      <w:kern w:val="32"/>
      <w:sz w:val="28"/>
      <w:szCs w:val="28"/>
    </w:rPr>
  </w:style>
  <w:style w:type="paragraph" w:styleId="Heading2">
    <w:name w:val="heading 2"/>
    <w:basedOn w:val="Normal"/>
    <w:next w:val="Normal"/>
    <w:link w:val="Heading2Char"/>
    <w:qFormat/>
    <w:rsid w:val="00CD3F77"/>
    <w:pPr>
      <w:keepNext/>
      <w:numPr>
        <w:ilvl w:val="1"/>
        <w:numId w:val="11"/>
      </w:numPr>
      <w:tabs>
        <w:tab w:val="left" w:pos="547"/>
      </w:tabs>
      <w:spacing w:before="240" w:after="240"/>
      <w:outlineLvl w:val="1"/>
    </w:pPr>
    <w:rPr>
      <w:rFonts w:ascii="Times New Roman Bold" w:hAnsi="Times New Roman Bold" w:cs="Arial"/>
      <w:b/>
      <w:bCs/>
      <w:szCs w:val="28"/>
    </w:rPr>
  </w:style>
  <w:style w:type="paragraph" w:styleId="Heading3">
    <w:name w:val="heading 3"/>
    <w:basedOn w:val="Normal"/>
    <w:next w:val="Normal"/>
    <w:link w:val="Heading3Char"/>
    <w:qFormat/>
    <w:rsid w:val="00CD3F77"/>
    <w:pPr>
      <w:keepNext/>
      <w:widowControl w:val="0"/>
      <w:numPr>
        <w:ilvl w:val="2"/>
        <w:numId w:val="11"/>
      </w:numPr>
      <w:tabs>
        <w:tab w:val="left" w:pos="756"/>
      </w:tabs>
      <w:overflowPunct w:val="0"/>
      <w:autoSpaceDE w:val="0"/>
      <w:autoSpaceDN w:val="0"/>
      <w:adjustRightInd w:val="0"/>
      <w:spacing w:before="240" w:after="240"/>
      <w:textAlignment w:val="baseline"/>
      <w:outlineLvl w:val="2"/>
    </w:pPr>
    <w:rPr>
      <w:rFonts w:cs="Arial"/>
      <w:b/>
      <w:bCs/>
      <w:snapToGrid w:val="0"/>
      <w:sz w:val="22"/>
    </w:rPr>
  </w:style>
  <w:style w:type="paragraph" w:styleId="Heading4">
    <w:name w:val="heading 4"/>
    <w:basedOn w:val="Normal"/>
    <w:next w:val="Normal"/>
    <w:link w:val="Heading4Char"/>
    <w:qFormat/>
    <w:rsid w:val="00CD3F77"/>
    <w:pPr>
      <w:keepNext/>
      <w:numPr>
        <w:ilvl w:val="3"/>
        <w:numId w:val="11"/>
      </w:numPr>
      <w:tabs>
        <w:tab w:val="left" w:pos="900"/>
      </w:tabs>
      <w:spacing w:before="240" w:after="240"/>
      <w:outlineLvl w:val="3"/>
    </w:pPr>
    <w:rPr>
      <w:b/>
      <w:bCs/>
      <w:sz w:val="22"/>
    </w:rPr>
  </w:style>
  <w:style w:type="paragraph" w:styleId="Heading5">
    <w:name w:val="heading 5"/>
    <w:basedOn w:val="Normal"/>
    <w:next w:val="Normal"/>
    <w:link w:val="Heading5Char"/>
    <w:qFormat/>
    <w:rsid w:val="00CD3F77"/>
    <w:pPr>
      <w:numPr>
        <w:ilvl w:val="4"/>
        <w:numId w:val="13"/>
      </w:numPr>
      <w:spacing w:before="240" w:after="60"/>
      <w:outlineLvl w:val="4"/>
    </w:pPr>
    <w:rPr>
      <w:sz w:val="22"/>
      <w:szCs w:val="20"/>
    </w:rPr>
  </w:style>
  <w:style w:type="paragraph" w:styleId="Heading6">
    <w:name w:val="heading 6"/>
    <w:basedOn w:val="Normal"/>
    <w:next w:val="Normal"/>
    <w:link w:val="Heading6Char"/>
    <w:qFormat/>
    <w:rsid w:val="00CD3F77"/>
    <w:pPr>
      <w:numPr>
        <w:ilvl w:val="5"/>
        <w:numId w:val="13"/>
      </w:numPr>
      <w:spacing w:before="240" w:after="60"/>
      <w:outlineLvl w:val="5"/>
    </w:pPr>
    <w:rPr>
      <w:i/>
      <w:sz w:val="22"/>
      <w:szCs w:val="20"/>
    </w:rPr>
  </w:style>
  <w:style w:type="paragraph" w:styleId="Heading7">
    <w:name w:val="heading 7"/>
    <w:basedOn w:val="APPENDIX"/>
    <w:next w:val="Normal"/>
    <w:link w:val="Heading7Char"/>
    <w:qFormat/>
    <w:rsid w:val="00CD3F77"/>
    <w:pPr>
      <w:numPr>
        <w:numId w:val="15"/>
      </w:numPr>
      <w:outlineLvl w:val="6"/>
    </w:pPr>
    <w:rPr>
      <w:b w:val="0"/>
      <w:sz w:val="24"/>
    </w:rPr>
  </w:style>
  <w:style w:type="paragraph" w:styleId="Heading8">
    <w:name w:val="heading 8"/>
    <w:basedOn w:val="Normal"/>
    <w:next w:val="Normal"/>
    <w:link w:val="Heading8Char"/>
    <w:qFormat/>
    <w:rsid w:val="00CD3F77"/>
    <w:pPr>
      <w:numPr>
        <w:ilvl w:val="7"/>
        <w:numId w:val="13"/>
      </w:numPr>
      <w:spacing w:before="240" w:after="60"/>
      <w:outlineLvl w:val="7"/>
    </w:pPr>
    <w:rPr>
      <w:rFonts w:ascii="Arial" w:hAnsi="Arial"/>
      <w:i/>
      <w:sz w:val="20"/>
      <w:szCs w:val="20"/>
    </w:rPr>
  </w:style>
  <w:style w:type="paragraph" w:styleId="Heading9">
    <w:name w:val="heading 9"/>
    <w:basedOn w:val="Normal"/>
    <w:next w:val="Normal"/>
    <w:link w:val="Heading9Char"/>
    <w:qFormat/>
    <w:rsid w:val="00CD3F77"/>
    <w:pPr>
      <w:numPr>
        <w:ilvl w:val="8"/>
        <w:numId w:val="1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CD3F77"/>
    <w:pPr>
      <w:spacing w:line="240" w:lineRule="exact"/>
      <w:jc w:val="both"/>
    </w:pPr>
    <w:rPr>
      <w:rFonts w:ascii="Times" w:hAnsi="Times"/>
    </w:rPr>
  </w:style>
  <w:style w:type="character" w:customStyle="1" w:styleId="Heading1Char">
    <w:name w:val="Heading 1 Char"/>
    <w:basedOn w:val="DefaultParagraphFont"/>
    <w:link w:val="Heading1"/>
    <w:rsid w:val="00CD3F77"/>
    <w:rPr>
      <w:rFonts w:ascii="Times New Roman" w:eastAsia="Times New Roman" w:hAnsi="Times New Roman" w:cs="Arial"/>
      <w:b/>
      <w:bCs/>
      <w:caps/>
      <w:snapToGrid w:val="0"/>
      <w:kern w:val="32"/>
      <w:sz w:val="28"/>
      <w:szCs w:val="28"/>
    </w:rPr>
  </w:style>
  <w:style w:type="character" w:customStyle="1" w:styleId="Heading2Char">
    <w:name w:val="Heading 2 Char"/>
    <w:basedOn w:val="DefaultParagraphFont"/>
    <w:link w:val="Heading2"/>
    <w:rsid w:val="00CD3F77"/>
    <w:rPr>
      <w:rFonts w:ascii="Times New Roman Bold" w:eastAsia="Times New Roman" w:hAnsi="Times New Roman Bold" w:cs="Arial"/>
      <w:b/>
      <w:bCs/>
      <w:sz w:val="24"/>
      <w:szCs w:val="28"/>
    </w:rPr>
  </w:style>
  <w:style w:type="character" w:customStyle="1" w:styleId="Heading3Char">
    <w:name w:val="Heading 3 Char"/>
    <w:basedOn w:val="DefaultParagraphFont"/>
    <w:link w:val="Heading3"/>
    <w:rsid w:val="00CD3F77"/>
    <w:rPr>
      <w:rFonts w:ascii="Times New Roman" w:eastAsia="Times New Roman" w:hAnsi="Times New Roman" w:cs="Arial"/>
      <w:b/>
      <w:bCs/>
      <w:snapToGrid w:val="0"/>
      <w:szCs w:val="24"/>
    </w:rPr>
  </w:style>
  <w:style w:type="character" w:customStyle="1" w:styleId="Heading4Char">
    <w:name w:val="Heading 4 Char"/>
    <w:basedOn w:val="DefaultParagraphFont"/>
    <w:link w:val="Heading4"/>
    <w:rsid w:val="00CD3F77"/>
    <w:rPr>
      <w:rFonts w:ascii="Times New Roman" w:eastAsia="Times New Roman" w:hAnsi="Times New Roman" w:cs="Times New Roman"/>
      <w:b/>
      <w:bCs/>
      <w:szCs w:val="24"/>
    </w:rPr>
  </w:style>
  <w:style w:type="character" w:customStyle="1" w:styleId="Heading5Char">
    <w:name w:val="Heading 5 Char"/>
    <w:basedOn w:val="DefaultParagraphFont"/>
    <w:link w:val="Heading5"/>
    <w:rsid w:val="00CD3F77"/>
    <w:rPr>
      <w:rFonts w:ascii="Times New Roman" w:eastAsia="Times New Roman" w:hAnsi="Times New Roman" w:cs="Times New Roman"/>
      <w:szCs w:val="20"/>
    </w:rPr>
  </w:style>
  <w:style w:type="character" w:customStyle="1" w:styleId="Heading6Char">
    <w:name w:val="Heading 6 Char"/>
    <w:basedOn w:val="DefaultParagraphFont"/>
    <w:link w:val="Heading6"/>
    <w:rsid w:val="00CD3F77"/>
    <w:rPr>
      <w:rFonts w:ascii="Times New Roman" w:eastAsia="Times New Roman" w:hAnsi="Times New Roman" w:cs="Times New Roman"/>
      <w:i/>
      <w:szCs w:val="20"/>
    </w:rPr>
  </w:style>
  <w:style w:type="paragraph" w:customStyle="1" w:styleId="APPENDIX">
    <w:name w:val="APPENDIX"/>
    <w:basedOn w:val="AbstractHead"/>
    <w:next w:val="BodyTextFirstIndent"/>
    <w:qFormat/>
    <w:rsid w:val="00CD3F77"/>
    <w:pPr>
      <w:numPr>
        <w:numId w:val="12"/>
      </w:numPr>
    </w:pPr>
  </w:style>
  <w:style w:type="paragraph" w:customStyle="1" w:styleId="AbstractHead">
    <w:name w:val="Abstract Head"/>
    <w:basedOn w:val="Heading1"/>
    <w:next w:val="BodyTextFirstIndent"/>
    <w:qFormat/>
    <w:rsid w:val="00CD3F77"/>
    <w:pPr>
      <w:numPr>
        <w:numId w:val="0"/>
      </w:numPr>
      <w:spacing w:after="480"/>
    </w:pPr>
    <w:rPr>
      <w:bCs w:val="0"/>
      <w:szCs w:val="32"/>
    </w:rPr>
  </w:style>
  <w:style w:type="paragraph" w:styleId="BodyTextFirstIndent">
    <w:name w:val="Body Text First Indent"/>
    <w:basedOn w:val="BodyText"/>
    <w:link w:val="BodyTextFirstIndentChar"/>
    <w:rsid w:val="00CD3F77"/>
    <w:pPr>
      <w:ind w:firstLine="210"/>
    </w:pPr>
  </w:style>
  <w:style w:type="paragraph" w:styleId="BodyText">
    <w:name w:val="Body Text"/>
    <w:basedOn w:val="Normal"/>
    <w:link w:val="BodyTextChar"/>
    <w:rsid w:val="00CD3F77"/>
  </w:style>
  <w:style w:type="character" w:customStyle="1" w:styleId="BodyTextChar">
    <w:name w:val="Body Text Char"/>
    <w:basedOn w:val="DefaultParagraphFont"/>
    <w:link w:val="BodyText"/>
    <w:rsid w:val="00CD3F77"/>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D3F77"/>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D3F77"/>
    <w:rPr>
      <w:rFonts w:ascii="Times New Roman" w:eastAsia="Times New Roman" w:hAnsi="Times New Roman" w:cs="Arial"/>
      <w:caps/>
      <w:snapToGrid w:val="0"/>
      <w:kern w:val="32"/>
      <w:sz w:val="24"/>
      <w:szCs w:val="32"/>
    </w:rPr>
  </w:style>
  <w:style w:type="character" w:customStyle="1" w:styleId="Heading8Char">
    <w:name w:val="Heading 8 Char"/>
    <w:basedOn w:val="DefaultParagraphFont"/>
    <w:link w:val="Heading8"/>
    <w:rsid w:val="00CD3F77"/>
    <w:rPr>
      <w:rFonts w:ascii="Arial" w:eastAsia="Times New Roman" w:hAnsi="Arial" w:cs="Times New Roman"/>
      <w:i/>
      <w:sz w:val="20"/>
      <w:szCs w:val="20"/>
    </w:rPr>
  </w:style>
  <w:style w:type="character" w:customStyle="1" w:styleId="Heading9Char">
    <w:name w:val="Heading 9 Char"/>
    <w:basedOn w:val="DefaultParagraphFont"/>
    <w:link w:val="Heading9"/>
    <w:rsid w:val="00CD3F77"/>
    <w:rPr>
      <w:rFonts w:ascii="Arial" w:eastAsia="Times New Roman" w:hAnsi="Arial" w:cs="Times New Roman"/>
      <w:b/>
      <w:i/>
      <w:sz w:val="18"/>
      <w:szCs w:val="20"/>
    </w:rPr>
  </w:style>
  <w:style w:type="paragraph" w:styleId="Header">
    <w:name w:val="header"/>
    <w:basedOn w:val="Normal"/>
    <w:link w:val="HeaderChar"/>
    <w:rsid w:val="00CD3F77"/>
    <w:pPr>
      <w:tabs>
        <w:tab w:val="center" w:pos="4320"/>
        <w:tab w:val="right" w:pos="8640"/>
      </w:tabs>
      <w:jc w:val="center"/>
    </w:pPr>
    <w:rPr>
      <w:b/>
      <w:caps/>
      <w:sz w:val="32"/>
      <w:szCs w:val="32"/>
    </w:rPr>
  </w:style>
  <w:style w:type="character" w:customStyle="1" w:styleId="HeaderChar">
    <w:name w:val="Header Char"/>
    <w:basedOn w:val="DefaultParagraphFont"/>
    <w:link w:val="Header"/>
    <w:rsid w:val="00CD3F77"/>
    <w:rPr>
      <w:rFonts w:ascii="Times New Roman" w:eastAsia="Times New Roman" w:hAnsi="Times New Roman" w:cs="Times New Roman"/>
      <w:b/>
      <w:caps/>
      <w:sz w:val="32"/>
      <w:szCs w:val="32"/>
    </w:rPr>
  </w:style>
  <w:style w:type="paragraph" w:customStyle="1" w:styleId="Style1">
    <w:name w:val="Style1"/>
    <w:basedOn w:val="Normal"/>
    <w:rsid w:val="00CD3F77"/>
    <w:pPr>
      <w:keepNext/>
      <w:tabs>
        <w:tab w:val="left" w:pos="720"/>
        <w:tab w:val="num" w:pos="1080"/>
      </w:tabs>
      <w:spacing w:before="360" w:after="240"/>
      <w:ind w:left="792" w:hanging="432"/>
      <w:outlineLvl w:val="1"/>
    </w:pPr>
    <w:rPr>
      <w:rFonts w:ascii="Arial" w:hAnsi="Arial"/>
      <w:b/>
      <w:sz w:val="28"/>
    </w:rPr>
  </w:style>
  <w:style w:type="paragraph" w:customStyle="1" w:styleId="ORNLHeading2">
    <w:name w:val="ORNL Heading 2"/>
    <w:basedOn w:val="Heading2"/>
    <w:autoRedefine/>
    <w:rsid w:val="00CD3F77"/>
    <w:pPr>
      <w:spacing w:before="360"/>
      <w:outlineLvl w:val="0"/>
    </w:pPr>
    <w:rPr>
      <w:i/>
      <w:caps/>
    </w:rPr>
  </w:style>
  <w:style w:type="paragraph" w:styleId="PlainText">
    <w:name w:val="Plain Text"/>
    <w:basedOn w:val="Normal"/>
    <w:link w:val="PlainTextChar"/>
    <w:rsid w:val="00CD3F77"/>
    <w:rPr>
      <w:rFonts w:ascii="Courier New" w:hAnsi="Courier New"/>
    </w:rPr>
  </w:style>
  <w:style w:type="character" w:customStyle="1" w:styleId="PlainTextChar">
    <w:name w:val="Plain Text Char"/>
    <w:basedOn w:val="DefaultParagraphFont"/>
    <w:link w:val="PlainText"/>
    <w:rsid w:val="00CD3F77"/>
    <w:rPr>
      <w:rFonts w:ascii="Courier New" w:eastAsia="Times New Roman" w:hAnsi="Courier New" w:cs="Times New Roman"/>
      <w:sz w:val="24"/>
      <w:szCs w:val="24"/>
    </w:rPr>
  </w:style>
  <w:style w:type="paragraph" w:styleId="BlockText">
    <w:name w:val="Block Text"/>
    <w:basedOn w:val="Normal"/>
    <w:rsid w:val="00CD3F77"/>
    <w:pPr>
      <w:spacing w:after="120"/>
      <w:ind w:left="1440" w:right="1440"/>
    </w:pPr>
  </w:style>
  <w:style w:type="paragraph" w:styleId="BodyText2">
    <w:name w:val="Body Text 2"/>
    <w:basedOn w:val="Normal"/>
    <w:link w:val="BodyText2Char"/>
    <w:rsid w:val="00CD3F77"/>
    <w:pPr>
      <w:spacing w:after="120" w:line="480" w:lineRule="auto"/>
    </w:pPr>
  </w:style>
  <w:style w:type="character" w:customStyle="1" w:styleId="BodyText2Char">
    <w:name w:val="Body Text 2 Char"/>
    <w:basedOn w:val="DefaultParagraphFont"/>
    <w:link w:val="BodyText2"/>
    <w:rsid w:val="00CD3F77"/>
    <w:rPr>
      <w:rFonts w:ascii="Times New Roman" w:eastAsia="Times New Roman" w:hAnsi="Times New Roman" w:cs="Times New Roman"/>
      <w:sz w:val="24"/>
      <w:szCs w:val="24"/>
    </w:rPr>
  </w:style>
  <w:style w:type="paragraph" w:styleId="BodyText3">
    <w:name w:val="Body Text 3"/>
    <w:basedOn w:val="Normal"/>
    <w:link w:val="BodyText3Char"/>
    <w:rsid w:val="00CD3F77"/>
    <w:pPr>
      <w:spacing w:after="120"/>
    </w:pPr>
    <w:rPr>
      <w:sz w:val="16"/>
    </w:rPr>
  </w:style>
  <w:style w:type="character" w:customStyle="1" w:styleId="BodyText3Char">
    <w:name w:val="Body Text 3 Char"/>
    <w:basedOn w:val="DefaultParagraphFont"/>
    <w:link w:val="BodyText3"/>
    <w:rsid w:val="00CD3F77"/>
    <w:rPr>
      <w:rFonts w:ascii="Times New Roman" w:eastAsia="Times New Roman" w:hAnsi="Times New Roman" w:cs="Times New Roman"/>
      <w:sz w:val="16"/>
      <w:szCs w:val="24"/>
    </w:rPr>
  </w:style>
  <w:style w:type="paragraph" w:styleId="BodyTextIndent">
    <w:name w:val="Body Text Indent"/>
    <w:basedOn w:val="Normal"/>
    <w:link w:val="BodyTextIndentChar"/>
    <w:rsid w:val="00CD3F77"/>
    <w:pPr>
      <w:ind w:left="360"/>
    </w:pPr>
  </w:style>
  <w:style w:type="character" w:customStyle="1" w:styleId="BodyTextIndentChar">
    <w:name w:val="Body Text Indent Char"/>
    <w:basedOn w:val="DefaultParagraphFont"/>
    <w:link w:val="BodyTextIndent"/>
    <w:rsid w:val="00CD3F7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CD3F77"/>
    <w:pPr>
      <w:ind w:firstLine="210"/>
    </w:pPr>
  </w:style>
  <w:style w:type="character" w:customStyle="1" w:styleId="BodyTextFirstIndent2Char">
    <w:name w:val="Body Text First Indent 2 Char"/>
    <w:basedOn w:val="BodyTextIndentChar"/>
    <w:link w:val="BodyTextFirstIndent2"/>
    <w:rsid w:val="00CD3F77"/>
    <w:rPr>
      <w:rFonts w:ascii="Times New Roman" w:eastAsia="Times New Roman" w:hAnsi="Times New Roman" w:cs="Times New Roman"/>
      <w:sz w:val="24"/>
      <w:szCs w:val="24"/>
    </w:rPr>
  </w:style>
  <w:style w:type="paragraph" w:styleId="BodyTextIndent2">
    <w:name w:val="Body Text Indent 2"/>
    <w:basedOn w:val="Normal"/>
    <w:link w:val="BodyTextIndent2Char"/>
    <w:rsid w:val="00CD3F77"/>
    <w:pPr>
      <w:spacing w:after="120" w:line="480" w:lineRule="auto"/>
      <w:ind w:left="360"/>
    </w:pPr>
  </w:style>
  <w:style w:type="character" w:customStyle="1" w:styleId="BodyTextIndent2Char">
    <w:name w:val="Body Text Indent 2 Char"/>
    <w:basedOn w:val="DefaultParagraphFont"/>
    <w:link w:val="BodyTextIndent2"/>
    <w:rsid w:val="00CD3F77"/>
    <w:rPr>
      <w:rFonts w:ascii="Times New Roman" w:eastAsia="Times New Roman" w:hAnsi="Times New Roman" w:cs="Times New Roman"/>
      <w:sz w:val="24"/>
      <w:szCs w:val="24"/>
    </w:rPr>
  </w:style>
  <w:style w:type="paragraph" w:styleId="BodyTextIndent3">
    <w:name w:val="Body Text Indent 3"/>
    <w:basedOn w:val="Normal"/>
    <w:link w:val="BodyTextIndent3Char"/>
    <w:rsid w:val="00CD3F77"/>
    <w:pPr>
      <w:spacing w:after="120"/>
      <w:ind w:left="360"/>
    </w:pPr>
    <w:rPr>
      <w:sz w:val="16"/>
    </w:rPr>
  </w:style>
  <w:style w:type="character" w:customStyle="1" w:styleId="BodyTextIndent3Char">
    <w:name w:val="Body Text Indent 3 Char"/>
    <w:basedOn w:val="DefaultParagraphFont"/>
    <w:link w:val="BodyTextIndent3"/>
    <w:rsid w:val="00CD3F77"/>
    <w:rPr>
      <w:rFonts w:ascii="Times New Roman" w:eastAsia="Times New Roman" w:hAnsi="Times New Roman" w:cs="Times New Roman"/>
      <w:sz w:val="16"/>
      <w:szCs w:val="24"/>
    </w:rPr>
  </w:style>
  <w:style w:type="paragraph" w:styleId="Caption">
    <w:name w:val="caption"/>
    <w:aliases w:val="Caption Figures"/>
    <w:basedOn w:val="Normal"/>
    <w:next w:val="Normal"/>
    <w:uiPriority w:val="35"/>
    <w:qFormat/>
    <w:rsid w:val="00CD3F77"/>
    <w:pPr>
      <w:tabs>
        <w:tab w:val="left" w:pos="1152"/>
      </w:tabs>
      <w:spacing w:before="120"/>
      <w:jc w:val="center"/>
    </w:pPr>
    <w:rPr>
      <w:b/>
      <w:sz w:val="20"/>
      <w:szCs w:val="22"/>
    </w:rPr>
  </w:style>
  <w:style w:type="paragraph" w:styleId="Closing">
    <w:name w:val="Closing"/>
    <w:basedOn w:val="Normal"/>
    <w:link w:val="ClosingChar"/>
    <w:rsid w:val="00CD3F77"/>
    <w:pPr>
      <w:ind w:left="4320"/>
    </w:pPr>
  </w:style>
  <w:style w:type="character" w:customStyle="1" w:styleId="ClosingChar">
    <w:name w:val="Closing Char"/>
    <w:basedOn w:val="DefaultParagraphFont"/>
    <w:link w:val="Closing"/>
    <w:rsid w:val="00CD3F77"/>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D3F77"/>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CD3F77"/>
  </w:style>
  <w:style w:type="paragraph" w:styleId="Date">
    <w:name w:val="Date"/>
    <w:basedOn w:val="Normal"/>
    <w:next w:val="Normal"/>
    <w:link w:val="DateChar"/>
    <w:rsid w:val="00CD3F77"/>
  </w:style>
  <w:style w:type="character" w:customStyle="1" w:styleId="DateChar">
    <w:name w:val="Date Char"/>
    <w:basedOn w:val="DefaultParagraphFont"/>
    <w:link w:val="Date"/>
    <w:rsid w:val="00CD3F77"/>
    <w:rPr>
      <w:rFonts w:ascii="Times New Roman" w:eastAsia="Times New Roman" w:hAnsi="Times New Roman" w:cs="Times New Roman"/>
      <w:sz w:val="24"/>
      <w:szCs w:val="24"/>
    </w:rPr>
  </w:style>
  <w:style w:type="paragraph" w:styleId="DocumentMap">
    <w:name w:val="Document Map"/>
    <w:basedOn w:val="Normal"/>
    <w:link w:val="DocumentMapChar"/>
    <w:uiPriority w:val="99"/>
    <w:rsid w:val="00CD3F77"/>
    <w:pPr>
      <w:shd w:val="clear" w:color="auto" w:fill="000080"/>
    </w:pPr>
    <w:rPr>
      <w:rFonts w:ascii="Tahoma" w:hAnsi="Tahoma"/>
    </w:rPr>
  </w:style>
  <w:style w:type="character" w:customStyle="1" w:styleId="DocumentMapChar">
    <w:name w:val="Document Map Char"/>
    <w:basedOn w:val="DefaultParagraphFont"/>
    <w:link w:val="DocumentMap"/>
    <w:uiPriority w:val="99"/>
    <w:rsid w:val="00CD3F77"/>
    <w:rPr>
      <w:rFonts w:ascii="Tahoma" w:eastAsia="Times New Roman" w:hAnsi="Tahoma" w:cs="Times New Roman"/>
      <w:sz w:val="24"/>
      <w:szCs w:val="24"/>
      <w:shd w:val="clear" w:color="auto" w:fill="000080"/>
    </w:rPr>
  </w:style>
  <w:style w:type="character" w:customStyle="1" w:styleId="EndnoteTextChar">
    <w:name w:val="Endnote Text Char"/>
    <w:basedOn w:val="DefaultParagraphFont"/>
    <w:link w:val="EndnoteText"/>
    <w:semiHidden/>
    <w:rsid w:val="00CD3F77"/>
    <w:rPr>
      <w:rFonts w:ascii="Times New Roman" w:eastAsia="Times New Roman" w:hAnsi="Times New Roman" w:cs="Times New Roman"/>
      <w:sz w:val="24"/>
      <w:szCs w:val="24"/>
    </w:rPr>
  </w:style>
  <w:style w:type="paragraph" w:styleId="EndnoteText">
    <w:name w:val="endnote text"/>
    <w:basedOn w:val="Normal"/>
    <w:link w:val="EndnoteTextChar"/>
    <w:semiHidden/>
    <w:rsid w:val="00CD3F77"/>
  </w:style>
  <w:style w:type="paragraph" w:styleId="EnvelopeAddress">
    <w:name w:val="envelope address"/>
    <w:basedOn w:val="Normal"/>
    <w:rsid w:val="00CD3F77"/>
    <w:pPr>
      <w:framePr w:w="7920" w:h="1980" w:hRule="exact" w:hSpace="180" w:wrap="auto" w:hAnchor="page" w:xAlign="center" w:yAlign="bottom"/>
      <w:ind w:left="2880"/>
    </w:pPr>
    <w:rPr>
      <w:rFonts w:ascii="Arial" w:hAnsi="Arial"/>
    </w:rPr>
  </w:style>
  <w:style w:type="paragraph" w:styleId="EnvelopeReturn">
    <w:name w:val="envelope return"/>
    <w:basedOn w:val="Normal"/>
    <w:rsid w:val="00CD3F77"/>
    <w:rPr>
      <w:rFonts w:ascii="Arial" w:hAnsi="Arial"/>
    </w:rPr>
  </w:style>
  <w:style w:type="paragraph" w:styleId="Footer">
    <w:name w:val="footer"/>
    <w:basedOn w:val="Normal"/>
    <w:link w:val="FooterChar"/>
    <w:uiPriority w:val="99"/>
    <w:rsid w:val="00CD3F77"/>
    <w:pPr>
      <w:tabs>
        <w:tab w:val="center" w:pos="4320"/>
        <w:tab w:val="right" w:pos="8640"/>
      </w:tabs>
    </w:pPr>
  </w:style>
  <w:style w:type="character" w:customStyle="1" w:styleId="FooterChar">
    <w:name w:val="Footer Char"/>
    <w:basedOn w:val="DefaultParagraphFont"/>
    <w:link w:val="Footer"/>
    <w:uiPriority w:val="99"/>
    <w:rsid w:val="00CD3F77"/>
    <w:rPr>
      <w:rFonts w:ascii="Times New Roman" w:eastAsia="Times New Roman" w:hAnsi="Times New Roman" w:cs="Times New Roman"/>
      <w:sz w:val="24"/>
      <w:szCs w:val="24"/>
    </w:rPr>
  </w:style>
  <w:style w:type="paragraph" w:styleId="FootnoteText">
    <w:name w:val="footnote text"/>
    <w:basedOn w:val="Normal"/>
    <w:link w:val="FootnoteTextChar"/>
    <w:rsid w:val="00CD3F77"/>
  </w:style>
  <w:style w:type="character" w:customStyle="1" w:styleId="FootnoteTextChar">
    <w:name w:val="Footnote Text Char"/>
    <w:basedOn w:val="DefaultParagraphFont"/>
    <w:link w:val="FootnoteText"/>
    <w:rsid w:val="00CD3F77"/>
    <w:rPr>
      <w:rFonts w:ascii="Times New Roman" w:eastAsia="Times New Roman" w:hAnsi="Times New Roman" w:cs="Times New Roman"/>
      <w:sz w:val="24"/>
      <w:szCs w:val="24"/>
    </w:rPr>
  </w:style>
  <w:style w:type="paragraph" w:styleId="Index1">
    <w:name w:val="index 1"/>
    <w:basedOn w:val="Normal"/>
    <w:next w:val="Normal"/>
    <w:autoRedefine/>
    <w:semiHidden/>
    <w:rsid w:val="00CD3F77"/>
    <w:pPr>
      <w:ind w:left="200" w:hanging="200"/>
    </w:pPr>
  </w:style>
  <w:style w:type="paragraph" w:styleId="List">
    <w:name w:val="List"/>
    <w:basedOn w:val="Normal"/>
    <w:rsid w:val="00CD3F77"/>
    <w:pPr>
      <w:ind w:left="360" w:hanging="360"/>
    </w:pPr>
  </w:style>
  <w:style w:type="paragraph" w:styleId="List2">
    <w:name w:val="List 2"/>
    <w:basedOn w:val="Normal"/>
    <w:rsid w:val="00CD3F77"/>
    <w:pPr>
      <w:ind w:left="720" w:hanging="360"/>
    </w:pPr>
  </w:style>
  <w:style w:type="paragraph" w:styleId="List3">
    <w:name w:val="List 3"/>
    <w:basedOn w:val="Normal"/>
    <w:rsid w:val="00CD3F77"/>
    <w:pPr>
      <w:ind w:left="1080" w:hanging="360"/>
    </w:pPr>
  </w:style>
  <w:style w:type="paragraph" w:styleId="List4">
    <w:name w:val="List 4"/>
    <w:basedOn w:val="Normal"/>
    <w:rsid w:val="00CD3F77"/>
    <w:pPr>
      <w:ind w:left="1440" w:hanging="360"/>
    </w:pPr>
  </w:style>
  <w:style w:type="paragraph" w:styleId="List5">
    <w:name w:val="List 5"/>
    <w:basedOn w:val="Normal"/>
    <w:rsid w:val="00CD3F77"/>
    <w:pPr>
      <w:ind w:left="1800" w:hanging="360"/>
    </w:pPr>
  </w:style>
  <w:style w:type="paragraph" w:styleId="ListBullet">
    <w:name w:val="List Bullet"/>
    <w:basedOn w:val="Normal"/>
    <w:autoRedefine/>
    <w:rsid w:val="00CD3F77"/>
    <w:pPr>
      <w:numPr>
        <w:numId w:val="1"/>
      </w:numPr>
    </w:pPr>
  </w:style>
  <w:style w:type="paragraph" w:styleId="ListBullet2">
    <w:name w:val="List Bullet 2"/>
    <w:basedOn w:val="Normal"/>
    <w:autoRedefine/>
    <w:rsid w:val="00CD3F77"/>
    <w:pPr>
      <w:numPr>
        <w:numId w:val="2"/>
      </w:numPr>
    </w:pPr>
  </w:style>
  <w:style w:type="paragraph" w:styleId="ListBullet3">
    <w:name w:val="List Bullet 3"/>
    <w:basedOn w:val="Normal"/>
    <w:autoRedefine/>
    <w:rsid w:val="00CD3F77"/>
    <w:pPr>
      <w:numPr>
        <w:numId w:val="3"/>
      </w:numPr>
    </w:pPr>
  </w:style>
  <w:style w:type="paragraph" w:styleId="ListBullet4">
    <w:name w:val="List Bullet 4"/>
    <w:basedOn w:val="Normal"/>
    <w:autoRedefine/>
    <w:rsid w:val="00CD3F77"/>
    <w:pPr>
      <w:numPr>
        <w:numId w:val="4"/>
      </w:numPr>
    </w:pPr>
  </w:style>
  <w:style w:type="paragraph" w:styleId="ListBullet5">
    <w:name w:val="List Bullet 5"/>
    <w:basedOn w:val="Normal"/>
    <w:autoRedefine/>
    <w:rsid w:val="00CD3F77"/>
    <w:pPr>
      <w:numPr>
        <w:numId w:val="5"/>
      </w:numPr>
    </w:pPr>
  </w:style>
  <w:style w:type="paragraph" w:styleId="ListContinue">
    <w:name w:val="List Continue"/>
    <w:basedOn w:val="Normal"/>
    <w:rsid w:val="00CD3F77"/>
    <w:pPr>
      <w:spacing w:after="120"/>
      <w:ind w:left="360"/>
    </w:pPr>
  </w:style>
  <w:style w:type="paragraph" w:styleId="ListContinue2">
    <w:name w:val="List Continue 2"/>
    <w:basedOn w:val="Normal"/>
    <w:rsid w:val="00CD3F77"/>
    <w:pPr>
      <w:spacing w:after="120"/>
      <w:ind w:left="720"/>
    </w:pPr>
  </w:style>
  <w:style w:type="paragraph" w:styleId="ListContinue3">
    <w:name w:val="List Continue 3"/>
    <w:basedOn w:val="Normal"/>
    <w:rsid w:val="00CD3F77"/>
    <w:pPr>
      <w:spacing w:after="120"/>
      <w:ind w:left="1080"/>
    </w:pPr>
  </w:style>
  <w:style w:type="paragraph" w:styleId="ListContinue4">
    <w:name w:val="List Continue 4"/>
    <w:basedOn w:val="Normal"/>
    <w:rsid w:val="00CD3F77"/>
    <w:pPr>
      <w:spacing w:after="120"/>
      <w:ind w:left="1440"/>
    </w:pPr>
  </w:style>
  <w:style w:type="paragraph" w:styleId="ListContinue5">
    <w:name w:val="List Continue 5"/>
    <w:basedOn w:val="Normal"/>
    <w:rsid w:val="00CD3F77"/>
    <w:pPr>
      <w:spacing w:after="120"/>
      <w:ind w:left="1800"/>
    </w:pPr>
  </w:style>
  <w:style w:type="paragraph" w:styleId="ListNumber">
    <w:name w:val="List Number"/>
    <w:basedOn w:val="Normal"/>
    <w:rsid w:val="00CD3F77"/>
    <w:pPr>
      <w:numPr>
        <w:numId w:val="6"/>
      </w:numPr>
    </w:pPr>
  </w:style>
  <w:style w:type="paragraph" w:styleId="ListNumber2">
    <w:name w:val="List Number 2"/>
    <w:basedOn w:val="Normal"/>
    <w:rsid w:val="00CD3F77"/>
    <w:pPr>
      <w:numPr>
        <w:numId w:val="7"/>
      </w:numPr>
    </w:pPr>
  </w:style>
  <w:style w:type="paragraph" w:styleId="ListNumber3">
    <w:name w:val="List Number 3"/>
    <w:basedOn w:val="Normal"/>
    <w:rsid w:val="00CD3F77"/>
    <w:pPr>
      <w:numPr>
        <w:numId w:val="8"/>
      </w:numPr>
    </w:pPr>
  </w:style>
  <w:style w:type="paragraph" w:styleId="ListNumber4">
    <w:name w:val="List Number 4"/>
    <w:basedOn w:val="Normal"/>
    <w:rsid w:val="00CD3F77"/>
    <w:pPr>
      <w:numPr>
        <w:numId w:val="9"/>
      </w:numPr>
    </w:pPr>
  </w:style>
  <w:style w:type="paragraph" w:styleId="ListNumber5">
    <w:name w:val="List Number 5"/>
    <w:basedOn w:val="Normal"/>
    <w:rsid w:val="00CD3F77"/>
    <w:pPr>
      <w:numPr>
        <w:numId w:val="10"/>
      </w:numPr>
    </w:pPr>
  </w:style>
  <w:style w:type="character" w:customStyle="1" w:styleId="MacroTextChar">
    <w:name w:val="Macro Text Char"/>
    <w:basedOn w:val="DefaultParagraphFont"/>
    <w:link w:val="MacroText"/>
    <w:semiHidden/>
    <w:rsid w:val="00CD3F77"/>
    <w:rPr>
      <w:rFonts w:ascii="Courier New" w:eastAsia="Times New Roman" w:hAnsi="Courier New" w:cs="Times New Roman"/>
      <w:sz w:val="24"/>
      <w:szCs w:val="24"/>
    </w:rPr>
  </w:style>
  <w:style w:type="paragraph" w:styleId="MacroText">
    <w:name w:val="macro"/>
    <w:link w:val="MacroTextChar"/>
    <w:semiHidden/>
    <w:rsid w:val="00CD3F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4"/>
      <w:szCs w:val="24"/>
    </w:rPr>
  </w:style>
  <w:style w:type="paragraph" w:styleId="MessageHeader">
    <w:name w:val="Message Header"/>
    <w:basedOn w:val="Normal"/>
    <w:link w:val="MessageHeaderChar"/>
    <w:rsid w:val="00CD3F7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D3F77"/>
    <w:rPr>
      <w:rFonts w:ascii="Arial" w:eastAsia="Times New Roman" w:hAnsi="Arial" w:cs="Times New Roman"/>
      <w:sz w:val="24"/>
      <w:szCs w:val="24"/>
      <w:shd w:val="pct20" w:color="auto" w:fill="auto"/>
    </w:rPr>
  </w:style>
  <w:style w:type="paragraph" w:styleId="NormalIndent">
    <w:name w:val="Normal Indent"/>
    <w:basedOn w:val="Normal"/>
    <w:link w:val="NormalIndentChar"/>
    <w:rsid w:val="00CD3F77"/>
    <w:pPr>
      <w:ind w:left="720"/>
    </w:pPr>
  </w:style>
  <w:style w:type="character" w:customStyle="1" w:styleId="NormalIndentChar">
    <w:name w:val="Normal Indent Char"/>
    <w:basedOn w:val="DefaultParagraphFont"/>
    <w:link w:val="NormalIndent"/>
    <w:rsid w:val="00CD3F77"/>
    <w:rPr>
      <w:rFonts w:ascii="Times New Roman" w:eastAsia="Times New Roman" w:hAnsi="Times New Roman" w:cs="Times New Roman"/>
      <w:sz w:val="24"/>
      <w:szCs w:val="24"/>
    </w:rPr>
  </w:style>
  <w:style w:type="paragraph" w:styleId="NoteHeading">
    <w:name w:val="Note Heading"/>
    <w:basedOn w:val="Normal"/>
    <w:next w:val="Normal"/>
    <w:link w:val="NoteHeadingChar"/>
    <w:rsid w:val="00CD3F77"/>
  </w:style>
  <w:style w:type="character" w:customStyle="1" w:styleId="NoteHeadingChar">
    <w:name w:val="Note Heading Char"/>
    <w:basedOn w:val="DefaultParagraphFont"/>
    <w:link w:val="NoteHeading"/>
    <w:rsid w:val="00CD3F77"/>
    <w:rPr>
      <w:rFonts w:ascii="Times New Roman" w:eastAsia="Times New Roman" w:hAnsi="Times New Roman" w:cs="Times New Roman"/>
      <w:sz w:val="24"/>
      <w:szCs w:val="24"/>
    </w:rPr>
  </w:style>
  <w:style w:type="paragraph" w:styleId="Salutation">
    <w:name w:val="Salutation"/>
    <w:basedOn w:val="Normal"/>
    <w:next w:val="Normal"/>
    <w:link w:val="SalutationChar"/>
    <w:rsid w:val="00CD3F77"/>
  </w:style>
  <w:style w:type="character" w:customStyle="1" w:styleId="SalutationChar">
    <w:name w:val="Salutation Char"/>
    <w:basedOn w:val="DefaultParagraphFont"/>
    <w:link w:val="Salutation"/>
    <w:rsid w:val="00CD3F77"/>
    <w:rPr>
      <w:rFonts w:ascii="Times New Roman" w:eastAsia="Times New Roman" w:hAnsi="Times New Roman" w:cs="Times New Roman"/>
      <w:sz w:val="24"/>
      <w:szCs w:val="24"/>
    </w:rPr>
  </w:style>
  <w:style w:type="paragraph" w:styleId="Signature">
    <w:name w:val="Signature"/>
    <w:basedOn w:val="Normal"/>
    <w:link w:val="SignatureChar"/>
    <w:rsid w:val="00CD3F77"/>
    <w:pPr>
      <w:ind w:left="4320"/>
    </w:pPr>
  </w:style>
  <w:style w:type="character" w:customStyle="1" w:styleId="SignatureChar">
    <w:name w:val="Signature Char"/>
    <w:basedOn w:val="DefaultParagraphFont"/>
    <w:link w:val="Signature"/>
    <w:rsid w:val="00CD3F77"/>
    <w:rPr>
      <w:rFonts w:ascii="Times New Roman" w:eastAsia="Times New Roman" w:hAnsi="Times New Roman" w:cs="Times New Roman"/>
      <w:sz w:val="24"/>
      <w:szCs w:val="24"/>
    </w:rPr>
  </w:style>
  <w:style w:type="paragraph" w:styleId="Subtitle">
    <w:name w:val="Subtitle"/>
    <w:basedOn w:val="Normal"/>
    <w:link w:val="SubtitleChar"/>
    <w:qFormat/>
    <w:rsid w:val="00CD3F77"/>
    <w:pPr>
      <w:spacing w:after="60"/>
      <w:jc w:val="center"/>
      <w:outlineLvl w:val="1"/>
    </w:pPr>
    <w:rPr>
      <w:rFonts w:ascii="Arial" w:hAnsi="Arial"/>
    </w:rPr>
  </w:style>
  <w:style w:type="character" w:customStyle="1" w:styleId="SubtitleChar">
    <w:name w:val="Subtitle Char"/>
    <w:basedOn w:val="DefaultParagraphFont"/>
    <w:link w:val="Subtitle"/>
    <w:rsid w:val="00CD3F77"/>
    <w:rPr>
      <w:rFonts w:ascii="Arial" w:eastAsia="Times New Roman" w:hAnsi="Arial" w:cs="Times New Roman"/>
      <w:sz w:val="24"/>
      <w:szCs w:val="24"/>
    </w:rPr>
  </w:style>
  <w:style w:type="paragraph" w:styleId="TableofFigures">
    <w:name w:val="table of figures"/>
    <w:basedOn w:val="Normal"/>
    <w:next w:val="Normal"/>
    <w:uiPriority w:val="99"/>
    <w:qFormat/>
    <w:rsid w:val="00CD3F77"/>
    <w:pPr>
      <w:tabs>
        <w:tab w:val="left" w:pos="1296"/>
        <w:tab w:val="right" w:leader="dot" w:pos="9350"/>
      </w:tabs>
    </w:pPr>
    <w:rPr>
      <w:noProof/>
      <w:sz w:val="22"/>
    </w:rPr>
  </w:style>
  <w:style w:type="paragraph" w:styleId="Title">
    <w:name w:val="Title"/>
    <w:basedOn w:val="Normal"/>
    <w:link w:val="TitleChar"/>
    <w:qFormat/>
    <w:rsid w:val="00CD3F77"/>
    <w:pPr>
      <w:spacing w:after="240"/>
      <w:jc w:val="center"/>
      <w:outlineLvl w:val="0"/>
    </w:pPr>
    <w:rPr>
      <w:b/>
      <w:kern w:val="28"/>
      <w:sz w:val="32"/>
    </w:rPr>
  </w:style>
  <w:style w:type="character" w:customStyle="1" w:styleId="TitleChar">
    <w:name w:val="Title Char"/>
    <w:basedOn w:val="DefaultParagraphFont"/>
    <w:link w:val="Title"/>
    <w:rsid w:val="00CD3F77"/>
    <w:rPr>
      <w:rFonts w:ascii="Times New Roman" w:eastAsia="Times New Roman" w:hAnsi="Times New Roman" w:cs="Times New Roman"/>
      <w:b/>
      <w:kern w:val="28"/>
      <w:sz w:val="32"/>
      <w:szCs w:val="24"/>
    </w:rPr>
  </w:style>
  <w:style w:type="paragraph" w:styleId="TOC1">
    <w:name w:val="toc 1"/>
    <w:basedOn w:val="Normal"/>
    <w:next w:val="Normal"/>
    <w:uiPriority w:val="39"/>
    <w:qFormat/>
    <w:rsid w:val="00CD3F77"/>
    <w:pPr>
      <w:tabs>
        <w:tab w:val="left" w:pos="540"/>
        <w:tab w:val="right" w:leader="dot" w:pos="9360"/>
      </w:tabs>
      <w:spacing w:before="120" w:after="120"/>
    </w:pPr>
    <w:rPr>
      <w:noProof/>
      <w:sz w:val="22"/>
    </w:rPr>
  </w:style>
  <w:style w:type="paragraph" w:styleId="TOC2">
    <w:name w:val="toc 2"/>
    <w:basedOn w:val="Normal"/>
    <w:next w:val="Normal"/>
    <w:uiPriority w:val="39"/>
    <w:qFormat/>
    <w:rsid w:val="00CD3F77"/>
    <w:pPr>
      <w:tabs>
        <w:tab w:val="left" w:pos="540"/>
        <w:tab w:val="left" w:pos="1080"/>
        <w:tab w:val="right" w:leader="dot" w:pos="9360"/>
      </w:tabs>
      <w:spacing w:after="120"/>
      <w:ind w:left="1094" w:right="446" w:hanging="547"/>
    </w:pPr>
    <w:rPr>
      <w:noProof/>
      <w:sz w:val="22"/>
    </w:rPr>
  </w:style>
  <w:style w:type="paragraph" w:styleId="TOC3">
    <w:name w:val="toc 3"/>
    <w:basedOn w:val="Normal"/>
    <w:next w:val="Normal"/>
    <w:autoRedefine/>
    <w:uiPriority w:val="39"/>
    <w:qFormat/>
    <w:rsid w:val="00CD3F77"/>
    <w:pPr>
      <w:tabs>
        <w:tab w:val="left" w:pos="1200"/>
        <w:tab w:val="left" w:pos="1800"/>
        <w:tab w:val="right" w:leader="dot" w:pos="9360"/>
      </w:tabs>
      <w:spacing w:after="120"/>
      <w:ind w:left="1800" w:hanging="720"/>
    </w:pPr>
    <w:rPr>
      <w:noProof/>
      <w:sz w:val="22"/>
      <w:szCs w:val="28"/>
    </w:rPr>
  </w:style>
  <w:style w:type="paragraph" w:styleId="TOC4">
    <w:name w:val="toc 4"/>
    <w:basedOn w:val="Normal"/>
    <w:next w:val="Normal"/>
    <w:autoRedefine/>
    <w:uiPriority w:val="39"/>
    <w:rsid w:val="00CD3F77"/>
    <w:pPr>
      <w:tabs>
        <w:tab w:val="left" w:pos="1400"/>
        <w:tab w:val="left" w:pos="2700"/>
        <w:tab w:val="right" w:leader="dot" w:pos="9000"/>
      </w:tabs>
      <w:spacing w:before="120" w:after="120"/>
      <w:ind w:left="1080" w:firstLine="806"/>
    </w:pPr>
    <w:rPr>
      <w:noProof/>
    </w:rPr>
  </w:style>
  <w:style w:type="paragraph" w:styleId="TOC5">
    <w:name w:val="toc 5"/>
    <w:basedOn w:val="Normal"/>
    <w:next w:val="Normal"/>
    <w:autoRedefine/>
    <w:uiPriority w:val="39"/>
    <w:rsid w:val="00CD3F77"/>
    <w:pPr>
      <w:ind w:left="800"/>
    </w:pPr>
  </w:style>
  <w:style w:type="paragraph" w:styleId="TOC6">
    <w:name w:val="toc 6"/>
    <w:basedOn w:val="Normal"/>
    <w:next w:val="Normal"/>
    <w:autoRedefine/>
    <w:uiPriority w:val="39"/>
    <w:rsid w:val="00CD3F77"/>
    <w:pPr>
      <w:ind w:left="1000"/>
    </w:pPr>
  </w:style>
  <w:style w:type="paragraph" w:styleId="TOC7">
    <w:name w:val="toc 7"/>
    <w:basedOn w:val="Normal"/>
    <w:next w:val="Normal"/>
    <w:autoRedefine/>
    <w:uiPriority w:val="39"/>
    <w:rsid w:val="00CD3F77"/>
    <w:pPr>
      <w:ind w:left="1200"/>
    </w:pPr>
  </w:style>
  <w:style w:type="paragraph" w:styleId="TOC8">
    <w:name w:val="toc 8"/>
    <w:basedOn w:val="Normal"/>
    <w:next w:val="Normal"/>
    <w:autoRedefine/>
    <w:uiPriority w:val="39"/>
    <w:rsid w:val="00CD3F77"/>
    <w:pPr>
      <w:ind w:left="1400"/>
    </w:pPr>
  </w:style>
  <w:style w:type="paragraph" w:styleId="TOC9">
    <w:name w:val="toc 9"/>
    <w:basedOn w:val="Normal"/>
    <w:next w:val="Normal"/>
    <w:autoRedefine/>
    <w:uiPriority w:val="39"/>
    <w:rsid w:val="00CD3F77"/>
    <w:pPr>
      <w:ind w:left="1600"/>
    </w:pPr>
  </w:style>
  <w:style w:type="character" w:styleId="PageNumber">
    <w:name w:val="page number"/>
    <w:basedOn w:val="DefaultParagraphFont"/>
    <w:rsid w:val="00CD3F77"/>
  </w:style>
  <w:style w:type="character" w:styleId="Hyperlink">
    <w:name w:val="Hyperlink"/>
    <w:basedOn w:val="DefaultParagraphFont"/>
    <w:uiPriority w:val="99"/>
    <w:rsid w:val="00CD3F77"/>
    <w:rPr>
      <w:color w:val="0000FF"/>
      <w:u w:val="single"/>
    </w:rPr>
  </w:style>
  <w:style w:type="paragraph" w:customStyle="1" w:styleId="bullets">
    <w:name w:val="bullets"/>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1440"/>
    </w:pPr>
    <w:rPr>
      <w:snapToGrid w:val="0"/>
    </w:rPr>
  </w:style>
  <w:style w:type="paragraph" w:customStyle="1" w:styleId="Body">
    <w:name w:val="Body"/>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ind w:firstLine="720"/>
      <w:jc w:val="both"/>
    </w:pPr>
    <w:rPr>
      <w:snapToGrid w:val="0"/>
    </w:rPr>
  </w:style>
  <w:style w:type="paragraph" w:customStyle="1" w:styleId="body1">
    <w:name w:val="body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chapter">
    <w:name w:val="chapter"/>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figure">
    <w:name w:val="figure"/>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color w:val="000000"/>
    </w:rPr>
  </w:style>
  <w:style w:type="paragraph" w:customStyle="1" w:styleId="fnotereference">
    <w:name w:val="fnote reference"/>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16"/>
      <w:vertAlign w:val="superscript"/>
    </w:rPr>
  </w:style>
  <w:style w:type="paragraph" w:customStyle="1" w:styleId="fnotetext">
    <w:name w:val="fnote text"/>
    <w:basedOn w:val="Normal"/>
    <w:rsid w:val="00CD3F77"/>
    <w:rPr>
      <w:color w:val="000000"/>
    </w:rPr>
  </w:style>
  <w:style w:type="paragraph" w:customStyle="1" w:styleId="Footer1">
    <w:name w:val="Footer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right"/>
    </w:pPr>
    <w:rPr>
      <w:color w:val="000000"/>
      <w:sz w:val="36"/>
    </w:rPr>
  </w:style>
  <w:style w:type="paragraph" w:customStyle="1" w:styleId="Footnote">
    <w:name w:val="Footnote"/>
    <w:basedOn w:val="Normal"/>
    <w:rsid w:val="00CD3F77"/>
    <w:pPr>
      <w:ind w:left="360" w:right="360"/>
    </w:pPr>
    <w:rPr>
      <w:color w:val="000000"/>
    </w:rPr>
  </w:style>
  <w:style w:type="paragraph" w:customStyle="1" w:styleId="greyheader">
    <w:name w:val="grey header"/>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center"/>
    </w:pPr>
    <w:rPr>
      <w:i/>
      <w:color w:val="000000"/>
    </w:rPr>
  </w:style>
  <w:style w:type="paragraph" w:customStyle="1" w:styleId="greybox">
    <w:name w:val="greybox"/>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both"/>
    </w:pPr>
    <w:rPr>
      <w:color w:val="000000"/>
    </w:rPr>
  </w:style>
  <w:style w:type="paragraph" w:customStyle="1" w:styleId="Header1">
    <w:name w:val="Header1"/>
    <w:basedOn w:val="Normal"/>
    <w:rsid w:val="00CD3F77"/>
    <w:rPr>
      <w:color w:val="000000"/>
    </w:rPr>
  </w:style>
  <w:style w:type="paragraph" w:customStyle="1" w:styleId="Heading11">
    <w:name w:val="Heading 1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caps/>
      <w:color w:val="000000"/>
    </w:rPr>
  </w:style>
  <w:style w:type="paragraph" w:customStyle="1" w:styleId="Heading21">
    <w:name w:val="Heading 2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20" w:lineRule="atLeast"/>
      <w:jc w:val="both"/>
    </w:pPr>
    <w:rPr>
      <w:b/>
      <w:color w:val="000000"/>
    </w:rPr>
  </w:style>
  <w:style w:type="paragraph" w:customStyle="1" w:styleId="Heading31">
    <w:name w:val="Heading 3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Heading41">
    <w:name w:val="Heading 41"/>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40" w:lineRule="atLeast"/>
      <w:ind w:left="360"/>
      <w:jc w:val="center"/>
    </w:pPr>
    <w:rPr>
      <w:color w:val="000000"/>
      <w:sz w:val="36"/>
    </w:rPr>
  </w:style>
  <w:style w:type="paragraph" w:customStyle="1" w:styleId="Heading51">
    <w:name w:val="Heading 5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b/>
      <w:color w:val="000000"/>
    </w:rPr>
  </w:style>
  <w:style w:type="paragraph" w:customStyle="1" w:styleId="Heading61">
    <w:name w:val="Heading 6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color w:val="000000"/>
      <w:u w:val="single"/>
    </w:rPr>
  </w:style>
  <w:style w:type="paragraph" w:customStyle="1" w:styleId="Heading71">
    <w:name w:val="Heading 7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81">
    <w:name w:val="Heading 8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91">
    <w:name w:val="Heading 9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main">
    <w:name w:val="heading main"/>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indent3">
    <w:name w:val="indent 3"/>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jc w:val="both"/>
    </w:pPr>
    <w:rPr>
      <w:color w:val="000000"/>
    </w:rPr>
  </w:style>
  <w:style w:type="paragraph" w:customStyle="1" w:styleId="inputlist">
    <w:name w:val="input list"/>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ourier New" w:hAnsi="Courier New"/>
      <w:color w:val="000000"/>
    </w:rPr>
  </w:style>
  <w:style w:type="character" w:customStyle="1" w:styleId="arrow">
    <w:name w:val="arrow"/>
    <w:basedOn w:val="DefaultParagraphFont"/>
    <w:rsid w:val="00CD3F77"/>
    <w:rPr>
      <w:rFonts w:ascii="Symbol" w:hAnsi="Symbol"/>
      <w:sz w:val="24"/>
    </w:rPr>
  </w:style>
  <w:style w:type="character" w:customStyle="1" w:styleId="blank">
    <w:name w:val="blank"/>
    <w:basedOn w:val="DefaultParagraphFont"/>
    <w:rsid w:val="00CD3F77"/>
    <w:rPr>
      <w:rFonts w:ascii="Courier New" w:hAnsi="Courier New"/>
      <w:b/>
      <w:strike/>
      <w:sz w:val="24"/>
    </w:rPr>
  </w:style>
  <w:style w:type="character" w:customStyle="1" w:styleId="EquationVariables">
    <w:name w:val="EquationVariables"/>
    <w:basedOn w:val="DefaultParagraphFont"/>
    <w:rsid w:val="00CD3F77"/>
    <w:rPr>
      <w:i/>
    </w:rPr>
  </w:style>
  <w:style w:type="character" w:customStyle="1" w:styleId="input">
    <w:name w:val="input"/>
    <w:basedOn w:val="DefaultParagraphFont"/>
    <w:rsid w:val="00CD3F77"/>
    <w:rPr>
      <w:rFonts w:ascii="Courier New" w:hAnsi="Courier New"/>
      <w:sz w:val="24"/>
    </w:rPr>
  </w:style>
  <w:style w:type="character" w:customStyle="1" w:styleId="inputbold">
    <w:name w:val="input bold"/>
    <w:basedOn w:val="DefaultParagraphFont"/>
    <w:rsid w:val="00CD3F77"/>
    <w:rPr>
      <w:rFonts w:ascii="Courier New" w:hAnsi="Courier New"/>
      <w:b/>
      <w:sz w:val="24"/>
    </w:rPr>
  </w:style>
  <w:style w:type="character" w:customStyle="1" w:styleId="inputcomments">
    <w:name w:val="input comments"/>
    <w:basedOn w:val="DefaultParagraphFont"/>
    <w:rsid w:val="00CD3F77"/>
    <w:rPr>
      <w:rFonts w:ascii="Courier New" w:hAnsi="Courier New"/>
      <w:sz w:val="24"/>
    </w:rPr>
  </w:style>
  <w:style w:type="character" w:customStyle="1" w:styleId="MTEquationSection">
    <w:name w:val="MTEquationSection"/>
    <w:basedOn w:val="DefaultParagraphFont"/>
    <w:rsid w:val="00CD3F77"/>
    <w:rPr>
      <w:vanish w:val="0"/>
      <w:color w:val="FF0000"/>
    </w:rPr>
  </w:style>
  <w:style w:type="paragraph" w:customStyle="1" w:styleId="body-text">
    <w:name w:val="body-text"/>
    <w:basedOn w:val="Normal"/>
    <w:rsid w:val="00CD3F77"/>
    <w:rPr>
      <w:rFonts w:ascii="Arial Unicode MS" w:eastAsia="Arial Unicode MS" w:hAnsi="Arial Unicode MS" w:cs="Arial Unicode MS"/>
    </w:rPr>
  </w:style>
  <w:style w:type="paragraph" w:customStyle="1" w:styleId="paragraphindent">
    <w:name w:val="paragraph indent"/>
    <w:basedOn w:val="NormalIndent"/>
    <w:link w:val="paragraphindentChar"/>
    <w:qFormat/>
    <w:rsid w:val="00CD3F77"/>
    <w:pPr>
      <w:tabs>
        <w:tab w:val="left" w:pos="720"/>
      </w:tabs>
      <w:ind w:left="0"/>
      <w:jc w:val="both"/>
    </w:pPr>
  </w:style>
  <w:style w:type="character" w:customStyle="1" w:styleId="paragraphindentChar">
    <w:name w:val="paragraph indent Char"/>
    <w:basedOn w:val="NormalIndentChar"/>
    <w:link w:val="paragraphindent"/>
    <w:rsid w:val="00CD3F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CD3F77"/>
    <w:rPr>
      <w:rFonts w:ascii="Tahoma" w:hAnsi="Tahoma" w:cs="Tahoma"/>
      <w:sz w:val="16"/>
      <w:szCs w:val="16"/>
    </w:rPr>
  </w:style>
  <w:style w:type="character" w:customStyle="1" w:styleId="BalloonTextChar">
    <w:name w:val="Balloon Text Char"/>
    <w:basedOn w:val="DefaultParagraphFont"/>
    <w:link w:val="BalloonText"/>
    <w:uiPriority w:val="99"/>
    <w:semiHidden/>
    <w:rsid w:val="00CD3F77"/>
    <w:rPr>
      <w:rFonts w:ascii="Tahoma" w:eastAsia="Times New Roman" w:hAnsi="Tahoma" w:cs="Tahoma"/>
      <w:sz w:val="16"/>
      <w:szCs w:val="16"/>
    </w:rPr>
  </w:style>
  <w:style w:type="character" w:customStyle="1" w:styleId="CommentSubjectChar">
    <w:name w:val="Comment Subject Char"/>
    <w:basedOn w:val="CommentTextChar"/>
    <w:link w:val="CommentSubject"/>
    <w:uiPriority w:val="99"/>
    <w:semiHidden/>
    <w:rsid w:val="00CD3F77"/>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uiPriority w:val="99"/>
    <w:semiHidden/>
    <w:rsid w:val="00CD3F77"/>
    <w:rPr>
      <w:b/>
      <w:bCs/>
      <w:sz w:val="20"/>
    </w:rPr>
  </w:style>
  <w:style w:type="paragraph" w:styleId="E-mailSignature">
    <w:name w:val="E-mail Signature"/>
    <w:basedOn w:val="Normal"/>
    <w:link w:val="E-mailSignatureChar"/>
    <w:rsid w:val="00CD3F77"/>
  </w:style>
  <w:style w:type="character" w:customStyle="1" w:styleId="E-mailSignatureChar">
    <w:name w:val="E-mail Signature Char"/>
    <w:basedOn w:val="DefaultParagraphFont"/>
    <w:link w:val="E-mailSignature"/>
    <w:rsid w:val="00CD3F77"/>
    <w:rPr>
      <w:rFonts w:ascii="Times New Roman" w:eastAsia="Times New Roman" w:hAnsi="Times New Roman" w:cs="Times New Roman"/>
      <w:sz w:val="24"/>
      <w:szCs w:val="24"/>
    </w:rPr>
  </w:style>
  <w:style w:type="paragraph" w:styleId="HTMLAddress">
    <w:name w:val="HTML Address"/>
    <w:basedOn w:val="Normal"/>
    <w:link w:val="HTMLAddressChar"/>
    <w:rsid w:val="00CD3F77"/>
    <w:rPr>
      <w:i/>
      <w:iCs/>
    </w:rPr>
  </w:style>
  <w:style w:type="character" w:customStyle="1" w:styleId="HTMLAddressChar">
    <w:name w:val="HTML Address Char"/>
    <w:basedOn w:val="DefaultParagraphFont"/>
    <w:link w:val="HTMLAddress"/>
    <w:rsid w:val="00CD3F7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CD3F77"/>
    <w:rPr>
      <w:rFonts w:ascii="Courier New" w:hAnsi="Courier New" w:cs="Courier New"/>
      <w:sz w:val="20"/>
    </w:rPr>
  </w:style>
  <w:style w:type="character" w:customStyle="1" w:styleId="HTMLPreformattedChar">
    <w:name w:val="HTML Preformatted Char"/>
    <w:basedOn w:val="DefaultParagraphFont"/>
    <w:link w:val="HTMLPreformatted"/>
    <w:rsid w:val="00CD3F77"/>
    <w:rPr>
      <w:rFonts w:ascii="Courier New" w:eastAsia="Times New Roman" w:hAnsi="Courier New" w:cs="Courier New"/>
      <w:sz w:val="20"/>
      <w:szCs w:val="24"/>
    </w:rPr>
  </w:style>
  <w:style w:type="paragraph" w:styleId="NormalWeb">
    <w:name w:val="Normal (Web)"/>
    <w:basedOn w:val="Normal"/>
    <w:uiPriority w:val="99"/>
    <w:rsid w:val="00CD3F77"/>
  </w:style>
  <w:style w:type="character" w:styleId="FollowedHyperlink">
    <w:name w:val="FollowedHyperlink"/>
    <w:basedOn w:val="DefaultParagraphFont"/>
    <w:uiPriority w:val="99"/>
    <w:rsid w:val="00CD3F77"/>
    <w:rPr>
      <w:color w:val="800080"/>
      <w:u w:val="single"/>
    </w:rPr>
  </w:style>
  <w:style w:type="character" w:styleId="CommentReference">
    <w:name w:val="annotation reference"/>
    <w:basedOn w:val="DefaultParagraphFont"/>
    <w:uiPriority w:val="99"/>
    <w:rsid w:val="00CD3F77"/>
    <w:rPr>
      <w:sz w:val="16"/>
      <w:szCs w:val="16"/>
    </w:rPr>
  </w:style>
  <w:style w:type="paragraph" w:styleId="ListParagraph">
    <w:name w:val="List Paragraph"/>
    <w:basedOn w:val="Normal"/>
    <w:uiPriority w:val="34"/>
    <w:qFormat/>
    <w:rsid w:val="00CD3F77"/>
    <w:pPr>
      <w:ind w:left="720"/>
    </w:pPr>
  </w:style>
  <w:style w:type="table" w:styleId="TableGrid">
    <w:name w:val="Table Grid"/>
    <w:basedOn w:val="TableNormal"/>
    <w:rsid w:val="00CD3F77"/>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ORNLHeading1NotAllcaps">
    <w:name w:val="Style Heading 1ORNL Heading 1 + Not All caps"/>
    <w:basedOn w:val="Heading1"/>
    <w:rsid w:val="00CD3F77"/>
    <w:rPr>
      <w:caps w:val="0"/>
      <w:sz w:val="24"/>
    </w:rPr>
  </w:style>
  <w:style w:type="paragraph" w:customStyle="1" w:styleId="StyleHeading1ORNLHeading1NotAllcaps2">
    <w:name w:val="Style Heading 1ORNL Heading 1 + Not All caps2"/>
    <w:basedOn w:val="Heading1"/>
    <w:next w:val="StyleHeading1ORNLHeading1NotAllcaps"/>
    <w:rsid w:val="00CD3F77"/>
    <w:rPr>
      <w:caps w:val="0"/>
    </w:rPr>
  </w:style>
  <w:style w:type="paragraph" w:customStyle="1" w:styleId="StyleHeading2NotAllcaps">
    <w:name w:val="Style Heading 2 + Not All caps"/>
    <w:basedOn w:val="Heading2"/>
    <w:rsid w:val="00CD3F77"/>
    <w:pPr>
      <w:numPr>
        <w:ilvl w:val="0"/>
        <w:numId w:val="0"/>
      </w:numPr>
    </w:pPr>
    <w:rPr>
      <w:caps/>
    </w:rPr>
  </w:style>
  <w:style w:type="paragraph" w:customStyle="1" w:styleId="StyleHeading1ORNLHeading1NotAllcaps1">
    <w:name w:val="Style Heading 1ORNL Heading 1 + Not All caps1"/>
    <w:basedOn w:val="Heading1"/>
    <w:rsid w:val="00CD3F77"/>
    <w:pPr>
      <w:numPr>
        <w:numId w:val="0"/>
      </w:numPr>
    </w:pPr>
    <w:rPr>
      <w:rFonts w:ascii="Times New Roman Bold" w:hAnsi="Times New Roman Bold"/>
      <w:sz w:val="24"/>
    </w:rPr>
  </w:style>
  <w:style w:type="character" w:customStyle="1" w:styleId="CharChar35">
    <w:name w:val="Char Char35"/>
    <w:basedOn w:val="DefaultParagraphFont"/>
    <w:rsid w:val="00CD3F77"/>
    <w:rPr>
      <w:b/>
      <w:sz w:val="28"/>
      <w:lang w:val="en-US" w:eastAsia="en-US" w:bidi="ar-SA"/>
    </w:rPr>
  </w:style>
  <w:style w:type="paragraph" w:customStyle="1" w:styleId="Default">
    <w:name w:val="Default"/>
    <w:uiPriority w:val="99"/>
    <w:rsid w:val="00CD3F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otnoteReference">
    <w:name w:val="footnote reference"/>
    <w:basedOn w:val="DefaultParagraphFont"/>
    <w:rsid w:val="00CD3F77"/>
    <w:rPr>
      <w:rFonts w:cs="Times New Roman"/>
      <w:vertAlign w:val="superscript"/>
    </w:rPr>
  </w:style>
  <w:style w:type="paragraph" w:customStyle="1" w:styleId="desctiption">
    <w:name w:val="desctiption"/>
    <w:basedOn w:val="Normal"/>
    <w:uiPriority w:val="99"/>
    <w:rsid w:val="00CD3F77"/>
    <w:pPr>
      <w:ind w:left="1296" w:hanging="1008"/>
      <w:jc w:val="both"/>
    </w:pPr>
    <w:rPr>
      <w:rFonts w:ascii="Courier" w:eastAsia="SimSun" w:hAnsi="Courier"/>
      <w:lang w:eastAsia="zh-CN"/>
    </w:rPr>
  </w:style>
  <w:style w:type="paragraph" w:customStyle="1" w:styleId="Title1">
    <w:name w:val="Title1"/>
    <w:basedOn w:val="Heading1"/>
    <w:uiPriority w:val="99"/>
    <w:rsid w:val="00CD3F77"/>
    <w:pPr>
      <w:wordWrap w:val="0"/>
      <w:spacing w:after="0" w:line="320" w:lineRule="exact"/>
    </w:pPr>
    <w:rPr>
      <w:rFonts w:ascii="Arial" w:eastAsia="Dotum" w:hAnsi="Arial"/>
      <w:b w:val="0"/>
      <w:caps w:val="0"/>
      <w:kern w:val="2"/>
      <w:lang w:eastAsia="ko-KR"/>
    </w:rPr>
  </w:style>
  <w:style w:type="paragraph" w:customStyle="1" w:styleId="NUREG">
    <w:name w:val="NUREG"/>
    <w:basedOn w:val="Normal"/>
    <w:qFormat/>
    <w:rsid w:val="00CD3F77"/>
    <w:rPr>
      <w:sz w:val="22"/>
    </w:rPr>
  </w:style>
  <w:style w:type="paragraph" w:customStyle="1" w:styleId="Paragraph">
    <w:name w:val="Paragraph"/>
    <w:basedOn w:val="Normal"/>
    <w:rsid w:val="00CD3F77"/>
    <w:pPr>
      <w:tabs>
        <w:tab w:val="left" w:pos="360"/>
      </w:tabs>
      <w:spacing w:after="120"/>
    </w:pPr>
    <w:rPr>
      <w:sz w:val="22"/>
      <w:szCs w:val="20"/>
    </w:rPr>
  </w:style>
  <w:style w:type="paragraph" w:customStyle="1" w:styleId="StyleJustifiedFirstline05Before6ptAfter6pt">
    <w:name w:val="Style Justified First line:  0.5&quot; Before:  6 pt After:  6 pt"/>
    <w:basedOn w:val="Normal"/>
    <w:qFormat/>
    <w:rsid w:val="00CD3F77"/>
    <w:pPr>
      <w:spacing w:after="220"/>
      <w:jc w:val="both"/>
    </w:pPr>
    <w:rPr>
      <w:sz w:val="22"/>
      <w:szCs w:val="20"/>
    </w:rPr>
  </w:style>
  <w:style w:type="paragraph" w:customStyle="1" w:styleId="StyleJustified">
    <w:name w:val="Style Justified"/>
    <w:basedOn w:val="Normal"/>
    <w:qFormat/>
    <w:rsid w:val="00CD3F77"/>
    <w:pPr>
      <w:jc w:val="both"/>
    </w:pPr>
    <w:rPr>
      <w:sz w:val="22"/>
      <w:szCs w:val="20"/>
    </w:rPr>
  </w:style>
  <w:style w:type="paragraph" w:customStyle="1" w:styleId="StyleStyleHeading2NotAllcapsJustifiedLeft0First">
    <w:name w:val="Style Style Heading 2 + Not All caps + Justified Left:  0&quot; First ..."/>
    <w:basedOn w:val="StyleHeading2NotAllcaps"/>
    <w:qFormat/>
    <w:rsid w:val="00CD3F77"/>
    <w:pPr>
      <w:jc w:val="both"/>
    </w:pPr>
    <w:rPr>
      <w:rFonts w:cs="Times New Roman"/>
      <w:szCs w:val="20"/>
    </w:rPr>
  </w:style>
  <w:style w:type="paragraph" w:customStyle="1" w:styleId="StyleHeading4Before0pt">
    <w:name w:val="Style Heading 4 + Before:  0 pt"/>
    <w:basedOn w:val="Heading4"/>
    <w:qFormat/>
    <w:rsid w:val="00CD3F77"/>
    <w:pPr>
      <w:tabs>
        <w:tab w:val="left" w:pos="864"/>
      </w:tabs>
      <w:spacing w:before="0"/>
    </w:pPr>
    <w:rPr>
      <w:szCs w:val="20"/>
    </w:rPr>
  </w:style>
  <w:style w:type="paragraph" w:customStyle="1" w:styleId="StyleBodyTextFirstIndentFirstline0">
    <w:name w:val="Style Body Text First Indent + First line:  0&quot;"/>
    <w:basedOn w:val="BodyTextFirstIndent"/>
    <w:qFormat/>
    <w:rsid w:val="00CD3F77"/>
    <w:pPr>
      <w:tabs>
        <w:tab w:val="left" w:pos="1296"/>
      </w:tabs>
      <w:ind w:left="1296" w:hanging="1296"/>
    </w:pPr>
    <w:rPr>
      <w:szCs w:val="20"/>
    </w:rPr>
  </w:style>
  <w:style w:type="paragraph" w:customStyle="1" w:styleId="StyleBaseTimesNewRoman12ptJustified">
    <w:name w:val="Style Base + Times New Roman 12 pt Justified"/>
    <w:basedOn w:val="Normal"/>
    <w:rsid w:val="00CD3F77"/>
    <w:pPr>
      <w:widowControl w:val="0"/>
      <w:autoSpaceDE w:val="0"/>
      <w:autoSpaceDN w:val="0"/>
      <w:adjustRightInd w:val="0"/>
      <w:ind w:firstLine="360"/>
      <w:jc w:val="both"/>
    </w:pPr>
    <w:rPr>
      <w:rFonts w:eastAsiaTheme="minorEastAsia" w:cstheme="minorBidi"/>
      <w:sz w:val="22"/>
      <w:szCs w:val="22"/>
    </w:rPr>
  </w:style>
  <w:style w:type="paragraph" w:customStyle="1" w:styleId="Base">
    <w:name w:val="Base"/>
    <w:rsid w:val="00CD3F77"/>
    <w:pPr>
      <w:widowControl w:val="0"/>
      <w:autoSpaceDE w:val="0"/>
      <w:autoSpaceDN w:val="0"/>
      <w:adjustRightInd w:val="0"/>
      <w:spacing w:after="0" w:line="240" w:lineRule="auto"/>
      <w:ind w:firstLine="360"/>
    </w:pPr>
    <w:rPr>
      <w:rFonts w:ascii="Arial" w:eastAsiaTheme="minorEastAsia" w:hAnsi="Arial"/>
    </w:rPr>
  </w:style>
  <w:style w:type="paragraph" w:customStyle="1" w:styleId="StyleBaseTimesNewRoman">
    <w:name w:val="Style Base + Times New Roman"/>
    <w:basedOn w:val="Base"/>
    <w:rsid w:val="00CD3F77"/>
    <w:rPr>
      <w:rFonts w:ascii="Times New Roman" w:hAnsi="Times New Roman"/>
    </w:rPr>
  </w:style>
  <w:style w:type="paragraph" w:customStyle="1" w:styleId="orange">
    <w:name w:val="orange"/>
    <w:basedOn w:val="Normal"/>
    <w:rsid w:val="00CD3F77"/>
    <w:pPr>
      <w:spacing w:before="100" w:beforeAutospacing="1" w:after="100" w:afterAutospacing="1"/>
      <w:ind w:firstLine="360"/>
    </w:pPr>
    <w:rPr>
      <w:rFonts w:asciiTheme="minorHAnsi" w:eastAsiaTheme="minorEastAsia" w:hAnsiTheme="minorHAnsi" w:cstheme="minorBidi"/>
      <w:snapToGrid w:val="0"/>
    </w:rPr>
  </w:style>
  <w:style w:type="paragraph" w:customStyle="1" w:styleId="StyleBaseTimesNewRoman12ptCentered">
    <w:name w:val="Style Base + Times New Roman 12 pt Centered"/>
    <w:basedOn w:val="Normal"/>
    <w:rsid w:val="00CD3F77"/>
    <w:pPr>
      <w:widowControl w:val="0"/>
      <w:autoSpaceDE w:val="0"/>
      <w:autoSpaceDN w:val="0"/>
      <w:adjustRightInd w:val="0"/>
      <w:ind w:firstLine="360"/>
      <w:jc w:val="center"/>
    </w:pPr>
    <w:rPr>
      <w:rFonts w:eastAsiaTheme="minorEastAsia" w:cstheme="minorBidi"/>
      <w:sz w:val="22"/>
      <w:szCs w:val="22"/>
    </w:rPr>
  </w:style>
  <w:style w:type="paragraph" w:customStyle="1" w:styleId="Annalstext">
    <w:name w:val="Annals text"/>
    <w:basedOn w:val="Normal"/>
    <w:rsid w:val="00CD3F77"/>
    <w:pPr>
      <w:numPr>
        <w:numId w:val="24"/>
      </w:numPr>
      <w:tabs>
        <w:tab w:val="left" w:pos="851"/>
      </w:tabs>
      <w:jc w:val="both"/>
    </w:pPr>
    <w:rPr>
      <w:snapToGrid w:val="0"/>
      <w:szCs w:val="20"/>
      <w:lang w:val="en-GB" w:eastAsia="sv-SE"/>
    </w:rPr>
  </w:style>
  <w:style w:type="paragraph" w:customStyle="1" w:styleId="TableFootnote">
    <w:name w:val="Table Footnote"/>
    <w:basedOn w:val="BodyText"/>
    <w:rsid w:val="00CD3F77"/>
    <w:pPr>
      <w:widowControl w:val="0"/>
      <w:spacing w:before="120"/>
      <w:jc w:val="both"/>
    </w:pPr>
    <w:rPr>
      <w:i/>
      <w:sz w:val="18"/>
      <w:szCs w:val="20"/>
      <w:lang w:val="en-GB" w:eastAsia="sv-SE"/>
    </w:rPr>
  </w:style>
  <w:style w:type="character" w:styleId="Strong">
    <w:name w:val="Strong"/>
    <w:basedOn w:val="DefaultParagraphFont"/>
    <w:uiPriority w:val="22"/>
    <w:qFormat/>
    <w:rsid w:val="00CD3F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qFormat="1"/>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indent"/>
    <w:qFormat/>
    <w:rsid w:val="00CD3F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F77"/>
    <w:pPr>
      <w:keepNext/>
      <w:widowControl w:val="0"/>
      <w:numPr>
        <w:numId w:val="11"/>
      </w:numPr>
      <w:tabs>
        <w:tab w:val="left" w:pos="360"/>
      </w:tabs>
      <w:overflowPunct w:val="0"/>
      <w:autoSpaceDE w:val="0"/>
      <w:autoSpaceDN w:val="0"/>
      <w:adjustRightInd w:val="0"/>
      <w:spacing w:after="360"/>
      <w:jc w:val="center"/>
      <w:textAlignment w:val="baseline"/>
      <w:outlineLvl w:val="0"/>
    </w:pPr>
    <w:rPr>
      <w:rFonts w:cs="Arial"/>
      <w:b/>
      <w:bCs/>
      <w:caps/>
      <w:snapToGrid w:val="0"/>
      <w:kern w:val="32"/>
      <w:sz w:val="28"/>
      <w:szCs w:val="28"/>
    </w:rPr>
  </w:style>
  <w:style w:type="paragraph" w:styleId="Heading2">
    <w:name w:val="heading 2"/>
    <w:basedOn w:val="Normal"/>
    <w:next w:val="Normal"/>
    <w:link w:val="Heading2Char"/>
    <w:qFormat/>
    <w:rsid w:val="00CD3F77"/>
    <w:pPr>
      <w:keepNext/>
      <w:numPr>
        <w:ilvl w:val="1"/>
        <w:numId w:val="11"/>
      </w:numPr>
      <w:tabs>
        <w:tab w:val="left" w:pos="547"/>
      </w:tabs>
      <w:spacing w:before="240" w:after="240"/>
      <w:outlineLvl w:val="1"/>
    </w:pPr>
    <w:rPr>
      <w:rFonts w:ascii="Times New Roman Bold" w:hAnsi="Times New Roman Bold" w:cs="Arial"/>
      <w:b/>
      <w:bCs/>
      <w:szCs w:val="28"/>
    </w:rPr>
  </w:style>
  <w:style w:type="paragraph" w:styleId="Heading3">
    <w:name w:val="heading 3"/>
    <w:basedOn w:val="Normal"/>
    <w:next w:val="Normal"/>
    <w:link w:val="Heading3Char"/>
    <w:qFormat/>
    <w:rsid w:val="00CD3F77"/>
    <w:pPr>
      <w:keepNext/>
      <w:widowControl w:val="0"/>
      <w:numPr>
        <w:ilvl w:val="2"/>
        <w:numId w:val="11"/>
      </w:numPr>
      <w:tabs>
        <w:tab w:val="left" w:pos="756"/>
      </w:tabs>
      <w:overflowPunct w:val="0"/>
      <w:autoSpaceDE w:val="0"/>
      <w:autoSpaceDN w:val="0"/>
      <w:adjustRightInd w:val="0"/>
      <w:spacing w:before="240" w:after="240"/>
      <w:textAlignment w:val="baseline"/>
      <w:outlineLvl w:val="2"/>
    </w:pPr>
    <w:rPr>
      <w:rFonts w:cs="Arial"/>
      <w:b/>
      <w:bCs/>
      <w:snapToGrid w:val="0"/>
      <w:sz w:val="22"/>
    </w:rPr>
  </w:style>
  <w:style w:type="paragraph" w:styleId="Heading4">
    <w:name w:val="heading 4"/>
    <w:basedOn w:val="Normal"/>
    <w:next w:val="Normal"/>
    <w:link w:val="Heading4Char"/>
    <w:qFormat/>
    <w:rsid w:val="00CD3F77"/>
    <w:pPr>
      <w:keepNext/>
      <w:numPr>
        <w:ilvl w:val="3"/>
        <w:numId w:val="11"/>
      </w:numPr>
      <w:tabs>
        <w:tab w:val="left" w:pos="900"/>
      </w:tabs>
      <w:spacing w:before="240" w:after="240"/>
      <w:outlineLvl w:val="3"/>
    </w:pPr>
    <w:rPr>
      <w:b/>
      <w:bCs/>
      <w:sz w:val="22"/>
    </w:rPr>
  </w:style>
  <w:style w:type="paragraph" w:styleId="Heading5">
    <w:name w:val="heading 5"/>
    <w:basedOn w:val="Normal"/>
    <w:next w:val="Normal"/>
    <w:link w:val="Heading5Char"/>
    <w:qFormat/>
    <w:rsid w:val="00CD3F77"/>
    <w:pPr>
      <w:numPr>
        <w:ilvl w:val="4"/>
        <w:numId w:val="13"/>
      </w:numPr>
      <w:spacing w:before="240" w:after="60"/>
      <w:outlineLvl w:val="4"/>
    </w:pPr>
    <w:rPr>
      <w:sz w:val="22"/>
      <w:szCs w:val="20"/>
    </w:rPr>
  </w:style>
  <w:style w:type="paragraph" w:styleId="Heading6">
    <w:name w:val="heading 6"/>
    <w:basedOn w:val="Normal"/>
    <w:next w:val="Normal"/>
    <w:link w:val="Heading6Char"/>
    <w:qFormat/>
    <w:rsid w:val="00CD3F77"/>
    <w:pPr>
      <w:numPr>
        <w:ilvl w:val="5"/>
        <w:numId w:val="13"/>
      </w:numPr>
      <w:spacing w:before="240" w:after="60"/>
      <w:outlineLvl w:val="5"/>
    </w:pPr>
    <w:rPr>
      <w:i/>
      <w:sz w:val="22"/>
      <w:szCs w:val="20"/>
    </w:rPr>
  </w:style>
  <w:style w:type="paragraph" w:styleId="Heading7">
    <w:name w:val="heading 7"/>
    <w:basedOn w:val="APPENDIX"/>
    <w:next w:val="Normal"/>
    <w:link w:val="Heading7Char"/>
    <w:qFormat/>
    <w:rsid w:val="00CD3F77"/>
    <w:pPr>
      <w:numPr>
        <w:numId w:val="15"/>
      </w:numPr>
      <w:outlineLvl w:val="6"/>
    </w:pPr>
    <w:rPr>
      <w:b w:val="0"/>
      <w:sz w:val="24"/>
    </w:rPr>
  </w:style>
  <w:style w:type="paragraph" w:styleId="Heading8">
    <w:name w:val="heading 8"/>
    <w:basedOn w:val="Normal"/>
    <w:next w:val="Normal"/>
    <w:link w:val="Heading8Char"/>
    <w:qFormat/>
    <w:rsid w:val="00CD3F77"/>
    <w:pPr>
      <w:numPr>
        <w:ilvl w:val="7"/>
        <w:numId w:val="13"/>
      </w:numPr>
      <w:spacing w:before="240" w:after="60"/>
      <w:outlineLvl w:val="7"/>
    </w:pPr>
    <w:rPr>
      <w:rFonts w:ascii="Arial" w:hAnsi="Arial"/>
      <w:i/>
      <w:sz w:val="20"/>
      <w:szCs w:val="20"/>
    </w:rPr>
  </w:style>
  <w:style w:type="paragraph" w:styleId="Heading9">
    <w:name w:val="heading 9"/>
    <w:basedOn w:val="Normal"/>
    <w:next w:val="Normal"/>
    <w:link w:val="Heading9Char"/>
    <w:qFormat/>
    <w:rsid w:val="00CD3F77"/>
    <w:pPr>
      <w:numPr>
        <w:ilvl w:val="8"/>
        <w:numId w:val="1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CD3F77"/>
    <w:pPr>
      <w:spacing w:line="240" w:lineRule="exact"/>
      <w:jc w:val="both"/>
    </w:pPr>
    <w:rPr>
      <w:rFonts w:ascii="Times" w:hAnsi="Times"/>
    </w:rPr>
  </w:style>
  <w:style w:type="character" w:customStyle="1" w:styleId="Heading1Char">
    <w:name w:val="Heading 1 Char"/>
    <w:basedOn w:val="DefaultParagraphFont"/>
    <w:link w:val="Heading1"/>
    <w:rsid w:val="00CD3F77"/>
    <w:rPr>
      <w:rFonts w:ascii="Times New Roman" w:eastAsia="Times New Roman" w:hAnsi="Times New Roman" w:cs="Arial"/>
      <w:b/>
      <w:bCs/>
      <w:caps/>
      <w:snapToGrid w:val="0"/>
      <w:kern w:val="32"/>
      <w:sz w:val="28"/>
      <w:szCs w:val="28"/>
    </w:rPr>
  </w:style>
  <w:style w:type="character" w:customStyle="1" w:styleId="Heading2Char">
    <w:name w:val="Heading 2 Char"/>
    <w:basedOn w:val="DefaultParagraphFont"/>
    <w:link w:val="Heading2"/>
    <w:rsid w:val="00CD3F77"/>
    <w:rPr>
      <w:rFonts w:ascii="Times New Roman Bold" w:eastAsia="Times New Roman" w:hAnsi="Times New Roman Bold" w:cs="Arial"/>
      <w:b/>
      <w:bCs/>
      <w:sz w:val="24"/>
      <w:szCs w:val="28"/>
    </w:rPr>
  </w:style>
  <w:style w:type="character" w:customStyle="1" w:styleId="Heading3Char">
    <w:name w:val="Heading 3 Char"/>
    <w:basedOn w:val="DefaultParagraphFont"/>
    <w:link w:val="Heading3"/>
    <w:rsid w:val="00CD3F77"/>
    <w:rPr>
      <w:rFonts w:ascii="Times New Roman" w:eastAsia="Times New Roman" w:hAnsi="Times New Roman" w:cs="Arial"/>
      <w:b/>
      <w:bCs/>
      <w:snapToGrid w:val="0"/>
      <w:szCs w:val="24"/>
    </w:rPr>
  </w:style>
  <w:style w:type="character" w:customStyle="1" w:styleId="Heading4Char">
    <w:name w:val="Heading 4 Char"/>
    <w:basedOn w:val="DefaultParagraphFont"/>
    <w:link w:val="Heading4"/>
    <w:rsid w:val="00CD3F77"/>
    <w:rPr>
      <w:rFonts w:ascii="Times New Roman" w:eastAsia="Times New Roman" w:hAnsi="Times New Roman" w:cs="Times New Roman"/>
      <w:b/>
      <w:bCs/>
      <w:szCs w:val="24"/>
    </w:rPr>
  </w:style>
  <w:style w:type="character" w:customStyle="1" w:styleId="Heading5Char">
    <w:name w:val="Heading 5 Char"/>
    <w:basedOn w:val="DefaultParagraphFont"/>
    <w:link w:val="Heading5"/>
    <w:rsid w:val="00CD3F77"/>
    <w:rPr>
      <w:rFonts w:ascii="Times New Roman" w:eastAsia="Times New Roman" w:hAnsi="Times New Roman" w:cs="Times New Roman"/>
      <w:szCs w:val="20"/>
    </w:rPr>
  </w:style>
  <w:style w:type="character" w:customStyle="1" w:styleId="Heading6Char">
    <w:name w:val="Heading 6 Char"/>
    <w:basedOn w:val="DefaultParagraphFont"/>
    <w:link w:val="Heading6"/>
    <w:rsid w:val="00CD3F77"/>
    <w:rPr>
      <w:rFonts w:ascii="Times New Roman" w:eastAsia="Times New Roman" w:hAnsi="Times New Roman" w:cs="Times New Roman"/>
      <w:i/>
      <w:szCs w:val="20"/>
    </w:rPr>
  </w:style>
  <w:style w:type="paragraph" w:customStyle="1" w:styleId="APPENDIX">
    <w:name w:val="APPENDIX"/>
    <w:basedOn w:val="AbstractHead"/>
    <w:next w:val="BodyTextFirstIndent"/>
    <w:qFormat/>
    <w:rsid w:val="00CD3F77"/>
    <w:pPr>
      <w:numPr>
        <w:numId w:val="12"/>
      </w:numPr>
    </w:pPr>
  </w:style>
  <w:style w:type="paragraph" w:customStyle="1" w:styleId="AbstractHead">
    <w:name w:val="Abstract Head"/>
    <w:basedOn w:val="Heading1"/>
    <w:next w:val="BodyTextFirstIndent"/>
    <w:qFormat/>
    <w:rsid w:val="00CD3F77"/>
    <w:pPr>
      <w:numPr>
        <w:numId w:val="0"/>
      </w:numPr>
      <w:spacing w:after="480"/>
    </w:pPr>
    <w:rPr>
      <w:bCs w:val="0"/>
      <w:szCs w:val="32"/>
    </w:rPr>
  </w:style>
  <w:style w:type="paragraph" w:styleId="BodyTextFirstIndent">
    <w:name w:val="Body Text First Indent"/>
    <w:basedOn w:val="BodyText"/>
    <w:link w:val="BodyTextFirstIndentChar"/>
    <w:rsid w:val="00CD3F77"/>
    <w:pPr>
      <w:ind w:firstLine="210"/>
    </w:pPr>
  </w:style>
  <w:style w:type="paragraph" w:styleId="BodyText">
    <w:name w:val="Body Text"/>
    <w:basedOn w:val="Normal"/>
    <w:link w:val="BodyTextChar"/>
    <w:rsid w:val="00CD3F77"/>
  </w:style>
  <w:style w:type="character" w:customStyle="1" w:styleId="BodyTextChar">
    <w:name w:val="Body Text Char"/>
    <w:basedOn w:val="DefaultParagraphFont"/>
    <w:link w:val="BodyText"/>
    <w:rsid w:val="00CD3F77"/>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D3F77"/>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D3F77"/>
    <w:rPr>
      <w:rFonts w:ascii="Times New Roman" w:eastAsia="Times New Roman" w:hAnsi="Times New Roman" w:cs="Arial"/>
      <w:caps/>
      <w:snapToGrid w:val="0"/>
      <w:kern w:val="32"/>
      <w:sz w:val="24"/>
      <w:szCs w:val="32"/>
    </w:rPr>
  </w:style>
  <w:style w:type="character" w:customStyle="1" w:styleId="Heading8Char">
    <w:name w:val="Heading 8 Char"/>
    <w:basedOn w:val="DefaultParagraphFont"/>
    <w:link w:val="Heading8"/>
    <w:rsid w:val="00CD3F77"/>
    <w:rPr>
      <w:rFonts w:ascii="Arial" w:eastAsia="Times New Roman" w:hAnsi="Arial" w:cs="Times New Roman"/>
      <w:i/>
      <w:sz w:val="20"/>
      <w:szCs w:val="20"/>
    </w:rPr>
  </w:style>
  <w:style w:type="character" w:customStyle="1" w:styleId="Heading9Char">
    <w:name w:val="Heading 9 Char"/>
    <w:basedOn w:val="DefaultParagraphFont"/>
    <w:link w:val="Heading9"/>
    <w:rsid w:val="00CD3F77"/>
    <w:rPr>
      <w:rFonts w:ascii="Arial" w:eastAsia="Times New Roman" w:hAnsi="Arial" w:cs="Times New Roman"/>
      <w:b/>
      <w:i/>
      <w:sz w:val="18"/>
      <w:szCs w:val="20"/>
    </w:rPr>
  </w:style>
  <w:style w:type="paragraph" w:styleId="Header">
    <w:name w:val="header"/>
    <w:basedOn w:val="Normal"/>
    <w:link w:val="HeaderChar"/>
    <w:rsid w:val="00CD3F77"/>
    <w:pPr>
      <w:tabs>
        <w:tab w:val="center" w:pos="4320"/>
        <w:tab w:val="right" w:pos="8640"/>
      </w:tabs>
      <w:jc w:val="center"/>
    </w:pPr>
    <w:rPr>
      <w:b/>
      <w:caps/>
      <w:sz w:val="32"/>
      <w:szCs w:val="32"/>
    </w:rPr>
  </w:style>
  <w:style w:type="character" w:customStyle="1" w:styleId="HeaderChar">
    <w:name w:val="Header Char"/>
    <w:basedOn w:val="DefaultParagraphFont"/>
    <w:link w:val="Header"/>
    <w:rsid w:val="00CD3F77"/>
    <w:rPr>
      <w:rFonts w:ascii="Times New Roman" w:eastAsia="Times New Roman" w:hAnsi="Times New Roman" w:cs="Times New Roman"/>
      <w:b/>
      <w:caps/>
      <w:sz w:val="32"/>
      <w:szCs w:val="32"/>
    </w:rPr>
  </w:style>
  <w:style w:type="paragraph" w:customStyle="1" w:styleId="Style1">
    <w:name w:val="Style1"/>
    <w:basedOn w:val="Normal"/>
    <w:rsid w:val="00CD3F77"/>
    <w:pPr>
      <w:keepNext/>
      <w:tabs>
        <w:tab w:val="left" w:pos="720"/>
        <w:tab w:val="num" w:pos="1080"/>
      </w:tabs>
      <w:spacing w:before="360" w:after="240"/>
      <w:ind w:left="792" w:hanging="432"/>
      <w:outlineLvl w:val="1"/>
    </w:pPr>
    <w:rPr>
      <w:rFonts w:ascii="Arial" w:hAnsi="Arial"/>
      <w:b/>
      <w:sz w:val="28"/>
    </w:rPr>
  </w:style>
  <w:style w:type="paragraph" w:customStyle="1" w:styleId="ORNLHeading2">
    <w:name w:val="ORNL Heading 2"/>
    <w:basedOn w:val="Heading2"/>
    <w:autoRedefine/>
    <w:rsid w:val="00CD3F77"/>
    <w:pPr>
      <w:spacing w:before="360"/>
      <w:outlineLvl w:val="0"/>
    </w:pPr>
    <w:rPr>
      <w:i/>
      <w:caps/>
    </w:rPr>
  </w:style>
  <w:style w:type="paragraph" w:styleId="PlainText">
    <w:name w:val="Plain Text"/>
    <w:basedOn w:val="Normal"/>
    <w:link w:val="PlainTextChar"/>
    <w:rsid w:val="00CD3F77"/>
    <w:rPr>
      <w:rFonts w:ascii="Courier New" w:hAnsi="Courier New"/>
    </w:rPr>
  </w:style>
  <w:style w:type="character" w:customStyle="1" w:styleId="PlainTextChar">
    <w:name w:val="Plain Text Char"/>
    <w:basedOn w:val="DefaultParagraphFont"/>
    <w:link w:val="PlainText"/>
    <w:rsid w:val="00CD3F77"/>
    <w:rPr>
      <w:rFonts w:ascii="Courier New" w:eastAsia="Times New Roman" w:hAnsi="Courier New" w:cs="Times New Roman"/>
      <w:sz w:val="24"/>
      <w:szCs w:val="24"/>
    </w:rPr>
  </w:style>
  <w:style w:type="paragraph" w:styleId="BlockText">
    <w:name w:val="Block Text"/>
    <w:basedOn w:val="Normal"/>
    <w:rsid w:val="00CD3F77"/>
    <w:pPr>
      <w:spacing w:after="120"/>
      <w:ind w:left="1440" w:right="1440"/>
    </w:pPr>
  </w:style>
  <w:style w:type="paragraph" w:styleId="BodyText2">
    <w:name w:val="Body Text 2"/>
    <w:basedOn w:val="Normal"/>
    <w:link w:val="BodyText2Char"/>
    <w:rsid w:val="00CD3F77"/>
    <w:pPr>
      <w:spacing w:after="120" w:line="480" w:lineRule="auto"/>
    </w:pPr>
  </w:style>
  <w:style w:type="character" w:customStyle="1" w:styleId="BodyText2Char">
    <w:name w:val="Body Text 2 Char"/>
    <w:basedOn w:val="DefaultParagraphFont"/>
    <w:link w:val="BodyText2"/>
    <w:rsid w:val="00CD3F77"/>
    <w:rPr>
      <w:rFonts w:ascii="Times New Roman" w:eastAsia="Times New Roman" w:hAnsi="Times New Roman" w:cs="Times New Roman"/>
      <w:sz w:val="24"/>
      <w:szCs w:val="24"/>
    </w:rPr>
  </w:style>
  <w:style w:type="paragraph" w:styleId="BodyText3">
    <w:name w:val="Body Text 3"/>
    <w:basedOn w:val="Normal"/>
    <w:link w:val="BodyText3Char"/>
    <w:rsid w:val="00CD3F77"/>
    <w:pPr>
      <w:spacing w:after="120"/>
    </w:pPr>
    <w:rPr>
      <w:sz w:val="16"/>
    </w:rPr>
  </w:style>
  <w:style w:type="character" w:customStyle="1" w:styleId="BodyText3Char">
    <w:name w:val="Body Text 3 Char"/>
    <w:basedOn w:val="DefaultParagraphFont"/>
    <w:link w:val="BodyText3"/>
    <w:rsid w:val="00CD3F77"/>
    <w:rPr>
      <w:rFonts w:ascii="Times New Roman" w:eastAsia="Times New Roman" w:hAnsi="Times New Roman" w:cs="Times New Roman"/>
      <w:sz w:val="16"/>
      <w:szCs w:val="24"/>
    </w:rPr>
  </w:style>
  <w:style w:type="paragraph" w:styleId="BodyTextIndent">
    <w:name w:val="Body Text Indent"/>
    <w:basedOn w:val="Normal"/>
    <w:link w:val="BodyTextIndentChar"/>
    <w:rsid w:val="00CD3F77"/>
    <w:pPr>
      <w:ind w:left="360"/>
    </w:pPr>
  </w:style>
  <w:style w:type="character" w:customStyle="1" w:styleId="BodyTextIndentChar">
    <w:name w:val="Body Text Indent Char"/>
    <w:basedOn w:val="DefaultParagraphFont"/>
    <w:link w:val="BodyTextIndent"/>
    <w:rsid w:val="00CD3F7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CD3F77"/>
    <w:pPr>
      <w:ind w:firstLine="210"/>
    </w:pPr>
  </w:style>
  <w:style w:type="character" w:customStyle="1" w:styleId="BodyTextFirstIndent2Char">
    <w:name w:val="Body Text First Indent 2 Char"/>
    <w:basedOn w:val="BodyTextIndentChar"/>
    <w:link w:val="BodyTextFirstIndent2"/>
    <w:rsid w:val="00CD3F77"/>
    <w:rPr>
      <w:rFonts w:ascii="Times New Roman" w:eastAsia="Times New Roman" w:hAnsi="Times New Roman" w:cs="Times New Roman"/>
      <w:sz w:val="24"/>
      <w:szCs w:val="24"/>
    </w:rPr>
  </w:style>
  <w:style w:type="paragraph" w:styleId="BodyTextIndent2">
    <w:name w:val="Body Text Indent 2"/>
    <w:basedOn w:val="Normal"/>
    <w:link w:val="BodyTextIndent2Char"/>
    <w:rsid w:val="00CD3F77"/>
    <w:pPr>
      <w:spacing w:after="120" w:line="480" w:lineRule="auto"/>
      <w:ind w:left="360"/>
    </w:pPr>
  </w:style>
  <w:style w:type="character" w:customStyle="1" w:styleId="BodyTextIndent2Char">
    <w:name w:val="Body Text Indent 2 Char"/>
    <w:basedOn w:val="DefaultParagraphFont"/>
    <w:link w:val="BodyTextIndent2"/>
    <w:rsid w:val="00CD3F77"/>
    <w:rPr>
      <w:rFonts w:ascii="Times New Roman" w:eastAsia="Times New Roman" w:hAnsi="Times New Roman" w:cs="Times New Roman"/>
      <w:sz w:val="24"/>
      <w:szCs w:val="24"/>
    </w:rPr>
  </w:style>
  <w:style w:type="paragraph" w:styleId="BodyTextIndent3">
    <w:name w:val="Body Text Indent 3"/>
    <w:basedOn w:val="Normal"/>
    <w:link w:val="BodyTextIndent3Char"/>
    <w:rsid w:val="00CD3F77"/>
    <w:pPr>
      <w:spacing w:after="120"/>
      <w:ind w:left="360"/>
    </w:pPr>
    <w:rPr>
      <w:sz w:val="16"/>
    </w:rPr>
  </w:style>
  <w:style w:type="character" w:customStyle="1" w:styleId="BodyTextIndent3Char">
    <w:name w:val="Body Text Indent 3 Char"/>
    <w:basedOn w:val="DefaultParagraphFont"/>
    <w:link w:val="BodyTextIndent3"/>
    <w:rsid w:val="00CD3F77"/>
    <w:rPr>
      <w:rFonts w:ascii="Times New Roman" w:eastAsia="Times New Roman" w:hAnsi="Times New Roman" w:cs="Times New Roman"/>
      <w:sz w:val="16"/>
      <w:szCs w:val="24"/>
    </w:rPr>
  </w:style>
  <w:style w:type="paragraph" w:styleId="Caption">
    <w:name w:val="caption"/>
    <w:aliases w:val="Caption Figures"/>
    <w:basedOn w:val="Normal"/>
    <w:next w:val="Normal"/>
    <w:uiPriority w:val="35"/>
    <w:qFormat/>
    <w:rsid w:val="00CD3F77"/>
    <w:pPr>
      <w:tabs>
        <w:tab w:val="left" w:pos="1152"/>
      </w:tabs>
      <w:spacing w:before="120"/>
      <w:jc w:val="center"/>
    </w:pPr>
    <w:rPr>
      <w:b/>
      <w:sz w:val="20"/>
      <w:szCs w:val="22"/>
    </w:rPr>
  </w:style>
  <w:style w:type="paragraph" w:styleId="Closing">
    <w:name w:val="Closing"/>
    <w:basedOn w:val="Normal"/>
    <w:link w:val="ClosingChar"/>
    <w:rsid w:val="00CD3F77"/>
    <w:pPr>
      <w:ind w:left="4320"/>
    </w:pPr>
  </w:style>
  <w:style w:type="character" w:customStyle="1" w:styleId="ClosingChar">
    <w:name w:val="Closing Char"/>
    <w:basedOn w:val="DefaultParagraphFont"/>
    <w:link w:val="Closing"/>
    <w:rsid w:val="00CD3F77"/>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D3F77"/>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CD3F77"/>
  </w:style>
  <w:style w:type="paragraph" w:styleId="Date">
    <w:name w:val="Date"/>
    <w:basedOn w:val="Normal"/>
    <w:next w:val="Normal"/>
    <w:link w:val="DateChar"/>
    <w:rsid w:val="00CD3F77"/>
  </w:style>
  <w:style w:type="character" w:customStyle="1" w:styleId="DateChar">
    <w:name w:val="Date Char"/>
    <w:basedOn w:val="DefaultParagraphFont"/>
    <w:link w:val="Date"/>
    <w:rsid w:val="00CD3F77"/>
    <w:rPr>
      <w:rFonts w:ascii="Times New Roman" w:eastAsia="Times New Roman" w:hAnsi="Times New Roman" w:cs="Times New Roman"/>
      <w:sz w:val="24"/>
      <w:szCs w:val="24"/>
    </w:rPr>
  </w:style>
  <w:style w:type="paragraph" w:styleId="DocumentMap">
    <w:name w:val="Document Map"/>
    <w:basedOn w:val="Normal"/>
    <w:link w:val="DocumentMapChar"/>
    <w:uiPriority w:val="99"/>
    <w:rsid w:val="00CD3F77"/>
    <w:pPr>
      <w:shd w:val="clear" w:color="auto" w:fill="000080"/>
    </w:pPr>
    <w:rPr>
      <w:rFonts w:ascii="Tahoma" w:hAnsi="Tahoma"/>
    </w:rPr>
  </w:style>
  <w:style w:type="character" w:customStyle="1" w:styleId="DocumentMapChar">
    <w:name w:val="Document Map Char"/>
    <w:basedOn w:val="DefaultParagraphFont"/>
    <w:link w:val="DocumentMap"/>
    <w:uiPriority w:val="99"/>
    <w:rsid w:val="00CD3F77"/>
    <w:rPr>
      <w:rFonts w:ascii="Tahoma" w:eastAsia="Times New Roman" w:hAnsi="Tahoma" w:cs="Times New Roman"/>
      <w:sz w:val="24"/>
      <w:szCs w:val="24"/>
      <w:shd w:val="clear" w:color="auto" w:fill="000080"/>
    </w:rPr>
  </w:style>
  <w:style w:type="character" w:customStyle="1" w:styleId="EndnoteTextChar">
    <w:name w:val="Endnote Text Char"/>
    <w:basedOn w:val="DefaultParagraphFont"/>
    <w:link w:val="EndnoteText"/>
    <w:semiHidden/>
    <w:rsid w:val="00CD3F77"/>
    <w:rPr>
      <w:rFonts w:ascii="Times New Roman" w:eastAsia="Times New Roman" w:hAnsi="Times New Roman" w:cs="Times New Roman"/>
      <w:sz w:val="24"/>
      <w:szCs w:val="24"/>
    </w:rPr>
  </w:style>
  <w:style w:type="paragraph" w:styleId="EndnoteText">
    <w:name w:val="endnote text"/>
    <w:basedOn w:val="Normal"/>
    <w:link w:val="EndnoteTextChar"/>
    <w:semiHidden/>
    <w:rsid w:val="00CD3F77"/>
  </w:style>
  <w:style w:type="paragraph" w:styleId="EnvelopeAddress">
    <w:name w:val="envelope address"/>
    <w:basedOn w:val="Normal"/>
    <w:rsid w:val="00CD3F77"/>
    <w:pPr>
      <w:framePr w:w="7920" w:h="1980" w:hRule="exact" w:hSpace="180" w:wrap="auto" w:hAnchor="page" w:xAlign="center" w:yAlign="bottom"/>
      <w:ind w:left="2880"/>
    </w:pPr>
    <w:rPr>
      <w:rFonts w:ascii="Arial" w:hAnsi="Arial"/>
    </w:rPr>
  </w:style>
  <w:style w:type="paragraph" w:styleId="EnvelopeReturn">
    <w:name w:val="envelope return"/>
    <w:basedOn w:val="Normal"/>
    <w:rsid w:val="00CD3F77"/>
    <w:rPr>
      <w:rFonts w:ascii="Arial" w:hAnsi="Arial"/>
    </w:rPr>
  </w:style>
  <w:style w:type="paragraph" w:styleId="Footer">
    <w:name w:val="footer"/>
    <w:basedOn w:val="Normal"/>
    <w:link w:val="FooterChar"/>
    <w:uiPriority w:val="99"/>
    <w:rsid w:val="00CD3F77"/>
    <w:pPr>
      <w:tabs>
        <w:tab w:val="center" w:pos="4320"/>
        <w:tab w:val="right" w:pos="8640"/>
      </w:tabs>
    </w:pPr>
  </w:style>
  <w:style w:type="character" w:customStyle="1" w:styleId="FooterChar">
    <w:name w:val="Footer Char"/>
    <w:basedOn w:val="DefaultParagraphFont"/>
    <w:link w:val="Footer"/>
    <w:uiPriority w:val="99"/>
    <w:rsid w:val="00CD3F77"/>
    <w:rPr>
      <w:rFonts w:ascii="Times New Roman" w:eastAsia="Times New Roman" w:hAnsi="Times New Roman" w:cs="Times New Roman"/>
      <w:sz w:val="24"/>
      <w:szCs w:val="24"/>
    </w:rPr>
  </w:style>
  <w:style w:type="paragraph" w:styleId="FootnoteText">
    <w:name w:val="footnote text"/>
    <w:basedOn w:val="Normal"/>
    <w:link w:val="FootnoteTextChar"/>
    <w:rsid w:val="00CD3F77"/>
  </w:style>
  <w:style w:type="character" w:customStyle="1" w:styleId="FootnoteTextChar">
    <w:name w:val="Footnote Text Char"/>
    <w:basedOn w:val="DefaultParagraphFont"/>
    <w:link w:val="FootnoteText"/>
    <w:rsid w:val="00CD3F77"/>
    <w:rPr>
      <w:rFonts w:ascii="Times New Roman" w:eastAsia="Times New Roman" w:hAnsi="Times New Roman" w:cs="Times New Roman"/>
      <w:sz w:val="24"/>
      <w:szCs w:val="24"/>
    </w:rPr>
  </w:style>
  <w:style w:type="paragraph" w:styleId="Index1">
    <w:name w:val="index 1"/>
    <w:basedOn w:val="Normal"/>
    <w:next w:val="Normal"/>
    <w:autoRedefine/>
    <w:semiHidden/>
    <w:rsid w:val="00CD3F77"/>
    <w:pPr>
      <w:ind w:left="200" w:hanging="200"/>
    </w:pPr>
  </w:style>
  <w:style w:type="paragraph" w:styleId="List">
    <w:name w:val="List"/>
    <w:basedOn w:val="Normal"/>
    <w:rsid w:val="00CD3F77"/>
    <w:pPr>
      <w:ind w:left="360" w:hanging="360"/>
    </w:pPr>
  </w:style>
  <w:style w:type="paragraph" w:styleId="List2">
    <w:name w:val="List 2"/>
    <w:basedOn w:val="Normal"/>
    <w:rsid w:val="00CD3F77"/>
    <w:pPr>
      <w:ind w:left="720" w:hanging="360"/>
    </w:pPr>
  </w:style>
  <w:style w:type="paragraph" w:styleId="List3">
    <w:name w:val="List 3"/>
    <w:basedOn w:val="Normal"/>
    <w:rsid w:val="00CD3F77"/>
    <w:pPr>
      <w:ind w:left="1080" w:hanging="360"/>
    </w:pPr>
  </w:style>
  <w:style w:type="paragraph" w:styleId="List4">
    <w:name w:val="List 4"/>
    <w:basedOn w:val="Normal"/>
    <w:rsid w:val="00CD3F77"/>
    <w:pPr>
      <w:ind w:left="1440" w:hanging="360"/>
    </w:pPr>
  </w:style>
  <w:style w:type="paragraph" w:styleId="List5">
    <w:name w:val="List 5"/>
    <w:basedOn w:val="Normal"/>
    <w:rsid w:val="00CD3F77"/>
    <w:pPr>
      <w:ind w:left="1800" w:hanging="360"/>
    </w:pPr>
  </w:style>
  <w:style w:type="paragraph" w:styleId="ListBullet">
    <w:name w:val="List Bullet"/>
    <w:basedOn w:val="Normal"/>
    <w:autoRedefine/>
    <w:rsid w:val="00CD3F77"/>
    <w:pPr>
      <w:numPr>
        <w:numId w:val="1"/>
      </w:numPr>
    </w:pPr>
  </w:style>
  <w:style w:type="paragraph" w:styleId="ListBullet2">
    <w:name w:val="List Bullet 2"/>
    <w:basedOn w:val="Normal"/>
    <w:autoRedefine/>
    <w:rsid w:val="00CD3F77"/>
    <w:pPr>
      <w:numPr>
        <w:numId w:val="2"/>
      </w:numPr>
    </w:pPr>
  </w:style>
  <w:style w:type="paragraph" w:styleId="ListBullet3">
    <w:name w:val="List Bullet 3"/>
    <w:basedOn w:val="Normal"/>
    <w:autoRedefine/>
    <w:rsid w:val="00CD3F77"/>
    <w:pPr>
      <w:numPr>
        <w:numId w:val="3"/>
      </w:numPr>
    </w:pPr>
  </w:style>
  <w:style w:type="paragraph" w:styleId="ListBullet4">
    <w:name w:val="List Bullet 4"/>
    <w:basedOn w:val="Normal"/>
    <w:autoRedefine/>
    <w:rsid w:val="00CD3F77"/>
    <w:pPr>
      <w:numPr>
        <w:numId w:val="4"/>
      </w:numPr>
    </w:pPr>
  </w:style>
  <w:style w:type="paragraph" w:styleId="ListBullet5">
    <w:name w:val="List Bullet 5"/>
    <w:basedOn w:val="Normal"/>
    <w:autoRedefine/>
    <w:rsid w:val="00CD3F77"/>
    <w:pPr>
      <w:numPr>
        <w:numId w:val="5"/>
      </w:numPr>
    </w:pPr>
  </w:style>
  <w:style w:type="paragraph" w:styleId="ListContinue">
    <w:name w:val="List Continue"/>
    <w:basedOn w:val="Normal"/>
    <w:rsid w:val="00CD3F77"/>
    <w:pPr>
      <w:spacing w:after="120"/>
      <w:ind w:left="360"/>
    </w:pPr>
  </w:style>
  <w:style w:type="paragraph" w:styleId="ListContinue2">
    <w:name w:val="List Continue 2"/>
    <w:basedOn w:val="Normal"/>
    <w:rsid w:val="00CD3F77"/>
    <w:pPr>
      <w:spacing w:after="120"/>
      <w:ind w:left="720"/>
    </w:pPr>
  </w:style>
  <w:style w:type="paragraph" w:styleId="ListContinue3">
    <w:name w:val="List Continue 3"/>
    <w:basedOn w:val="Normal"/>
    <w:rsid w:val="00CD3F77"/>
    <w:pPr>
      <w:spacing w:after="120"/>
      <w:ind w:left="1080"/>
    </w:pPr>
  </w:style>
  <w:style w:type="paragraph" w:styleId="ListContinue4">
    <w:name w:val="List Continue 4"/>
    <w:basedOn w:val="Normal"/>
    <w:rsid w:val="00CD3F77"/>
    <w:pPr>
      <w:spacing w:after="120"/>
      <w:ind w:left="1440"/>
    </w:pPr>
  </w:style>
  <w:style w:type="paragraph" w:styleId="ListContinue5">
    <w:name w:val="List Continue 5"/>
    <w:basedOn w:val="Normal"/>
    <w:rsid w:val="00CD3F77"/>
    <w:pPr>
      <w:spacing w:after="120"/>
      <w:ind w:left="1800"/>
    </w:pPr>
  </w:style>
  <w:style w:type="paragraph" w:styleId="ListNumber">
    <w:name w:val="List Number"/>
    <w:basedOn w:val="Normal"/>
    <w:rsid w:val="00CD3F77"/>
    <w:pPr>
      <w:numPr>
        <w:numId w:val="6"/>
      </w:numPr>
    </w:pPr>
  </w:style>
  <w:style w:type="paragraph" w:styleId="ListNumber2">
    <w:name w:val="List Number 2"/>
    <w:basedOn w:val="Normal"/>
    <w:rsid w:val="00CD3F77"/>
    <w:pPr>
      <w:numPr>
        <w:numId w:val="7"/>
      </w:numPr>
    </w:pPr>
  </w:style>
  <w:style w:type="paragraph" w:styleId="ListNumber3">
    <w:name w:val="List Number 3"/>
    <w:basedOn w:val="Normal"/>
    <w:rsid w:val="00CD3F77"/>
    <w:pPr>
      <w:numPr>
        <w:numId w:val="8"/>
      </w:numPr>
    </w:pPr>
  </w:style>
  <w:style w:type="paragraph" w:styleId="ListNumber4">
    <w:name w:val="List Number 4"/>
    <w:basedOn w:val="Normal"/>
    <w:rsid w:val="00CD3F77"/>
    <w:pPr>
      <w:numPr>
        <w:numId w:val="9"/>
      </w:numPr>
    </w:pPr>
  </w:style>
  <w:style w:type="paragraph" w:styleId="ListNumber5">
    <w:name w:val="List Number 5"/>
    <w:basedOn w:val="Normal"/>
    <w:rsid w:val="00CD3F77"/>
    <w:pPr>
      <w:numPr>
        <w:numId w:val="10"/>
      </w:numPr>
    </w:pPr>
  </w:style>
  <w:style w:type="character" w:customStyle="1" w:styleId="MacroTextChar">
    <w:name w:val="Macro Text Char"/>
    <w:basedOn w:val="DefaultParagraphFont"/>
    <w:link w:val="MacroText"/>
    <w:semiHidden/>
    <w:rsid w:val="00CD3F77"/>
    <w:rPr>
      <w:rFonts w:ascii="Courier New" w:eastAsia="Times New Roman" w:hAnsi="Courier New" w:cs="Times New Roman"/>
      <w:sz w:val="24"/>
      <w:szCs w:val="24"/>
    </w:rPr>
  </w:style>
  <w:style w:type="paragraph" w:styleId="MacroText">
    <w:name w:val="macro"/>
    <w:link w:val="MacroTextChar"/>
    <w:semiHidden/>
    <w:rsid w:val="00CD3F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4"/>
      <w:szCs w:val="24"/>
    </w:rPr>
  </w:style>
  <w:style w:type="paragraph" w:styleId="MessageHeader">
    <w:name w:val="Message Header"/>
    <w:basedOn w:val="Normal"/>
    <w:link w:val="MessageHeaderChar"/>
    <w:rsid w:val="00CD3F7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D3F77"/>
    <w:rPr>
      <w:rFonts w:ascii="Arial" w:eastAsia="Times New Roman" w:hAnsi="Arial" w:cs="Times New Roman"/>
      <w:sz w:val="24"/>
      <w:szCs w:val="24"/>
      <w:shd w:val="pct20" w:color="auto" w:fill="auto"/>
    </w:rPr>
  </w:style>
  <w:style w:type="paragraph" w:styleId="NormalIndent">
    <w:name w:val="Normal Indent"/>
    <w:basedOn w:val="Normal"/>
    <w:link w:val="NormalIndentChar"/>
    <w:rsid w:val="00CD3F77"/>
    <w:pPr>
      <w:ind w:left="720"/>
    </w:pPr>
  </w:style>
  <w:style w:type="character" w:customStyle="1" w:styleId="NormalIndentChar">
    <w:name w:val="Normal Indent Char"/>
    <w:basedOn w:val="DefaultParagraphFont"/>
    <w:link w:val="NormalIndent"/>
    <w:rsid w:val="00CD3F77"/>
    <w:rPr>
      <w:rFonts w:ascii="Times New Roman" w:eastAsia="Times New Roman" w:hAnsi="Times New Roman" w:cs="Times New Roman"/>
      <w:sz w:val="24"/>
      <w:szCs w:val="24"/>
    </w:rPr>
  </w:style>
  <w:style w:type="paragraph" w:styleId="NoteHeading">
    <w:name w:val="Note Heading"/>
    <w:basedOn w:val="Normal"/>
    <w:next w:val="Normal"/>
    <w:link w:val="NoteHeadingChar"/>
    <w:rsid w:val="00CD3F77"/>
  </w:style>
  <w:style w:type="character" w:customStyle="1" w:styleId="NoteHeadingChar">
    <w:name w:val="Note Heading Char"/>
    <w:basedOn w:val="DefaultParagraphFont"/>
    <w:link w:val="NoteHeading"/>
    <w:rsid w:val="00CD3F77"/>
    <w:rPr>
      <w:rFonts w:ascii="Times New Roman" w:eastAsia="Times New Roman" w:hAnsi="Times New Roman" w:cs="Times New Roman"/>
      <w:sz w:val="24"/>
      <w:szCs w:val="24"/>
    </w:rPr>
  </w:style>
  <w:style w:type="paragraph" w:styleId="Salutation">
    <w:name w:val="Salutation"/>
    <w:basedOn w:val="Normal"/>
    <w:next w:val="Normal"/>
    <w:link w:val="SalutationChar"/>
    <w:rsid w:val="00CD3F77"/>
  </w:style>
  <w:style w:type="character" w:customStyle="1" w:styleId="SalutationChar">
    <w:name w:val="Salutation Char"/>
    <w:basedOn w:val="DefaultParagraphFont"/>
    <w:link w:val="Salutation"/>
    <w:rsid w:val="00CD3F77"/>
    <w:rPr>
      <w:rFonts w:ascii="Times New Roman" w:eastAsia="Times New Roman" w:hAnsi="Times New Roman" w:cs="Times New Roman"/>
      <w:sz w:val="24"/>
      <w:szCs w:val="24"/>
    </w:rPr>
  </w:style>
  <w:style w:type="paragraph" w:styleId="Signature">
    <w:name w:val="Signature"/>
    <w:basedOn w:val="Normal"/>
    <w:link w:val="SignatureChar"/>
    <w:rsid w:val="00CD3F77"/>
    <w:pPr>
      <w:ind w:left="4320"/>
    </w:pPr>
  </w:style>
  <w:style w:type="character" w:customStyle="1" w:styleId="SignatureChar">
    <w:name w:val="Signature Char"/>
    <w:basedOn w:val="DefaultParagraphFont"/>
    <w:link w:val="Signature"/>
    <w:rsid w:val="00CD3F77"/>
    <w:rPr>
      <w:rFonts w:ascii="Times New Roman" w:eastAsia="Times New Roman" w:hAnsi="Times New Roman" w:cs="Times New Roman"/>
      <w:sz w:val="24"/>
      <w:szCs w:val="24"/>
    </w:rPr>
  </w:style>
  <w:style w:type="paragraph" w:styleId="Subtitle">
    <w:name w:val="Subtitle"/>
    <w:basedOn w:val="Normal"/>
    <w:link w:val="SubtitleChar"/>
    <w:qFormat/>
    <w:rsid w:val="00CD3F77"/>
    <w:pPr>
      <w:spacing w:after="60"/>
      <w:jc w:val="center"/>
      <w:outlineLvl w:val="1"/>
    </w:pPr>
    <w:rPr>
      <w:rFonts w:ascii="Arial" w:hAnsi="Arial"/>
    </w:rPr>
  </w:style>
  <w:style w:type="character" w:customStyle="1" w:styleId="SubtitleChar">
    <w:name w:val="Subtitle Char"/>
    <w:basedOn w:val="DefaultParagraphFont"/>
    <w:link w:val="Subtitle"/>
    <w:rsid w:val="00CD3F77"/>
    <w:rPr>
      <w:rFonts w:ascii="Arial" w:eastAsia="Times New Roman" w:hAnsi="Arial" w:cs="Times New Roman"/>
      <w:sz w:val="24"/>
      <w:szCs w:val="24"/>
    </w:rPr>
  </w:style>
  <w:style w:type="paragraph" w:styleId="TableofFigures">
    <w:name w:val="table of figures"/>
    <w:basedOn w:val="Normal"/>
    <w:next w:val="Normal"/>
    <w:uiPriority w:val="99"/>
    <w:qFormat/>
    <w:rsid w:val="00CD3F77"/>
    <w:pPr>
      <w:tabs>
        <w:tab w:val="left" w:pos="1296"/>
        <w:tab w:val="right" w:leader="dot" w:pos="9350"/>
      </w:tabs>
    </w:pPr>
    <w:rPr>
      <w:noProof/>
      <w:sz w:val="22"/>
    </w:rPr>
  </w:style>
  <w:style w:type="paragraph" w:styleId="Title">
    <w:name w:val="Title"/>
    <w:basedOn w:val="Normal"/>
    <w:link w:val="TitleChar"/>
    <w:qFormat/>
    <w:rsid w:val="00CD3F77"/>
    <w:pPr>
      <w:spacing w:after="240"/>
      <w:jc w:val="center"/>
      <w:outlineLvl w:val="0"/>
    </w:pPr>
    <w:rPr>
      <w:b/>
      <w:kern w:val="28"/>
      <w:sz w:val="32"/>
    </w:rPr>
  </w:style>
  <w:style w:type="character" w:customStyle="1" w:styleId="TitleChar">
    <w:name w:val="Title Char"/>
    <w:basedOn w:val="DefaultParagraphFont"/>
    <w:link w:val="Title"/>
    <w:rsid w:val="00CD3F77"/>
    <w:rPr>
      <w:rFonts w:ascii="Times New Roman" w:eastAsia="Times New Roman" w:hAnsi="Times New Roman" w:cs="Times New Roman"/>
      <w:b/>
      <w:kern w:val="28"/>
      <w:sz w:val="32"/>
      <w:szCs w:val="24"/>
    </w:rPr>
  </w:style>
  <w:style w:type="paragraph" w:styleId="TOC1">
    <w:name w:val="toc 1"/>
    <w:basedOn w:val="Normal"/>
    <w:next w:val="Normal"/>
    <w:uiPriority w:val="39"/>
    <w:qFormat/>
    <w:rsid w:val="00CD3F77"/>
    <w:pPr>
      <w:tabs>
        <w:tab w:val="left" w:pos="540"/>
        <w:tab w:val="right" w:leader="dot" w:pos="9360"/>
      </w:tabs>
      <w:spacing w:before="120" w:after="120"/>
    </w:pPr>
    <w:rPr>
      <w:noProof/>
      <w:sz w:val="22"/>
    </w:rPr>
  </w:style>
  <w:style w:type="paragraph" w:styleId="TOC2">
    <w:name w:val="toc 2"/>
    <w:basedOn w:val="Normal"/>
    <w:next w:val="Normal"/>
    <w:uiPriority w:val="39"/>
    <w:qFormat/>
    <w:rsid w:val="00CD3F77"/>
    <w:pPr>
      <w:tabs>
        <w:tab w:val="left" w:pos="540"/>
        <w:tab w:val="left" w:pos="1080"/>
        <w:tab w:val="right" w:leader="dot" w:pos="9360"/>
      </w:tabs>
      <w:spacing w:after="120"/>
      <w:ind w:left="1094" w:right="446" w:hanging="547"/>
    </w:pPr>
    <w:rPr>
      <w:noProof/>
      <w:sz w:val="22"/>
    </w:rPr>
  </w:style>
  <w:style w:type="paragraph" w:styleId="TOC3">
    <w:name w:val="toc 3"/>
    <w:basedOn w:val="Normal"/>
    <w:next w:val="Normal"/>
    <w:autoRedefine/>
    <w:uiPriority w:val="39"/>
    <w:qFormat/>
    <w:rsid w:val="00CD3F77"/>
    <w:pPr>
      <w:tabs>
        <w:tab w:val="left" w:pos="1200"/>
        <w:tab w:val="left" w:pos="1800"/>
        <w:tab w:val="right" w:leader="dot" w:pos="9360"/>
      </w:tabs>
      <w:spacing w:after="120"/>
      <w:ind w:left="1800" w:hanging="720"/>
    </w:pPr>
    <w:rPr>
      <w:noProof/>
      <w:sz w:val="22"/>
      <w:szCs w:val="28"/>
    </w:rPr>
  </w:style>
  <w:style w:type="paragraph" w:styleId="TOC4">
    <w:name w:val="toc 4"/>
    <w:basedOn w:val="Normal"/>
    <w:next w:val="Normal"/>
    <w:autoRedefine/>
    <w:uiPriority w:val="39"/>
    <w:rsid w:val="00CD3F77"/>
    <w:pPr>
      <w:tabs>
        <w:tab w:val="left" w:pos="1400"/>
        <w:tab w:val="left" w:pos="2700"/>
        <w:tab w:val="right" w:leader="dot" w:pos="9000"/>
      </w:tabs>
      <w:spacing w:before="120" w:after="120"/>
      <w:ind w:left="1080" w:firstLine="806"/>
    </w:pPr>
    <w:rPr>
      <w:noProof/>
    </w:rPr>
  </w:style>
  <w:style w:type="paragraph" w:styleId="TOC5">
    <w:name w:val="toc 5"/>
    <w:basedOn w:val="Normal"/>
    <w:next w:val="Normal"/>
    <w:autoRedefine/>
    <w:uiPriority w:val="39"/>
    <w:rsid w:val="00CD3F77"/>
    <w:pPr>
      <w:ind w:left="800"/>
    </w:pPr>
  </w:style>
  <w:style w:type="paragraph" w:styleId="TOC6">
    <w:name w:val="toc 6"/>
    <w:basedOn w:val="Normal"/>
    <w:next w:val="Normal"/>
    <w:autoRedefine/>
    <w:uiPriority w:val="39"/>
    <w:rsid w:val="00CD3F77"/>
    <w:pPr>
      <w:ind w:left="1000"/>
    </w:pPr>
  </w:style>
  <w:style w:type="paragraph" w:styleId="TOC7">
    <w:name w:val="toc 7"/>
    <w:basedOn w:val="Normal"/>
    <w:next w:val="Normal"/>
    <w:autoRedefine/>
    <w:uiPriority w:val="39"/>
    <w:rsid w:val="00CD3F77"/>
    <w:pPr>
      <w:ind w:left="1200"/>
    </w:pPr>
  </w:style>
  <w:style w:type="paragraph" w:styleId="TOC8">
    <w:name w:val="toc 8"/>
    <w:basedOn w:val="Normal"/>
    <w:next w:val="Normal"/>
    <w:autoRedefine/>
    <w:uiPriority w:val="39"/>
    <w:rsid w:val="00CD3F77"/>
    <w:pPr>
      <w:ind w:left="1400"/>
    </w:pPr>
  </w:style>
  <w:style w:type="paragraph" w:styleId="TOC9">
    <w:name w:val="toc 9"/>
    <w:basedOn w:val="Normal"/>
    <w:next w:val="Normal"/>
    <w:autoRedefine/>
    <w:uiPriority w:val="39"/>
    <w:rsid w:val="00CD3F77"/>
    <w:pPr>
      <w:ind w:left="1600"/>
    </w:pPr>
  </w:style>
  <w:style w:type="character" w:styleId="PageNumber">
    <w:name w:val="page number"/>
    <w:basedOn w:val="DefaultParagraphFont"/>
    <w:rsid w:val="00CD3F77"/>
  </w:style>
  <w:style w:type="character" w:styleId="Hyperlink">
    <w:name w:val="Hyperlink"/>
    <w:basedOn w:val="DefaultParagraphFont"/>
    <w:uiPriority w:val="99"/>
    <w:rsid w:val="00CD3F77"/>
    <w:rPr>
      <w:color w:val="0000FF"/>
      <w:u w:val="single"/>
    </w:rPr>
  </w:style>
  <w:style w:type="paragraph" w:customStyle="1" w:styleId="bullets">
    <w:name w:val="bullets"/>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1440"/>
    </w:pPr>
    <w:rPr>
      <w:snapToGrid w:val="0"/>
    </w:rPr>
  </w:style>
  <w:style w:type="paragraph" w:customStyle="1" w:styleId="Body">
    <w:name w:val="Body"/>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ind w:firstLine="720"/>
      <w:jc w:val="both"/>
    </w:pPr>
    <w:rPr>
      <w:snapToGrid w:val="0"/>
    </w:rPr>
  </w:style>
  <w:style w:type="paragraph" w:customStyle="1" w:styleId="body1">
    <w:name w:val="body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chapter">
    <w:name w:val="chapter"/>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figure">
    <w:name w:val="figure"/>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color w:val="000000"/>
    </w:rPr>
  </w:style>
  <w:style w:type="paragraph" w:customStyle="1" w:styleId="fnotereference">
    <w:name w:val="fnote reference"/>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16"/>
      <w:vertAlign w:val="superscript"/>
    </w:rPr>
  </w:style>
  <w:style w:type="paragraph" w:customStyle="1" w:styleId="fnotetext">
    <w:name w:val="fnote text"/>
    <w:basedOn w:val="Normal"/>
    <w:rsid w:val="00CD3F77"/>
    <w:rPr>
      <w:color w:val="000000"/>
    </w:rPr>
  </w:style>
  <w:style w:type="paragraph" w:customStyle="1" w:styleId="Footer1">
    <w:name w:val="Footer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right"/>
    </w:pPr>
    <w:rPr>
      <w:color w:val="000000"/>
      <w:sz w:val="36"/>
    </w:rPr>
  </w:style>
  <w:style w:type="paragraph" w:customStyle="1" w:styleId="Footnote">
    <w:name w:val="Footnote"/>
    <w:basedOn w:val="Normal"/>
    <w:rsid w:val="00CD3F77"/>
    <w:pPr>
      <w:ind w:left="360" w:right="360"/>
    </w:pPr>
    <w:rPr>
      <w:color w:val="000000"/>
    </w:rPr>
  </w:style>
  <w:style w:type="paragraph" w:customStyle="1" w:styleId="greyheader">
    <w:name w:val="grey header"/>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center"/>
    </w:pPr>
    <w:rPr>
      <w:i/>
      <w:color w:val="000000"/>
    </w:rPr>
  </w:style>
  <w:style w:type="paragraph" w:customStyle="1" w:styleId="greybox">
    <w:name w:val="greybox"/>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both"/>
    </w:pPr>
    <w:rPr>
      <w:color w:val="000000"/>
    </w:rPr>
  </w:style>
  <w:style w:type="paragraph" w:customStyle="1" w:styleId="Header1">
    <w:name w:val="Header1"/>
    <w:basedOn w:val="Normal"/>
    <w:rsid w:val="00CD3F77"/>
    <w:rPr>
      <w:color w:val="000000"/>
    </w:rPr>
  </w:style>
  <w:style w:type="paragraph" w:customStyle="1" w:styleId="Heading11">
    <w:name w:val="Heading 1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caps/>
      <w:color w:val="000000"/>
    </w:rPr>
  </w:style>
  <w:style w:type="paragraph" w:customStyle="1" w:styleId="Heading21">
    <w:name w:val="Heading 2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20" w:lineRule="atLeast"/>
      <w:jc w:val="both"/>
    </w:pPr>
    <w:rPr>
      <w:b/>
      <w:color w:val="000000"/>
    </w:rPr>
  </w:style>
  <w:style w:type="paragraph" w:customStyle="1" w:styleId="Heading31">
    <w:name w:val="Heading 3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Heading41">
    <w:name w:val="Heading 41"/>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40" w:lineRule="atLeast"/>
      <w:ind w:left="360"/>
      <w:jc w:val="center"/>
    </w:pPr>
    <w:rPr>
      <w:color w:val="000000"/>
      <w:sz w:val="36"/>
    </w:rPr>
  </w:style>
  <w:style w:type="paragraph" w:customStyle="1" w:styleId="Heading51">
    <w:name w:val="Heading 5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b/>
      <w:color w:val="000000"/>
    </w:rPr>
  </w:style>
  <w:style w:type="paragraph" w:customStyle="1" w:styleId="Heading61">
    <w:name w:val="Heading 6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color w:val="000000"/>
      <w:u w:val="single"/>
    </w:rPr>
  </w:style>
  <w:style w:type="paragraph" w:customStyle="1" w:styleId="Heading71">
    <w:name w:val="Heading 7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81">
    <w:name w:val="Heading 8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91">
    <w:name w:val="Heading 9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main">
    <w:name w:val="heading main"/>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indent3">
    <w:name w:val="indent 3"/>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jc w:val="both"/>
    </w:pPr>
    <w:rPr>
      <w:color w:val="000000"/>
    </w:rPr>
  </w:style>
  <w:style w:type="paragraph" w:customStyle="1" w:styleId="inputlist">
    <w:name w:val="input list"/>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ourier New" w:hAnsi="Courier New"/>
      <w:color w:val="000000"/>
    </w:rPr>
  </w:style>
  <w:style w:type="character" w:customStyle="1" w:styleId="arrow">
    <w:name w:val="arrow"/>
    <w:basedOn w:val="DefaultParagraphFont"/>
    <w:rsid w:val="00CD3F77"/>
    <w:rPr>
      <w:rFonts w:ascii="Symbol" w:hAnsi="Symbol"/>
      <w:sz w:val="24"/>
    </w:rPr>
  </w:style>
  <w:style w:type="character" w:customStyle="1" w:styleId="blank">
    <w:name w:val="blank"/>
    <w:basedOn w:val="DefaultParagraphFont"/>
    <w:rsid w:val="00CD3F77"/>
    <w:rPr>
      <w:rFonts w:ascii="Courier New" w:hAnsi="Courier New"/>
      <w:b/>
      <w:strike/>
      <w:sz w:val="24"/>
    </w:rPr>
  </w:style>
  <w:style w:type="character" w:customStyle="1" w:styleId="EquationVariables">
    <w:name w:val="EquationVariables"/>
    <w:basedOn w:val="DefaultParagraphFont"/>
    <w:rsid w:val="00CD3F77"/>
    <w:rPr>
      <w:i/>
    </w:rPr>
  </w:style>
  <w:style w:type="character" w:customStyle="1" w:styleId="input">
    <w:name w:val="input"/>
    <w:basedOn w:val="DefaultParagraphFont"/>
    <w:rsid w:val="00CD3F77"/>
    <w:rPr>
      <w:rFonts w:ascii="Courier New" w:hAnsi="Courier New"/>
      <w:sz w:val="24"/>
    </w:rPr>
  </w:style>
  <w:style w:type="character" w:customStyle="1" w:styleId="inputbold">
    <w:name w:val="input bold"/>
    <w:basedOn w:val="DefaultParagraphFont"/>
    <w:rsid w:val="00CD3F77"/>
    <w:rPr>
      <w:rFonts w:ascii="Courier New" w:hAnsi="Courier New"/>
      <w:b/>
      <w:sz w:val="24"/>
    </w:rPr>
  </w:style>
  <w:style w:type="character" w:customStyle="1" w:styleId="inputcomments">
    <w:name w:val="input comments"/>
    <w:basedOn w:val="DefaultParagraphFont"/>
    <w:rsid w:val="00CD3F77"/>
    <w:rPr>
      <w:rFonts w:ascii="Courier New" w:hAnsi="Courier New"/>
      <w:sz w:val="24"/>
    </w:rPr>
  </w:style>
  <w:style w:type="character" w:customStyle="1" w:styleId="MTEquationSection">
    <w:name w:val="MTEquationSection"/>
    <w:basedOn w:val="DefaultParagraphFont"/>
    <w:rsid w:val="00CD3F77"/>
    <w:rPr>
      <w:vanish w:val="0"/>
      <w:color w:val="FF0000"/>
    </w:rPr>
  </w:style>
  <w:style w:type="paragraph" w:customStyle="1" w:styleId="body-text">
    <w:name w:val="body-text"/>
    <w:basedOn w:val="Normal"/>
    <w:rsid w:val="00CD3F77"/>
    <w:rPr>
      <w:rFonts w:ascii="Arial Unicode MS" w:eastAsia="Arial Unicode MS" w:hAnsi="Arial Unicode MS" w:cs="Arial Unicode MS"/>
    </w:rPr>
  </w:style>
  <w:style w:type="paragraph" w:customStyle="1" w:styleId="paragraphindent">
    <w:name w:val="paragraph indent"/>
    <w:basedOn w:val="NormalIndent"/>
    <w:link w:val="paragraphindentChar"/>
    <w:qFormat/>
    <w:rsid w:val="00CD3F77"/>
    <w:pPr>
      <w:tabs>
        <w:tab w:val="left" w:pos="720"/>
      </w:tabs>
      <w:ind w:left="0"/>
      <w:jc w:val="both"/>
    </w:pPr>
  </w:style>
  <w:style w:type="character" w:customStyle="1" w:styleId="paragraphindentChar">
    <w:name w:val="paragraph indent Char"/>
    <w:basedOn w:val="NormalIndentChar"/>
    <w:link w:val="paragraphindent"/>
    <w:rsid w:val="00CD3F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CD3F77"/>
    <w:rPr>
      <w:rFonts w:ascii="Tahoma" w:hAnsi="Tahoma" w:cs="Tahoma"/>
      <w:sz w:val="16"/>
      <w:szCs w:val="16"/>
    </w:rPr>
  </w:style>
  <w:style w:type="character" w:customStyle="1" w:styleId="BalloonTextChar">
    <w:name w:val="Balloon Text Char"/>
    <w:basedOn w:val="DefaultParagraphFont"/>
    <w:link w:val="BalloonText"/>
    <w:uiPriority w:val="99"/>
    <w:semiHidden/>
    <w:rsid w:val="00CD3F77"/>
    <w:rPr>
      <w:rFonts w:ascii="Tahoma" w:eastAsia="Times New Roman" w:hAnsi="Tahoma" w:cs="Tahoma"/>
      <w:sz w:val="16"/>
      <w:szCs w:val="16"/>
    </w:rPr>
  </w:style>
  <w:style w:type="character" w:customStyle="1" w:styleId="CommentSubjectChar">
    <w:name w:val="Comment Subject Char"/>
    <w:basedOn w:val="CommentTextChar"/>
    <w:link w:val="CommentSubject"/>
    <w:uiPriority w:val="99"/>
    <w:semiHidden/>
    <w:rsid w:val="00CD3F77"/>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uiPriority w:val="99"/>
    <w:semiHidden/>
    <w:rsid w:val="00CD3F77"/>
    <w:rPr>
      <w:b/>
      <w:bCs/>
      <w:sz w:val="20"/>
    </w:rPr>
  </w:style>
  <w:style w:type="paragraph" w:styleId="E-mailSignature">
    <w:name w:val="E-mail Signature"/>
    <w:basedOn w:val="Normal"/>
    <w:link w:val="E-mailSignatureChar"/>
    <w:rsid w:val="00CD3F77"/>
  </w:style>
  <w:style w:type="character" w:customStyle="1" w:styleId="E-mailSignatureChar">
    <w:name w:val="E-mail Signature Char"/>
    <w:basedOn w:val="DefaultParagraphFont"/>
    <w:link w:val="E-mailSignature"/>
    <w:rsid w:val="00CD3F77"/>
    <w:rPr>
      <w:rFonts w:ascii="Times New Roman" w:eastAsia="Times New Roman" w:hAnsi="Times New Roman" w:cs="Times New Roman"/>
      <w:sz w:val="24"/>
      <w:szCs w:val="24"/>
    </w:rPr>
  </w:style>
  <w:style w:type="paragraph" w:styleId="HTMLAddress">
    <w:name w:val="HTML Address"/>
    <w:basedOn w:val="Normal"/>
    <w:link w:val="HTMLAddressChar"/>
    <w:rsid w:val="00CD3F77"/>
    <w:rPr>
      <w:i/>
      <w:iCs/>
    </w:rPr>
  </w:style>
  <w:style w:type="character" w:customStyle="1" w:styleId="HTMLAddressChar">
    <w:name w:val="HTML Address Char"/>
    <w:basedOn w:val="DefaultParagraphFont"/>
    <w:link w:val="HTMLAddress"/>
    <w:rsid w:val="00CD3F7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CD3F77"/>
    <w:rPr>
      <w:rFonts w:ascii="Courier New" w:hAnsi="Courier New" w:cs="Courier New"/>
      <w:sz w:val="20"/>
    </w:rPr>
  </w:style>
  <w:style w:type="character" w:customStyle="1" w:styleId="HTMLPreformattedChar">
    <w:name w:val="HTML Preformatted Char"/>
    <w:basedOn w:val="DefaultParagraphFont"/>
    <w:link w:val="HTMLPreformatted"/>
    <w:rsid w:val="00CD3F77"/>
    <w:rPr>
      <w:rFonts w:ascii="Courier New" w:eastAsia="Times New Roman" w:hAnsi="Courier New" w:cs="Courier New"/>
      <w:sz w:val="20"/>
      <w:szCs w:val="24"/>
    </w:rPr>
  </w:style>
  <w:style w:type="paragraph" w:styleId="NormalWeb">
    <w:name w:val="Normal (Web)"/>
    <w:basedOn w:val="Normal"/>
    <w:uiPriority w:val="99"/>
    <w:rsid w:val="00CD3F77"/>
  </w:style>
  <w:style w:type="character" w:styleId="FollowedHyperlink">
    <w:name w:val="FollowedHyperlink"/>
    <w:basedOn w:val="DefaultParagraphFont"/>
    <w:uiPriority w:val="99"/>
    <w:rsid w:val="00CD3F77"/>
    <w:rPr>
      <w:color w:val="800080"/>
      <w:u w:val="single"/>
    </w:rPr>
  </w:style>
  <w:style w:type="character" w:styleId="CommentReference">
    <w:name w:val="annotation reference"/>
    <w:basedOn w:val="DefaultParagraphFont"/>
    <w:uiPriority w:val="99"/>
    <w:rsid w:val="00CD3F77"/>
    <w:rPr>
      <w:sz w:val="16"/>
      <w:szCs w:val="16"/>
    </w:rPr>
  </w:style>
  <w:style w:type="paragraph" w:styleId="ListParagraph">
    <w:name w:val="List Paragraph"/>
    <w:basedOn w:val="Normal"/>
    <w:uiPriority w:val="34"/>
    <w:qFormat/>
    <w:rsid w:val="00CD3F77"/>
    <w:pPr>
      <w:ind w:left="720"/>
    </w:pPr>
  </w:style>
  <w:style w:type="table" w:styleId="TableGrid">
    <w:name w:val="Table Grid"/>
    <w:basedOn w:val="TableNormal"/>
    <w:rsid w:val="00CD3F77"/>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ORNLHeading1NotAllcaps">
    <w:name w:val="Style Heading 1ORNL Heading 1 + Not All caps"/>
    <w:basedOn w:val="Heading1"/>
    <w:rsid w:val="00CD3F77"/>
    <w:rPr>
      <w:caps w:val="0"/>
      <w:sz w:val="24"/>
    </w:rPr>
  </w:style>
  <w:style w:type="paragraph" w:customStyle="1" w:styleId="StyleHeading1ORNLHeading1NotAllcaps2">
    <w:name w:val="Style Heading 1ORNL Heading 1 + Not All caps2"/>
    <w:basedOn w:val="Heading1"/>
    <w:next w:val="StyleHeading1ORNLHeading1NotAllcaps"/>
    <w:rsid w:val="00CD3F77"/>
    <w:rPr>
      <w:caps w:val="0"/>
    </w:rPr>
  </w:style>
  <w:style w:type="paragraph" w:customStyle="1" w:styleId="StyleHeading2NotAllcaps">
    <w:name w:val="Style Heading 2 + Not All caps"/>
    <w:basedOn w:val="Heading2"/>
    <w:rsid w:val="00CD3F77"/>
    <w:pPr>
      <w:numPr>
        <w:ilvl w:val="0"/>
        <w:numId w:val="0"/>
      </w:numPr>
    </w:pPr>
    <w:rPr>
      <w:caps/>
    </w:rPr>
  </w:style>
  <w:style w:type="paragraph" w:customStyle="1" w:styleId="StyleHeading1ORNLHeading1NotAllcaps1">
    <w:name w:val="Style Heading 1ORNL Heading 1 + Not All caps1"/>
    <w:basedOn w:val="Heading1"/>
    <w:rsid w:val="00CD3F77"/>
    <w:pPr>
      <w:numPr>
        <w:numId w:val="0"/>
      </w:numPr>
    </w:pPr>
    <w:rPr>
      <w:rFonts w:ascii="Times New Roman Bold" w:hAnsi="Times New Roman Bold"/>
      <w:sz w:val="24"/>
    </w:rPr>
  </w:style>
  <w:style w:type="character" w:customStyle="1" w:styleId="CharChar35">
    <w:name w:val="Char Char35"/>
    <w:basedOn w:val="DefaultParagraphFont"/>
    <w:rsid w:val="00CD3F77"/>
    <w:rPr>
      <w:b/>
      <w:sz w:val="28"/>
      <w:lang w:val="en-US" w:eastAsia="en-US" w:bidi="ar-SA"/>
    </w:rPr>
  </w:style>
  <w:style w:type="paragraph" w:customStyle="1" w:styleId="Default">
    <w:name w:val="Default"/>
    <w:uiPriority w:val="99"/>
    <w:rsid w:val="00CD3F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otnoteReference">
    <w:name w:val="footnote reference"/>
    <w:basedOn w:val="DefaultParagraphFont"/>
    <w:rsid w:val="00CD3F77"/>
    <w:rPr>
      <w:rFonts w:cs="Times New Roman"/>
      <w:vertAlign w:val="superscript"/>
    </w:rPr>
  </w:style>
  <w:style w:type="paragraph" w:customStyle="1" w:styleId="desctiption">
    <w:name w:val="desctiption"/>
    <w:basedOn w:val="Normal"/>
    <w:uiPriority w:val="99"/>
    <w:rsid w:val="00CD3F77"/>
    <w:pPr>
      <w:ind w:left="1296" w:hanging="1008"/>
      <w:jc w:val="both"/>
    </w:pPr>
    <w:rPr>
      <w:rFonts w:ascii="Courier" w:eastAsia="SimSun" w:hAnsi="Courier"/>
      <w:lang w:eastAsia="zh-CN"/>
    </w:rPr>
  </w:style>
  <w:style w:type="paragraph" w:customStyle="1" w:styleId="Title1">
    <w:name w:val="Title1"/>
    <w:basedOn w:val="Heading1"/>
    <w:uiPriority w:val="99"/>
    <w:rsid w:val="00CD3F77"/>
    <w:pPr>
      <w:wordWrap w:val="0"/>
      <w:spacing w:after="0" w:line="320" w:lineRule="exact"/>
    </w:pPr>
    <w:rPr>
      <w:rFonts w:ascii="Arial" w:eastAsia="Dotum" w:hAnsi="Arial"/>
      <w:b w:val="0"/>
      <w:caps w:val="0"/>
      <w:kern w:val="2"/>
      <w:lang w:eastAsia="ko-KR"/>
    </w:rPr>
  </w:style>
  <w:style w:type="paragraph" w:customStyle="1" w:styleId="NUREG">
    <w:name w:val="NUREG"/>
    <w:basedOn w:val="Normal"/>
    <w:qFormat/>
    <w:rsid w:val="00CD3F77"/>
    <w:rPr>
      <w:sz w:val="22"/>
    </w:rPr>
  </w:style>
  <w:style w:type="paragraph" w:customStyle="1" w:styleId="Paragraph">
    <w:name w:val="Paragraph"/>
    <w:basedOn w:val="Normal"/>
    <w:rsid w:val="00CD3F77"/>
    <w:pPr>
      <w:tabs>
        <w:tab w:val="left" w:pos="360"/>
      </w:tabs>
      <w:spacing w:after="120"/>
    </w:pPr>
    <w:rPr>
      <w:sz w:val="22"/>
      <w:szCs w:val="20"/>
    </w:rPr>
  </w:style>
  <w:style w:type="paragraph" w:customStyle="1" w:styleId="StyleJustifiedFirstline05Before6ptAfter6pt">
    <w:name w:val="Style Justified First line:  0.5&quot; Before:  6 pt After:  6 pt"/>
    <w:basedOn w:val="Normal"/>
    <w:qFormat/>
    <w:rsid w:val="00CD3F77"/>
    <w:pPr>
      <w:spacing w:after="220"/>
      <w:jc w:val="both"/>
    </w:pPr>
    <w:rPr>
      <w:sz w:val="22"/>
      <w:szCs w:val="20"/>
    </w:rPr>
  </w:style>
  <w:style w:type="paragraph" w:customStyle="1" w:styleId="StyleJustified">
    <w:name w:val="Style Justified"/>
    <w:basedOn w:val="Normal"/>
    <w:qFormat/>
    <w:rsid w:val="00CD3F77"/>
    <w:pPr>
      <w:jc w:val="both"/>
    </w:pPr>
    <w:rPr>
      <w:sz w:val="22"/>
      <w:szCs w:val="20"/>
    </w:rPr>
  </w:style>
  <w:style w:type="paragraph" w:customStyle="1" w:styleId="StyleStyleHeading2NotAllcapsJustifiedLeft0First">
    <w:name w:val="Style Style Heading 2 + Not All caps + Justified Left:  0&quot; First ..."/>
    <w:basedOn w:val="StyleHeading2NotAllcaps"/>
    <w:qFormat/>
    <w:rsid w:val="00CD3F77"/>
    <w:pPr>
      <w:jc w:val="both"/>
    </w:pPr>
    <w:rPr>
      <w:rFonts w:cs="Times New Roman"/>
      <w:szCs w:val="20"/>
    </w:rPr>
  </w:style>
  <w:style w:type="paragraph" w:customStyle="1" w:styleId="StyleHeading4Before0pt">
    <w:name w:val="Style Heading 4 + Before:  0 pt"/>
    <w:basedOn w:val="Heading4"/>
    <w:qFormat/>
    <w:rsid w:val="00CD3F77"/>
    <w:pPr>
      <w:tabs>
        <w:tab w:val="left" w:pos="864"/>
      </w:tabs>
      <w:spacing w:before="0"/>
    </w:pPr>
    <w:rPr>
      <w:szCs w:val="20"/>
    </w:rPr>
  </w:style>
  <w:style w:type="paragraph" w:customStyle="1" w:styleId="StyleBodyTextFirstIndentFirstline0">
    <w:name w:val="Style Body Text First Indent + First line:  0&quot;"/>
    <w:basedOn w:val="BodyTextFirstIndent"/>
    <w:qFormat/>
    <w:rsid w:val="00CD3F77"/>
    <w:pPr>
      <w:tabs>
        <w:tab w:val="left" w:pos="1296"/>
      </w:tabs>
      <w:ind w:left="1296" w:hanging="1296"/>
    </w:pPr>
    <w:rPr>
      <w:szCs w:val="20"/>
    </w:rPr>
  </w:style>
  <w:style w:type="paragraph" w:customStyle="1" w:styleId="StyleBaseTimesNewRoman12ptJustified">
    <w:name w:val="Style Base + Times New Roman 12 pt Justified"/>
    <w:basedOn w:val="Normal"/>
    <w:rsid w:val="00CD3F77"/>
    <w:pPr>
      <w:widowControl w:val="0"/>
      <w:autoSpaceDE w:val="0"/>
      <w:autoSpaceDN w:val="0"/>
      <w:adjustRightInd w:val="0"/>
      <w:ind w:firstLine="360"/>
      <w:jc w:val="both"/>
    </w:pPr>
    <w:rPr>
      <w:rFonts w:eastAsiaTheme="minorEastAsia" w:cstheme="minorBidi"/>
      <w:sz w:val="22"/>
      <w:szCs w:val="22"/>
    </w:rPr>
  </w:style>
  <w:style w:type="paragraph" w:customStyle="1" w:styleId="Base">
    <w:name w:val="Base"/>
    <w:rsid w:val="00CD3F77"/>
    <w:pPr>
      <w:widowControl w:val="0"/>
      <w:autoSpaceDE w:val="0"/>
      <w:autoSpaceDN w:val="0"/>
      <w:adjustRightInd w:val="0"/>
      <w:spacing w:after="0" w:line="240" w:lineRule="auto"/>
      <w:ind w:firstLine="360"/>
    </w:pPr>
    <w:rPr>
      <w:rFonts w:ascii="Arial" w:eastAsiaTheme="minorEastAsia" w:hAnsi="Arial"/>
    </w:rPr>
  </w:style>
  <w:style w:type="paragraph" w:customStyle="1" w:styleId="StyleBaseTimesNewRoman">
    <w:name w:val="Style Base + Times New Roman"/>
    <w:basedOn w:val="Base"/>
    <w:rsid w:val="00CD3F77"/>
    <w:rPr>
      <w:rFonts w:ascii="Times New Roman" w:hAnsi="Times New Roman"/>
    </w:rPr>
  </w:style>
  <w:style w:type="paragraph" w:customStyle="1" w:styleId="orange">
    <w:name w:val="orange"/>
    <w:basedOn w:val="Normal"/>
    <w:rsid w:val="00CD3F77"/>
    <w:pPr>
      <w:spacing w:before="100" w:beforeAutospacing="1" w:after="100" w:afterAutospacing="1"/>
      <w:ind w:firstLine="360"/>
    </w:pPr>
    <w:rPr>
      <w:rFonts w:asciiTheme="minorHAnsi" w:eastAsiaTheme="minorEastAsia" w:hAnsiTheme="minorHAnsi" w:cstheme="minorBidi"/>
      <w:snapToGrid w:val="0"/>
    </w:rPr>
  </w:style>
  <w:style w:type="paragraph" w:customStyle="1" w:styleId="StyleBaseTimesNewRoman12ptCentered">
    <w:name w:val="Style Base + Times New Roman 12 pt Centered"/>
    <w:basedOn w:val="Normal"/>
    <w:rsid w:val="00CD3F77"/>
    <w:pPr>
      <w:widowControl w:val="0"/>
      <w:autoSpaceDE w:val="0"/>
      <w:autoSpaceDN w:val="0"/>
      <w:adjustRightInd w:val="0"/>
      <w:ind w:firstLine="360"/>
      <w:jc w:val="center"/>
    </w:pPr>
    <w:rPr>
      <w:rFonts w:eastAsiaTheme="minorEastAsia" w:cstheme="minorBidi"/>
      <w:sz w:val="22"/>
      <w:szCs w:val="22"/>
    </w:rPr>
  </w:style>
  <w:style w:type="paragraph" w:customStyle="1" w:styleId="Annalstext">
    <w:name w:val="Annals text"/>
    <w:basedOn w:val="Normal"/>
    <w:rsid w:val="00CD3F77"/>
    <w:pPr>
      <w:numPr>
        <w:numId w:val="24"/>
      </w:numPr>
      <w:tabs>
        <w:tab w:val="left" w:pos="851"/>
      </w:tabs>
      <w:jc w:val="both"/>
    </w:pPr>
    <w:rPr>
      <w:snapToGrid w:val="0"/>
      <w:szCs w:val="20"/>
      <w:lang w:val="en-GB" w:eastAsia="sv-SE"/>
    </w:rPr>
  </w:style>
  <w:style w:type="paragraph" w:customStyle="1" w:styleId="TableFootnote">
    <w:name w:val="Table Footnote"/>
    <w:basedOn w:val="BodyText"/>
    <w:rsid w:val="00CD3F77"/>
    <w:pPr>
      <w:widowControl w:val="0"/>
      <w:spacing w:before="120"/>
      <w:jc w:val="both"/>
    </w:pPr>
    <w:rPr>
      <w:i/>
      <w:sz w:val="18"/>
      <w:szCs w:val="20"/>
      <w:lang w:val="en-GB" w:eastAsia="sv-SE"/>
    </w:rPr>
  </w:style>
  <w:style w:type="character" w:styleId="Strong">
    <w:name w:val="Strong"/>
    <w:basedOn w:val="DefaultParagraphFont"/>
    <w:uiPriority w:val="22"/>
    <w:qFormat/>
    <w:rsid w:val="00CD3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www.physics.isu.edu/radinf/" TargetMode="External"/><Relationship Id="rId39" Type="http://schemas.openxmlformats.org/officeDocument/2006/relationships/hyperlink" Target="http://ChartOfTheNuclides.com"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physics.nist.gov/Comp"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physics.nist.gov/constan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image" Target="media/image21.png"/><Relationship Id="rId40" Type="http://schemas.openxmlformats.org/officeDocument/2006/relationships/hyperlink" Target="http://physics.nist.gov/Sta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gnssn.iaea.org/regnet/Pages/INES.asp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footer" Target="footer6.xml"/><Relationship Id="rId48" Type="http://schemas.openxmlformats.org/officeDocument/2006/relationships/customXml" Target="../customXml/item3.xml"/><Relationship Id="rId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ordose.ornl.gov/foru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customXml" Target="../customXml/item1.xml"/><Relationship Id="rId20" Type="http://schemas.openxmlformats.org/officeDocument/2006/relationships/image" Target="media/image8.png"/><Relationship Id="rId41" Type="http://schemas.openxmlformats.org/officeDocument/2006/relationships/hyperlink" Target="http://physics.nist.gov/x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crp.org/page.asp?id=145" TargetMode="External"/><Relationship Id="rId1" Type="http://schemas.openxmlformats.org/officeDocument/2006/relationships/hyperlink" Target="http://www.nrc.gov/about-nrc/regulatory/research/contact-us-rad-tool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F767D504C4144B9C40FAC119695A2" ma:contentTypeVersion="15" ma:contentTypeDescription="Create a new document." ma:contentTypeScope="" ma:versionID="9a4848f5ad0d040842e6b9a98c85ee36">
  <xsd:schema xmlns:xsd="http://www.w3.org/2001/XMLSchema" xmlns:xs="http://www.w3.org/2001/XMLSchema" xmlns:p="http://schemas.microsoft.com/office/2006/metadata/properties" xmlns:ns2="88aa1e67-bf56-42a8-955c-ccd28d4dd807" xmlns:ns3="c31f235b-85d7-48ff-acc4-f339d7328c99" targetNamespace="http://schemas.microsoft.com/office/2006/metadata/properties" ma:root="true" ma:fieldsID="845e8be95b1b72500d1156117477c740" ns2:_="" ns3:_="">
    <xsd:import namespace="88aa1e67-bf56-42a8-955c-ccd28d4dd807"/>
    <xsd:import namespace="c31f235b-85d7-48ff-acc4-f339d7328c9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1e67-bf56-42a8-955c-ccd28d4dd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f26c1-4773-4e55-850a-517a34df127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1f235b-85d7-48ff-acc4-f339d7328c9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38cd58-c0b5-4dd8-8d4a-c240277fc2b1}" ma:internalName="TaxCatchAll" ma:showField="CatchAllData" ma:web="c31f235b-85d7-48ff-acc4-f339d7328c9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aa1e67-bf56-42a8-955c-ccd28d4dd807">
      <Terms xmlns="http://schemas.microsoft.com/office/infopath/2007/PartnerControls"/>
    </lcf76f155ced4ddcb4097134ff3c332f>
    <TaxCatchAll xmlns="c31f235b-85d7-48ff-acc4-f339d7328c99" xsi:nil="true"/>
  </documentManagement>
</p:properties>
</file>

<file path=customXml/itemProps1.xml><?xml version="1.0" encoding="utf-8"?>
<ds:datastoreItem xmlns:ds="http://schemas.openxmlformats.org/officeDocument/2006/customXml" ds:itemID="{0448BFF1-BABC-46A2-B701-1C4EB5ADE85C}"/>
</file>

<file path=customXml/itemProps2.xml><?xml version="1.0" encoding="utf-8"?>
<ds:datastoreItem xmlns:ds="http://schemas.openxmlformats.org/officeDocument/2006/customXml" ds:itemID="{82E1C7BB-EEB0-427A-AF5C-1CBCFF9FB67F}"/>
</file>

<file path=customXml/itemProps3.xml><?xml version="1.0" encoding="utf-8"?>
<ds:datastoreItem xmlns:ds="http://schemas.openxmlformats.org/officeDocument/2006/customXml" ds:itemID="{17214312-B336-44FF-9FFA-34BF3EB38EFC}"/>
</file>

<file path=docProps/app.xml><?xml version="1.0" encoding="utf-8"?>
<Properties xmlns="http://schemas.openxmlformats.org/officeDocument/2006/extended-properties" xmlns:vt="http://schemas.openxmlformats.org/officeDocument/2006/docPropsVTypes">
  <Template>Normal.dotm</Template>
  <TotalTime>2</TotalTime>
  <Pages>32</Pages>
  <Words>7543</Words>
  <Characters>43001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50444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Eckerman, Keith F.</dc:creator>
  <cp:lastModifiedBy>Eckerman, Keith F.</cp:lastModifiedBy>
  <cp:revision>3</cp:revision>
  <cp:lastPrinted>2013-07-02T16:11:00Z</cp:lastPrinted>
  <dcterms:created xsi:type="dcterms:W3CDTF">2013-07-02T16:11:00Z</dcterms:created>
  <dcterms:modified xsi:type="dcterms:W3CDTF">2013-07-02T16:13:00Z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0x01010030AF767D504C4144B9C40FAC119695A2</vt:lpwstr>
  </property>
</Properties>
</file>