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6D9" w:rsidP="1B3C747C" w:rsidRDefault="00EF56D9" w14:paraId="6294458E" w14:textId="28100C5E" w14:noSpellErr="1">
      <w:pPr>
        <w:pStyle w:val="Textoindependiente"/>
        <w:ind w:left="8120"/>
        <w:rPr>
          <w:rFonts w:ascii="Times New Roman"/>
          <w:sz w:val="18"/>
          <w:szCs w:val="18"/>
        </w:rPr>
      </w:pPr>
    </w:p>
    <w:p w:rsidR="00C524F9" w:rsidP="1B3C747C" w:rsidRDefault="00C524F9" w14:paraId="11535BFD" w14:textId="77777777" w14:noSpellErr="1">
      <w:pPr>
        <w:jc w:val="center"/>
        <w:rPr>
          <w:rFonts w:ascii="Tahoma" w:hAnsi="Tahoma" w:eastAsia="Tahoma" w:cs="Tahoma"/>
          <w:b w:val="1"/>
          <w:bCs w:val="1"/>
          <w:sz w:val="20"/>
          <w:szCs w:val="20"/>
        </w:rPr>
      </w:pPr>
      <w:r w:rsidRPr="1B3C747C" w:rsidR="00C524F9">
        <w:rPr>
          <w:rFonts w:ascii="Tahoma" w:hAnsi="Tahoma" w:eastAsia="Tahoma" w:cs="Tahoma"/>
          <w:b w:val="1"/>
          <w:bCs w:val="1"/>
          <w:sz w:val="20"/>
          <w:szCs w:val="20"/>
        </w:rPr>
        <w:t xml:space="preserve">ENTREGA DE CARGA E INSTRUCCIONES DE MANEJO </w:t>
      </w:r>
    </w:p>
    <w:p w:rsidR="00C524F9" w:rsidP="1B3C747C" w:rsidRDefault="00C524F9" w14:paraId="45FCA93D" w14:textId="77777777" w14:noSpellErr="1">
      <w:pPr>
        <w:jc w:val="center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08F56912" w14:textId="0A0995FC">
      <w:pPr>
        <w:jc w:val="both"/>
        <w:rPr>
          <w:rFonts w:ascii="Tahoma" w:hAnsi="Tahoma" w:eastAsia="Tahoma" w:cs="Tahoma"/>
          <w:sz w:val="20"/>
          <w:szCs w:val="20"/>
        </w:rPr>
      </w:pPr>
      <w:r w:rsidRPr="3CA55A66" w:rsidR="00C524F9">
        <w:rPr>
          <w:rFonts w:ascii="Tahoma" w:hAnsi="Tahoma" w:eastAsia="Tahoma" w:cs="Tahoma"/>
          <w:sz w:val="20"/>
          <w:szCs w:val="20"/>
        </w:rPr>
        <w:t>CELIFRUT SAS, identificada con NIT 900.885.896-4, ENCOMIENDA a</w:t>
      </w:r>
      <w:r w:rsidRPr="3CA55A66" w:rsidR="00C524F9">
        <w:rPr>
          <w:rFonts w:ascii="Tahoma" w:hAnsi="Tahoma" w:eastAsia="Tahoma" w:cs="Tahoma"/>
          <w:sz w:val="20"/>
          <w:szCs w:val="20"/>
        </w:rPr>
        <w:t>l señor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7C09C244">
        <w:rPr>
          <w:rFonts w:ascii="Tahoma" w:hAnsi="Tahoma" w:eastAsia="Tahoma" w:cs="Tahoma"/>
          <w:sz w:val="20"/>
          <w:szCs w:val="20"/>
        </w:rPr>
        <w:t xml:space="preserve">{conductor} </w:t>
      </w:r>
      <w:r w:rsidRPr="3CA55A66" w:rsidR="00C524F9">
        <w:rPr>
          <w:rFonts w:ascii="Tahoma" w:hAnsi="Tahoma" w:eastAsia="Tahoma" w:cs="Tahoma"/>
          <w:sz w:val="20"/>
          <w:szCs w:val="20"/>
        </w:rPr>
        <w:t>identificad</w:t>
      </w:r>
      <w:r w:rsidRPr="3CA55A66" w:rsidR="00C524F9">
        <w:rPr>
          <w:rFonts w:ascii="Tahoma" w:hAnsi="Tahoma" w:eastAsia="Tahoma" w:cs="Tahoma"/>
          <w:sz w:val="20"/>
          <w:szCs w:val="20"/>
        </w:rPr>
        <w:t>o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con </w:t>
      </w:r>
      <w:r w:rsidRPr="3CA55A66" w:rsidR="00C524F9">
        <w:rPr>
          <w:rFonts w:ascii="Tahoma" w:hAnsi="Tahoma" w:eastAsia="Tahoma" w:cs="Tahoma"/>
          <w:sz w:val="20"/>
          <w:szCs w:val="20"/>
        </w:rPr>
        <w:t>C.C.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64604DE8">
        <w:rPr>
          <w:rFonts w:ascii="Tahoma" w:hAnsi="Tahoma" w:eastAsia="Tahoma" w:cs="Tahoma"/>
          <w:sz w:val="20"/>
          <w:szCs w:val="20"/>
        </w:rPr>
        <w:t>{cedula}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00C524F9">
        <w:rPr>
          <w:rFonts w:ascii="Tahoma" w:hAnsi="Tahoma" w:eastAsia="Tahoma" w:cs="Tahoma"/>
          <w:sz w:val="20"/>
          <w:szCs w:val="20"/>
        </w:rPr>
        <w:t>la carga relacionada a continuación:</w:t>
      </w:r>
    </w:p>
    <w:p w:rsidR="00C524F9" w:rsidP="1B3C747C" w:rsidRDefault="00C524F9" w14:paraId="49CC9E3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tbl>
      <w:tblPr>
        <w:tblW w:w="7905" w:type="dxa"/>
        <w:tblLayout w:type="fixed"/>
        <w:tblLook w:val="0400" w:firstRow="0" w:lastRow="0" w:firstColumn="0" w:lastColumn="0" w:noHBand="0" w:noVBand="1"/>
      </w:tblPr>
      <w:tblGrid>
        <w:gridCol w:w="3402"/>
        <w:gridCol w:w="567"/>
        <w:gridCol w:w="2552"/>
        <w:gridCol w:w="1384"/>
      </w:tblGrid>
      <w:tr w:rsidR="00C524F9" w:rsidTr="099C3793" w14:paraId="24634697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49DDC904" w14:textId="74DFB588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NUMERO DE PRECINTO</w:t>
            </w: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S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C524F9" w14:paraId="5C758B06" w14:textId="53886BA1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69F4A0E1">
              <w:rPr>
                <w:rFonts w:ascii="Tahoma" w:hAnsi="Tahoma" w:eastAsia="Tahoma" w:cs="Tahoma"/>
                <w:sz w:val="20"/>
                <w:szCs w:val="20"/>
              </w:rPr>
              <w:t>{precinto}</w:t>
            </w:r>
          </w:p>
        </w:tc>
      </w:tr>
      <w:tr w:rsidR="00C524F9" w:rsidTr="099C3793" w14:paraId="0F94032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F97C76E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DESCRIPCIÓN DE LA MERCANCÍA: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099C3793" w:rsidRDefault="00C524F9" w14:paraId="4CCA7FC2" w14:noSpellErr="1" w14:textId="0637A4B4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099C3793" w:rsidR="34008D07">
              <w:rPr>
                <w:rFonts w:ascii="Tahoma" w:hAnsi="Tahoma" w:eastAsia="Tahoma" w:cs="Tahoma"/>
                <w:sz w:val="20"/>
                <w:szCs w:val="20"/>
              </w:rPr>
              <w:t>{tipoFruta}</w:t>
            </w:r>
          </w:p>
        </w:tc>
      </w:tr>
      <w:tr w:rsidR="00C524F9" w:rsidTr="099C3793" w14:paraId="25810F56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3C4ABD0D" w14:textId="1AFE6D3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bookmarkStart w:name="bookmark=id.gjdgxs" w:id="0"/>
            <w:bookmarkEnd w:id="0"/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Nombre conductor: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946B52" w14:paraId="1A435E30" w14:textId="46D2837F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AEDC2D1">
              <w:rPr>
                <w:rFonts w:ascii="Tahoma" w:hAnsi="Tahoma" w:eastAsia="Tahoma" w:cs="Tahoma"/>
                <w:sz w:val="20"/>
                <w:szCs w:val="20"/>
              </w:rPr>
              <w:t>{conductor}</w:t>
            </w:r>
          </w:p>
        </w:tc>
      </w:tr>
      <w:tr w:rsidR="00C524F9" w:rsidTr="099C3793" w14:paraId="1BADBE23" w14:textId="77777777">
        <w:trPr>
          <w:trHeight w:val="16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A7783" w14:paraId="63361D0C" w14:textId="74D0D555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3A7783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Número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 de identificación: 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2E054827" w14:textId="41BF0BC0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54365F9">
              <w:rPr>
                <w:rFonts w:ascii="Tahoma" w:hAnsi="Tahoma" w:eastAsia="Tahoma" w:cs="Tahoma"/>
                <w:sz w:val="20"/>
                <w:szCs w:val="20"/>
              </w:rPr>
              <w:t>{cedula}</w:t>
            </w:r>
          </w:p>
        </w:tc>
      </w:tr>
      <w:tr w:rsidR="00C524F9" w:rsidTr="099C3793" w14:paraId="2FA5824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3640081" w14:textId="0A95207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PLACA: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5E74531E" w14:textId="3212DEB3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1EED0915">
              <w:rPr>
                <w:rFonts w:ascii="Tahoma" w:hAnsi="Tahoma" w:eastAsia="Tahoma" w:cs="Tahoma"/>
                <w:sz w:val="20"/>
                <w:szCs w:val="20"/>
              </w:rPr>
              <w:t>{placa}</w:t>
            </w:r>
          </w:p>
        </w:tc>
      </w:tr>
      <w:tr w:rsidR="00C524F9" w:rsidTr="099C3793" w14:paraId="2004E72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C561D6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EMPAQUE: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E063B7" w14:paraId="5EB34FAF" w14:textId="6F487376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E063B7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Bultos</w:t>
            </w:r>
          </w:p>
        </w:tc>
      </w:tr>
      <w:tr w:rsidR="00C524F9" w:rsidTr="099C3793" w14:paraId="53EAD46E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724C9A9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PESO NETO: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9595A52" w14:textId="498269A2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Aprox.</w:t>
            </w:r>
          </w:p>
        </w:tc>
      </w:tr>
      <w:tr w:rsidR="00C524F9" w:rsidTr="099C3793" w14:paraId="45FA02B3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195E81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ORIGEN: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EF63271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ARMENIA -QUINDIO</w:t>
            </w:r>
          </w:p>
        </w:tc>
      </w:tr>
      <w:tr w:rsidR="00C524F9" w:rsidTr="099C3793" w14:paraId="7030089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946B52" w14:paraId="23466B5D" w14:textId="3AF5266A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DESTINO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10006" w14:paraId="5F919C8F" w14:textId="5EA55D07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3CA55A66" w:rsidR="768D4DB8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{destino}</w:t>
            </w:r>
          </w:p>
        </w:tc>
      </w:tr>
      <w:tr w:rsidR="00C524F9" w:rsidTr="099C3793" w14:paraId="79EFE6FC" w14:textId="77777777">
        <w:trPr>
          <w:gridAfter w:val="1"/>
          <w:wAfter w:w="1384" w:type="dxa"/>
          <w:trHeight w:val="288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DC77A19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68A41614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</w:tbl>
    <w:p w:rsidR="00C524F9" w:rsidP="1B3C747C" w:rsidRDefault="00C524F9" w14:paraId="037D5D11" w14:textId="5A8E474F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De igual manera se INFORMA que los procesos de preparación, embalaje y cargue de la fruta se realizaron bajo los estándares de calidad exigidos por la autoridad competente (ICA)</w:t>
      </w:r>
      <w:r w:rsidRPr="1B3C747C" w:rsidR="00E57625">
        <w:rPr>
          <w:rFonts w:ascii="Tahoma" w:hAnsi="Tahoma" w:eastAsia="Tahoma" w:cs="Tahoma"/>
          <w:sz w:val="20"/>
          <w:szCs w:val="20"/>
        </w:rPr>
        <w:t xml:space="preserve"> y controles operacionales del SG</w:t>
      </w:r>
      <w:r w:rsidRPr="1B3C747C" w:rsidR="00CB633C">
        <w:rPr>
          <w:rFonts w:ascii="Tahoma" w:hAnsi="Tahoma" w:eastAsia="Tahoma" w:cs="Tahoma"/>
          <w:sz w:val="20"/>
          <w:szCs w:val="20"/>
        </w:rPr>
        <w:t>CS BASC</w:t>
      </w:r>
      <w:r w:rsidRPr="1B3C747C" w:rsidR="00C524F9">
        <w:rPr>
          <w:rFonts w:ascii="Tahoma" w:hAnsi="Tahoma" w:eastAsia="Tahoma" w:cs="Tahoma"/>
          <w:sz w:val="20"/>
          <w:szCs w:val="20"/>
        </w:rPr>
        <w:t>; por lo tanto, la carga se entrega en PERFECTAS CONDICIONES. En consecuencia, el transportador de la mercancía será responsable de:</w:t>
      </w:r>
    </w:p>
    <w:p w:rsidR="00C524F9" w:rsidP="1B3C747C" w:rsidRDefault="00C524F9" w14:paraId="7B68110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6262B1DB" w14:textId="1AE8ACF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Mantener 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la integridad de la carga y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en ninguna circunstancia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 deberá transportar algún elemento ajeno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a ella.</w:t>
      </w:r>
    </w:p>
    <w:p w:rsidR="00C524F9" w:rsidP="1B3C747C" w:rsidRDefault="00C524F9" w14:paraId="7F4DF6E5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El camión debe contar con los equipos necesarios para la protección de la carga. </w:t>
      </w:r>
    </w:p>
    <w:p w:rsidR="00C524F9" w:rsidP="1B3C747C" w:rsidRDefault="00C524F9" w14:paraId="6D05B550" w14:textId="6F544A83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Velar por el cuidado de la carga desde la planta hasta el destino.</w:t>
      </w:r>
    </w:p>
    <w:p w:rsidR="00C524F9" w:rsidP="1B3C747C" w:rsidRDefault="00C524F9" w14:paraId="0F099D4D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Informar inmediatamente a CELIFRUT cualquier novedad que se presente durante el recorrido de la carga.</w:t>
      </w:r>
    </w:p>
    <w:p w:rsidR="00923485" w:rsidP="1B3C747C" w:rsidRDefault="00923485" w14:paraId="09F47125" w14:textId="7DD6175B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No afectar la integridad d</w:t>
      </w:r>
      <w:r w:rsidRPr="1B3C747C" w:rsidR="00260D68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 </w:t>
      </w: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los precintos instalados al momento de su despacho y si por algún motivo por requerimiento de alguna entidad del estado solicita abrir la carga y destruir los precintos, es responsabilidad del conductor grabar el procedimiento y comunicar a CELIFRUT.</w:t>
      </w:r>
    </w:p>
    <w:p w:rsidR="00C524F9" w:rsidP="1B3C747C" w:rsidRDefault="00C524F9" w14:paraId="7EE4415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15AC043F" w14:textId="30D5A8D5">
      <w:pPr>
        <w:jc w:val="both"/>
        <w:rPr>
          <w:rFonts w:ascii="Tahoma" w:hAnsi="Tahoma" w:eastAsia="Tahoma" w:cs="Tahoma"/>
          <w:sz w:val="20"/>
          <w:szCs w:val="20"/>
        </w:rPr>
      </w:pPr>
      <w:r w:rsidRPr="359A8968" w:rsidR="00C524F9">
        <w:rPr>
          <w:rFonts w:ascii="Tahoma" w:hAnsi="Tahoma" w:eastAsia="Tahoma" w:cs="Tahoma"/>
          <w:sz w:val="20"/>
          <w:szCs w:val="20"/>
        </w:rPr>
        <w:t xml:space="preserve">Para constancia se firma en la ciudad de Armenia, a los </w:t>
      </w:r>
      <w:r w:rsidRPr="359A8968" w:rsidR="7FE009C1">
        <w:rPr>
          <w:rFonts w:ascii="Tahoma" w:hAnsi="Tahoma" w:eastAsia="Tahoma" w:cs="Tahoma"/>
          <w:sz w:val="20"/>
          <w:szCs w:val="20"/>
        </w:rPr>
        <w:t>{</w:t>
      </w:r>
      <w:r w:rsidRPr="359A8968" w:rsidR="4EDA8516">
        <w:rPr>
          <w:rFonts w:ascii="Tahoma" w:hAnsi="Tahoma" w:eastAsia="Tahoma" w:cs="Tahoma"/>
          <w:sz w:val="20"/>
          <w:szCs w:val="20"/>
        </w:rPr>
        <w:t>fecha_dia_escrito</w:t>
      </w:r>
      <w:r w:rsidRPr="359A8968" w:rsidR="7FE009C1">
        <w:rPr>
          <w:rFonts w:ascii="Tahoma" w:hAnsi="Tahoma" w:eastAsia="Tahoma" w:cs="Tahoma"/>
          <w:sz w:val="20"/>
          <w:szCs w:val="20"/>
        </w:rPr>
        <w:t xml:space="preserve">} </w:t>
      </w:r>
      <w:r w:rsidRPr="359A8968" w:rsidR="00C524F9">
        <w:rPr>
          <w:rFonts w:ascii="Tahoma" w:hAnsi="Tahoma" w:eastAsia="Tahoma" w:cs="Tahoma"/>
          <w:sz w:val="20"/>
          <w:szCs w:val="20"/>
        </w:rPr>
        <w:t xml:space="preserve">días del mes de </w:t>
      </w:r>
      <w:r w:rsidRPr="359A8968" w:rsidR="3ECC4DA5">
        <w:rPr>
          <w:rFonts w:ascii="Tahoma" w:hAnsi="Tahoma" w:eastAsia="Tahoma" w:cs="Tahoma"/>
          <w:sz w:val="20"/>
          <w:szCs w:val="20"/>
        </w:rPr>
        <w:t>{</w:t>
      </w:r>
      <w:r w:rsidRPr="359A8968" w:rsidR="72CE9109">
        <w:rPr>
          <w:rFonts w:ascii="Tahoma" w:hAnsi="Tahoma" w:eastAsia="Tahoma" w:cs="Tahoma"/>
          <w:sz w:val="20"/>
          <w:szCs w:val="20"/>
        </w:rPr>
        <w:t>fecha_mes</w:t>
      </w:r>
      <w:r w:rsidRPr="359A8968" w:rsidR="3ECC4DA5">
        <w:rPr>
          <w:rFonts w:ascii="Tahoma" w:hAnsi="Tahoma" w:eastAsia="Tahoma" w:cs="Tahoma"/>
          <w:sz w:val="20"/>
          <w:szCs w:val="20"/>
        </w:rPr>
        <w:t xml:space="preserve">} </w:t>
      </w:r>
      <w:r w:rsidRPr="359A8968" w:rsidR="00C524F9">
        <w:rPr>
          <w:rFonts w:ascii="Tahoma" w:hAnsi="Tahoma" w:eastAsia="Tahoma" w:cs="Tahoma"/>
          <w:sz w:val="20"/>
          <w:szCs w:val="20"/>
        </w:rPr>
        <w:t>del año dos m</w:t>
      </w:r>
      <w:r w:rsidRPr="359A8968" w:rsidR="00C524F9">
        <w:rPr>
          <w:rFonts w:ascii="Tahoma" w:hAnsi="Tahoma" w:eastAsia="Tahoma" w:cs="Tahoma"/>
          <w:sz w:val="20"/>
          <w:szCs w:val="20"/>
        </w:rPr>
        <w:t xml:space="preserve">il </w:t>
      </w:r>
      <w:r w:rsidRPr="359A8968" w:rsidR="43797435">
        <w:rPr>
          <w:rFonts w:ascii="Tahoma" w:hAnsi="Tahoma" w:eastAsia="Tahoma" w:cs="Tahoma"/>
          <w:sz w:val="20"/>
          <w:szCs w:val="20"/>
        </w:rPr>
        <w:t>{</w:t>
      </w:r>
      <w:r w:rsidRPr="359A8968" w:rsidR="79A343AA">
        <w:rPr>
          <w:rFonts w:ascii="Tahoma" w:hAnsi="Tahoma" w:eastAsia="Tahoma" w:cs="Tahoma"/>
          <w:sz w:val="20"/>
          <w:szCs w:val="20"/>
        </w:rPr>
        <w:t>fecha_anio</w:t>
      </w:r>
      <w:r w:rsidRPr="359A8968" w:rsidR="43797435">
        <w:rPr>
          <w:rFonts w:ascii="Tahoma" w:hAnsi="Tahoma" w:eastAsia="Tahoma" w:cs="Tahoma"/>
          <w:sz w:val="20"/>
          <w:szCs w:val="20"/>
        </w:rPr>
        <w:t>}</w:t>
      </w:r>
    </w:p>
    <w:p w:rsidR="00C524F9" w:rsidP="1B3C747C" w:rsidRDefault="00C524F9" w14:paraId="032BA3C1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3C35E5CD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7ABDB646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Entrega</w:t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Recibe </w:t>
      </w:r>
    </w:p>
    <w:p w:rsidR="00C524F9" w:rsidP="1B3C747C" w:rsidRDefault="00C524F9" w14:paraId="5B06933D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64B7616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37FDE530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24E28F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 xml:space="preserve">_________________________ </w:t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>_________________________</w:t>
      </w:r>
      <w:r>
        <w:tab/>
      </w:r>
    </w:p>
    <w:p w:rsidR="00C524F9" w:rsidP="1B3C747C" w:rsidRDefault="00C524F9" w14:paraId="2B85A2D5" w14:textId="77777777" w14:noSpellErr="1">
      <w:pPr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CC.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C.C. </w:t>
      </w:r>
    </w:p>
    <w:p w:rsidR="00C524F9" w:rsidP="1B3C747C" w:rsidRDefault="00C524F9" w14:paraId="40C493D4" w14:textId="77777777" w14:noSpellErr="1">
      <w:pPr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Hora: </w:t>
      </w:r>
    </w:p>
    <w:sectPr w:rsidR="00C524F9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 w:orient="portrait"/>
      <w:pgMar w:top="120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07E7" w:rsidP="00894D83" w:rsidRDefault="00BF07E7" w14:paraId="0E7DF546" w14:textId="77777777">
      <w:r>
        <w:separator/>
      </w:r>
    </w:p>
  </w:endnote>
  <w:endnote w:type="continuationSeparator" w:id="0">
    <w:p w:rsidR="00BF07E7" w:rsidP="00894D83" w:rsidRDefault="00BF07E7" w14:paraId="1084C0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94D83" w:rsidR="00894D83" w:rsidP="00894D83" w:rsidRDefault="00894D83" w14:paraId="63A82049" w14:textId="77777777">
    <w:pPr>
      <w:pStyle w:val="Textoindependiente"/>
      <w:spacing w:before="203"/>
      <w:jc w:val="center"/>
      <w:rPr>
        <w:rFonts w:ascii="Times New Roman"/>
        <w:sz w:val="18"/>
        <w:szCs w:val="18"/>
      </w:rPr>
    </w:pPr>
  </w:p>
  <w:p w:rsidR="005A3AE4" w:rsidP="00894D83" w:rsidRDefault="00894D83" w14:paraId="602C145E" w14:textId="77777777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r w:rsidRPr="00894D83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86619B" wp14:editId="445B40D0">
              <wp:simplePos x="0" y="0"/>
              <wp:positionH relativeFrom="page">
                <wp:posOffset>667961</wp:posOffset>
              </wp:positionH>
              <wp:positionV relativeFrom="paragraph">
                <wp:posOffset>-54523</wp:posOffset>
              </wp:positionV>
              <wp:extent cx="643699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69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995">
                            <a:moveTo>
                              <a:pt x="0" y="0"/>
                            </a:moveTo>
                            <a:lnTo>
                              <a:pt x="6436475" y="0"/>
                            </a:lnTo>
                          </a:path>
                        </a:pathLst>
                      </a:custGeom>
                      <a:ln w="95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3CFE30C">
            <v:shape id="Graphic 3" style="position:absolute;margin-left:52.6pt;margin-top:-4.3pt;width:506.8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1270" o:spid="_x0000_s1026" filled="f" strokeweight=".26456mm" path="m,l64364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" w14:anchorId="062C7391">
              <v:path arrowok="t"/>
              <w10:wrap anchorx="page"/>
            </v:shape>
          </w:pict>
        </mc:Fallback>
      </mc:AlternateContent>
    </w:r>
    <w:r w:rsidRPr="00894D83">
      <w:rPr>
        <w:sz w:val="18"/>
        <w:szCs w:val="18"/>
      </w:rPr>
      <w:t xml:space="preserve">Carrera 6ª Km </w:t>
    </w:r>
    <w:r w:rsidRPr="00894D83">
      <w:rPr>
        <w:w w:val="90"/>
        <w:sz w:val="18"/>
        <w:szCs w:val="18"/>
      </w:rPr>
      <w:t xml:space="preserve">1 </w:t>
    </w:r>
    <w:r w:rsidRPr="00894D83">
      <w:rPr>
        <w:sz w:val="18"/>
        <w:szCs w:val="18"/>
      </w:rPr>
      <w:t xml:space="preserve">Vía el Caimo, Galería de los Plátanos Bodega 16 Armenia (Quindío) </w:t>
    </w:r>
  </w:p>
  <w:p w:rsidRPr="00894D83" w:rsidR="00894D83" w:rsidP="00894D83" w:rsidRDefault="00894D83" w14:paraId="43EB8CD3" w14:textId="723E6EC3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hyperlink r:id="rId1">
      <w:r w:rsidRPr="00894D83">
        <w:rPr>
          <w:sz w:val="18"/>
          <w:szCs w:val="18"/>
        </w:rPr>
        <w:t>www.celifrut.com</w:t>
      </w:r>
    </w:hyperlink>
    <w:r w:rsidRPr="00894D83">
      <w:rPr>
        <w:sz w:val="18"/>
        <w:szCs w:val="18"/>
      </w:rPr>
      <w:t xml:space="preserve"> </w:t>
    </w:r>
  </w:p>
  <w:p w:rsidRPr="00894D83" w:rsidR="00894D83" w:rsidP="00894D83" w:rsidRDefault="00894D83" w14:paraId="703F992D" w14:textId="77777777">
    <w:pPr>
      <w:pStyle w:val="Piedepgina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07E7" w:rsidP="00894D83" w:rsidRDefault="00BF07E7" w14:paraId="48C88348" w14:textId="77777777">
      <w:r>
        <w:separator/>
      </w:r>
    </w:p>
  </w:footnote>
  <w:footnote w:type="continuationSeparator" w:id="0">
    <w:p w:rsidR="00BF07E7" w:rsidP="00894D83" w:rsidRDefault="00BF07E7" w14:paraId="5E10321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2EB5EA22" w14:textId="03334B37">
    <w:pPr>
      <w:pStyle w:val="Encabezado"/>
    </w:pPr>
    <w:r>
      <w:rPr>
        <w:noProof/>
      </w:rPr>
      <w:pict w14:anchorId="61D9301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9" style="position:absolute;margin-left:0;margin-top:0;width:503.75pt;height:503.75pt;z-index:-251655168;mso-position-horizontal:center;mso-position-horizontal-relative:margin;mso-position-vertical:center;mso-position-vertical-relative:margin" o:spid="_x0000_s1026" o:allowincell="f" type="#_x0000_t75">
          <v:imagedata gain="19661f" blacklevel="22938f" o:title="Original SF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4D83" w:rsidRDefault="00000000" w14:paraId="433EFFF2" w14:textId="64166AD3">
    <w:pPr>
      <w:pStyle w:val="Encabezado"/>
    </w:pPr>
    <w:r>
      <w:rPr>
        <w:rFonts w:ascii="Times New Roman"/>
        <w:noProof/>
        <w:sz w:val="20"/>
      </w:rPr>
      <w:pict w14:anchorId="4B0CFF4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20" style="position:absolute;margin-left:0;margin-top:0;width:503.75pt;height:503.75pt;z-index:-251654144;mso-position-horizontal:center;mso-position-horizontal-relative:margin;mso-position-vertical:center;mso-position-vertical-relative:margin" o:spid="_x0000_s1027" o:allowincell="f" type="#_x0000_t75">
          <v:imagedata gain="19661f" blacklevel="22938f" o:title="Original SF" r:id="rId1"/>
          <w10:wrap anchorx="margin" anchory="margin"/>
        </v:shape>
      </w:pict>
    </w:r>
    <w:r w:rsidR="00894D83">
      <w:rPr>
        <w:rFonts w:ascii="Times New Roman"/>
        <w:noProof/>
        <w:sz w:val="20"/>
      </w:rPr>
      <w:drawing>
        <wp:anchor distT="0" distB="0" distL="114300" distR="114300" simplePos="0" relativeHeight="251658240" behindDoc="1" locked="0" layoutInCell="1" allowOverlap="1" wp14:anchorId="302CC043" wp14:editId="4A4DD826">
          <wp:simplePos x="0" y="0"/>
          <wp:positionH relativeFrom="column">
            <wp:posOffset>5648325</wp:posOffset>
          </wp:positionH>
          <wp:positionV relativeFrom="paragraph">
            <wp:posOffset>-57150</wp:posOffset>
          </wp:positionV>
          <wp:extent cx="1149350" cy="607695"/>
          <wp:effectExtent l="0" t="0" r="0" b="190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1FCAADBD" w14:textId="425021ED">
    <w:pPr>
      <w:pStyle w:val="Encabezado"/>
    </w:pPr>
    <w:r>
      <w:rPr>
        <w:noProof/>
      </w:rPr>
      <w:pict w14:anchorId="1732640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8" style="position:absolute;margin-left:0;margin-top:0;width:503.75pt;height:503.75pt;z-index:-251656192;mso-position-horizontal:center;mso-position-horizontal-relative:margin;mso-position-vertical:center;mso-position-vertical-relative:margin" o:spid="_x0000_s1025" o:allowincell="f" type="#_x0000_t75">
          <v:imagedata gain="19661f" blacklevel="22938f" o:title="Original SF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7058352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6D9"/>
    <w:rsid w:val="00246199"/>
    <w:rsid w:val="00260D68"/>
    <w:rsid w:val="00310006"/>
    <w:rsid w:val="003A7783"/>
    <w:rsid w:val="004C519C"/>
    <w:rsid w:val="005A3AE4"/>
    <w:rsid w:val="006D3513"/>
    <w:rsid w:val="007852C5"/>
    <w:rsid w:val="00885C43"/>
    <w:rsid w:val="00894D83"/>
    <w:rsid w:val="008E41ED"/>
    <w:rsid w:val="00917AF9"/>
    <w:rsid w:val="00923485"/>
    <w:rsid w:val="00946B52"/>
    <w:rsid w:val="009A4DB2"/>
    <w:rsid w:val="00BC7B1B"/>
    <w:rsid w:val="00BF07E7"/>
    <w:rsid w:val="00C524F9"/>
    <w:rsid w:val="00CB633C"/>
    <w:rsid w:val="00D12F77"/>
    <w:rsid w:val="00E063B7"/>
    <w:rsid w:val="00E24D5E"/>
    <w:rsid w:val="00E57625"/>
    <w:rsid w:val="00EF56D9"/>
    <w:rsid w:val="00F60C3E"/>
    <w:rsid w:val="099C3793"/>
    <w:rsid w:val="1B3C747C"/>
    <w:rsid w:val="1EED0915"/>
    <w:rsid w:val="1F287F12"/>
    <w:rsid w:val="1F9980D6"/>
    <w:rsid w:val="213D62B2"/>
    <w:rsid w:val="34008D07"/>
    <w:rsid w:val="359A8968"/>
    <w:rsid w:val="3CA55A66"/>
    <w:rsid w:val="3ECC4DA5"/>
    <w:rsid w:val="43797435"/>
    <w:rsid w:val="454365F9"/>
    <w:rsid w:val="4A8D2991"/>
    <w:rsid w:val="4AEDC2D1"/>
    <w:rsid w:val="4EDA8516"/>
    <w:rsid w:val="525BA089"/>
    <w:rsid w:val="64604DE8"/>
    <w:rsid w:val="69F4A0E1"/>
    <w:rsid w:val="72CE9109"/>
    <w:rsid w:val="768D4DB8"/>
    <w:rsid w:val="79A343AA"/>
    <w:rsid w:val="7C09C244"/>
    <w:rsid w:val="7FE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6F38C"/>
  <w15:docId w15:val="{BB558CD2-FEFA-4ECD-9C02-1639F764D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Lucida Sans Unicode" w:hAnsi="Lucida Sans Unicode" w:eastAsia="Lucida Sans Unicode" w:cs="Lucida Sans Unicode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4D83"/>
    <w:rPr>
      <w:rFonts w:ascii="Lucida Sans Unicode" w:hAnsi="Lucida Sans Unicode" w:eastAsia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4D83"/>
    <w:rPr>
      <w:rFonts w:ascii="Lucida Sans Unicode" w:hAnsi="Lucida Sans Unicode" w:eastAsia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lifru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MEMBRETE.CELIFRUT</dc:title>
  <dc:creator>Estratega Quatro AM</dc:creator>
  <keywords>DAGdnXExiRM,BAGdaiO0r7g,0</keywords>
  <lastModifiedBy>Edwar Ariza</lastModifiedBy>
  <revision>23</revision>
  <dcterms:created xsi:type="dcterms:W3CDTF">2025-02-26T18:38:00.0000000Z</dcterms:created>
  <dcterms:modified xsi:type="dcterms:W3CDTF">2025-10-23T13:36:59.3121016Z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2025-02-26T00:00:00Z</vt:filetime>
  </property>
  <property fmtid="{D5CDD505-2E9C-101B-9397-08002B2CF9AE}" pid="5" name="Producer">
    <vt:lpwstr>Canva</vt:lpwstr>
  </property>
</Properties>
</file>