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VELORETTI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Legal guidelines for marketing, version 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Demo stand-in. No legal source was supplied for this project. Every rule,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 number and citation below is written for the demo and carries no legal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weight whatsoever.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 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guidelines apply to every asset that leaves the studio, in all four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served markets, paid and owned alike.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  CLAIMS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 Comparative claims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"Never name a competitor. Ever."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Category comparisons are permitted where a third-party source is reproduced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asset.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 Superlatives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"Superlatives require measurement."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absolute superlative (best, fastest, safest, longest range) may appear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unless a footnoted measurement accompanies it in the same asset.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 Performance figures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Any figure describing range, speed or load must match the approved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claim list held by product marketing.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 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reproduced source carries the name of the testing body and the date of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test. A source without a date is not a source.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  SUSTAINABILITY WORDING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"Climate neutral", "CO2 neutral" and "green" may not be used without a linked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calculation method, per the EU Green Claims Directive.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"Lower emissions than a car trip" is approved with the standard footnote.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"See memo GC-2025-04 for permitted phrasings."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memo is not reproduced here. Two approved examples appear in the annex.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  DISCLAIMERS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 Placement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disclaimer sits in the asset that carries the claim. A disclaimer on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landing page does not cover an 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 Range claims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"Use the approved footnote unchanged."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Range measured per WLTP-e cycle at 25 km/h assist, 75 kg rider, 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terrain. Real-world range varies.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closing sentence is required in Germany and is therefore included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default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  DATA AND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 Basis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Opt-in across all four markets. Double opt-in in Germany.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"Soft opt-in is not used by Veloretti."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 Profiling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Audience segments may not be built on inferred health or income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 Children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audience may be targeted below 18. Kids-line campaigns address parents.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"24 months from last engagement."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trigger is last engagement, not the date of collection.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  MARKET-SPECIFIC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 Germany, UWG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"Refer to Kanzlei opinion of 12 March."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rule text is set out in this section. Two examples appear in the footnotes: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 advertising states whether VAT and assembly are included, and dealer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availability claims carry the qualifier "at participating dealers".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 Netherlands, Belgium, Denmark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market-specific additions at version 7.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 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"Approval as agreed per campaign."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owner and no threshold are named. The examples in this section are all 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media.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ANNEX  APPROVED SUSTAINABILITY PHRASINGS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Lower emissions than the same trip by car.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Replaces a car trip, not a bus route.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