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CD770">
      <w:pPr>
        <w:pStyle w:val="2"/>
      </w:pPr>
      <w:r>
        <w:t xml:space="preserve">WDD 330 Personal Development </w:t>
      </w:r>
    </w:p>
    <w:p w14:paraId="07CC7C1E">
      <w:pPr>
        <w:pStyle w:val="13"/>
      </w:pPr>
      <w:r>
        <w:t>This document will be used in your final course assessment.</w:t>
      </w:r>
    </w:p>
    <w:p w14:paraId="10F21FA7">
      <w:pPr>
        <w:pStyle w:val="13"/>
      </w:pPr>
    </w:p>
    <w:p w14:paraId="5C67A342">
      <w:pPr>
        <w:pStyle w:val="13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  <w:highlight w:val="yellow"/>
          <w:lang w:val="en-US"/>
        </w:rPr>
        <w:t>Adiele Edwin Obinna</w:t>
      </w:r>
    </w:p>
    <w:p w14:paraId="695C6B0A">
      <w:pPr>
        <w:pStyle w:val="3"/>
        <w:rPr>
          <w:b/>
          <w:bCs/>
        </w:rPr>
      </w:pPr>
      <w:r>
        <w:rPr>
          <w:b/>
          <w:bCs/>
        </w:rPr>
        <w:t>Course Outcomes</w:t>
      </w:r>
      <w:bookmarkStart w:id="0" w:name="_GoBack"/>
      <w:bookmarkEnd w:id="0"/>
    </w:p>
    <w:p w14:paraId="415CB29E">
      <w:pPr>
        <w:pStyle w:val="13"/>
      </w:pPr>
      <w:r>
        <w:t>The following are the course outcomes of WDD 330:</w:t>
      </w:r>
    </w:p>
    <w:p w14:paraId="020A8DD1">
      <w:pPr>
        <w:pStyle w:val="13"/>
      </w:pPr>
    </w:p>
    <w:p w14:paraId="672B9C5B">
      <w:pPr>
        <w:pStyle w:val="13"/>
        <w:numPr>
          <w:ilvl w:val="0"/>
          <w:numId w:val="1"/>
        </w:numPr>
      </w:pPr>
      <w:r>
        <w:t>Become more efficient at applying your innate curiosity and creativity.</w:t>
      </w:r>
    </w:p>
    <w:p w14:paraId="0F1A369D">
      <w:pPr>
        <w:pStyle w:val="13"/>
        <w:numPr>
          <w:ilvl w:val="0"/>
          <w:numId w:val="1"/>
        </w:numPr>
      </w:pPr>
      <w:r>
        <w:t>Become more dexterous at exploring your environment.</w:t>
      </w:r>
    </w:p>
    <w:p w14:paraId="7BADD98E">
      <w:pPr>
        <w:pStyle w:val="13"/>
        <w:numPr>
          <w:ilvl w:val="0"/>
          <w:numId w:val="1"/>
        </w:numPr>
      </w:pPr>
      <w:r>
        <w:t>Become a person who enjoys helping and learning from others.</w:t>
      </w:r>
    </w:p>
    <w:p w14:paraId="57802973">
      <w:pPr>
        <w:pStyle w:val="13"/>
        <w:numPr>
          <w:ilvl w:val="0"/>
          <w:numId w:val="1"/>
        </w:numPr>
      </w:pPr>
      <w:r>
        <w:t>Use a divide and conquer approach to design solutions for programming problems.</w:t>
      </w:r>
    </w:p>
    <w:p w14:paraId="4AD06D5A">
      <w:pPr>
        <w:pStyle w:val="13"/>
        <w:numPr>
          <w:ilvl w:val="0"/>
          <w:numId w:val="1"/>
        </w:numPr>
      </w:pPr>
      <w:r>
        <w:t>Finding and troubleshooting bugs you and others will have in the code you write.</w:t>
      </w:r>
    </w:p>
    <w:p w14:paraId="1AE91F35">
      <w:pPr>
        <w:pStyle w:val="13"/>
        <w:numPr>
          <w:ilvl w:val="0"/>
          <w:numId w:val="1"/>
        </w:numPr>
      </w:pPr>
      <w:r>
        <w:t>Developing and debugging HTML, CSS, and JavaScript programs that use medium complexity web technologies.</w:t>
      </w:r>
    </w:p>
    <w:p w14:paraId="43BC2BE3">
      <w:pPr>
        <w:pStyle w:val="13"/>
      </w:pPr>
    </w:p>
    <w:p w14:paraId="5DB16334">
      <w:pPr>
        <w:pStyle w:val="13"/>
      </w:pPr>
      <w:r>
        <w:t>To complete this course, you need to demonstrate your skill in these areas. Outcomes #1-5 demonstrate your personal development and are most easily shown through self-assessment and sharing experiences. Outcome #6 demonstrates your programming skill and is shown through code and experience in projects.</w:t>
      </w:r>
    </w:p>
    <w:p w14:paraId="36D01AA5">
      <w:pPr>
        <w:pStyle w:val="3"/>
        <w:rPr>
          <w:b/>
          <w:bCs/>
        </w:rPr>
      </w:pPr>
      <w:r>
        <w:rPr>
          <w:b/>
          <w:bCs/>
        </w:rPr>
        <w:t xml:space="preserve">Personal Development Outcomes </w:t>
      </w:r>
    </w:p>
    <w:p w14:paraId="2CA2B30A">
      <w:pPr>
        <w:pStyle w:val="13"/>
      </w:pPr>
      <w:r>
        <w:t>For each of the personal development outcomes you need to rate your development according to the following scale:</w:t>
      </w:r>
    </w:p>
    <w:p w14:paraId="653221C9">
      <w:pPr>
        <w:pStyle w:val="13"/>
      </w:pPr>
    </w:p>
    <w:tbl>
      <w:tblPr>
        <w:tblStyle w:val="10"/>
        <w:tblW w:w="0" w:type="auto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10"/>
        <w:gridCol w:w="5719"/>
      </w:tblGrid>
      <w:tr w14:paraId="0C23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000000" w:themeFill="text1"/>
          </w:tcPr>
          <w:p w14:paraId="11C276CD">
            <w:pPr>
              <w:pStyle w:val="13"/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>
            <w:pPr>
              <w:pStyle w:val="13"/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>
            <w:pPr>
              <w:pStyle w:val="13"/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 w14:paraId="11786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00" w:type="dxa"/>
            <w:vAlign w:val="center"/>
          </w:tcPr>
          <w:p w14:paraId="45FE11B4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have not made progress in this area.</w:t>
            </w:r>
          </w:p>
        </w:tc>
      </w:tr>
      <w:tr w14:paraId="482E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00" w:type="dxa"/>
            <w:vAlign w:val="center"/>
          </w:tcPr>
          <w:p w14:paraId="1347D505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made some progress in this area but fell short of expectations.</w:t>
            </w:r>
          </w:p>
        </w:tc>
      </w:tr>
      <w:tr w14:paraId="318FB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00" w:type="dxa"/>
            <w:vAlign w:val="center"/>
          </w:tcPr>
          <w:p w14:paraId="2953C87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14:paraId="2941D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 w14:paraId="72AB12B6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>
            <w:pPr>
              <w:pStyle w:val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>
      <w:pPr>
        <w:pStyle w:val="13"/>
      </w:pPr>
    </w:p>
    <w:p w14:paraId="67B2A05E">
      <w:r>
        <w:t>For each course outcome, you include your rating of your development and list examples of times that you demonstrated this principle.</w:t>
      </w:r>
    </w:p>
    <w:p w14:paraId="4BB1B27D">
      <w:r>
        <w:br w:type="page"/>
      </w:r>
    </w:p>
    <w:p w14:paraId="6619DDBA">
      <w:r>
        <w:t>The following is an example of what is expected:</w:t>
      </w:r>
    </w:p>
    <w:tbl>
      <w:tblPr>
        <w:tblStyle w:val="10"/>
        <w:tblW w:w="981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95"/>
        <w:gridCol w:w="1030"/>
        <w:gridCol w:w="5670"/>
      </w:tblGrid>
      <w:tr w14:paraId="424A0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415" w:type="dxa"/>
            <w:shd w:val="clear" w:color="auto" w:fill="A5A5A5" w:themeFill="background1" w:themeFillShade="A6"/>
            <w:vAlign w:val="bottom"/>
          </w:tcPr>
          <w:p w14:paraId="6BBBBBA1">
            <w:pPr>
              <w:pStyle w:val="1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5A5A5" w:themeFill="background1" w:themeFillShade="A6"/>
            <w:vAlign w:val="bottom"/>
          </w:tcPr>
          <w:p w14:paraId="1C19FF22">
            <w:pPr>
              <w:pStyle w:val="1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Rating (0-3) </w:t>
            </w:r>
          </w:p>
        </w:tc>
        <w:tc>
          <w:tcPr>
            <w:tcW w:w="1030" w:type="dxa"/>
            <w:shd w:val="clear" w:color="auto" w:fill="A5A5A5" w:themeFill="background1" w:themeFillShade="A6"/>
            <w:vAlign w:val="bottom"/>
          </w:tcPr>
          <w:p w14:paraId="3A43EBA3">
            <w:pPr>
              <w:pStyle w:val="1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>
            <w:pPr>
              <w:pStyle w:val="1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5A5A5" w:themeFill="background1" w:themeFillShade="A6"/>
            <w:vAlign w:val="bottom"/>
          </w:tcPr>
          <w:p w14:paraId="7D806906">
            <w:pPr>
              <w:pStyle w:val="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14:paraId="767E5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415" w:type="dxa"/>
            <w:vMerge w:val="restart"/>
            <w:shd w:val="clear" w:color="auto" w:fill="D8D8D8" w:themeFill="background1" w:themeFillShade="D9"/>
          </w:tcPr>
          <w:p w14:paraId="2D4A6449">
            <w:pPr>
              <w:pStyle w:val="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Become a person who enjoys helping and learning from others.</w:t>
            </w:r>
          </w:p>
        </w:tc>
        <w:tc>
          <w:tcPr>
            <w:tcW w:w="695" w:type="dxa"/>
            <w:vMerge w:val="restart"/>
            <w:shd w:val="clear" w:color="auto" w:fill="D8D8D8" w:themeFill="background1" w:themeFillShade="D9"/>
          </w:tcPr>
          <w:p w14:paraId="19F60436">
            <w:pPr>
              <w:pStyle w:val="13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8D8D8" w:themeFill="background1" w:themeFillShade="D9"/>
          </w:tcPr>
          <w:p w14:paraId="0E0C4E3B">
            <w:pPr>
              <w:pStyle w:val="13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8D8D8" w:themeFill="background1" w:themeFillShade="D9"/>
          </w:tcPr>
          <w:p w14:paraId="0921F345">
            <w:pPr>
              <w:pStyle w:val="13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14:paraId="6D669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415" w:type="dxa"/>
            <w:vMerge w:val="continue"/>
            <w:shd w:val="clear" w:color="auto" w:fill="D8D8D8" w:themeFill="background1" w:themeFillShade="D9"/>
          </w:tcPr>
          <w:p w14:paraId="68B48007">
            <w:pPr>
              <w:pStyle w:val="13"/>
              <w:rPr>
                <w:sz w:val="18"/>
                <w:szCs w:val="18"/>
              </w:rPr>
            </w:pPr>
          </w:p>
        </w:tc>
        <w:tc>
          <w:tcPr>
            <w:tcW w:w="695" w:type="dxa"/>
            <w:vMerge w:val="continue"/>
            <w:shd w:val="clear" w:color="auto" w:fill="D8D8D8" w:themeFill="background1" w:themeFillShade="D9"/>
          </w:tcPr>
          <w:p w14:paraId="6FA069FA">
            <w:pPr>
              <w:pStyle w:val="13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8D8D8" w:themeFill="background1" w:themeFillShade="D9"/>
          </w:tcPr>
          <w:p w14:paraId="780E8910">
            <w:pPr>
              <w:pStyle w:val="13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8D8D8" w:themeFill="background1" w:themeFillShade="D9"/>
          </w:tcPr>
          <w:p w14:paraId="57B3BE53">
            <w:pPr>
              <w:pStyle w:val="13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At the end of our first project, one of my teammates was really having a hard time figuring out how he could 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>
            <w:pPr>
              <w:pStyle w:val="13"/>
              <w:rPr>
                <w:i/>
                <w:iCs/>
                <w:sz w:val="18"/>
                <w:szCs w:val="18"/>
              </w:rPr>
            </w:pPr>
          </w:p>
          <w:p w14:paraId="60AD24B8">
            <w:pPr>
              <w:pStyle w:val="13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14:paraId="44F35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415" w:type="dxa"/>
            <w:vMerge w:val="continue"/>
            <w:shd w:val="clear" w:color="auto" w:fill="D8D8D8" w:themeFill="background1" w:themeFillShade="D9"/>
          </w:tcPr>
          <w:p w14:paraId="13716813">
            <w:pPr>
              <w:pStyle w:val="13"/>
              <w:rPr>
                <w:sz w:val="18"/>
                <w:szCs w:val="18"/>
              </w:rPr>
            </w:pPr>
          </w:p>
        </w:tc>
        <w:tc>
          <w:tcPr>
            <w:tcW w:w="695" w:type="dxa"/>
            <w:vMerge w:val="continue"/>
            <w:shd w:val="clear" w:color="auto" w:fill="D8D8D8" w:themeFill="background1" w:themeFillShade="D9"/>
          </w:tcPr>
          <w:p w14:paraId="00B24BB1">
            <w:pPr>
              <w:pStyle w:val="13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8D8D8" w:themeFill="background1" w:themeFillShade="D9"/>
          </w:tcPr>
          <w:p w14:paraId="530E6DE9">
            <w:pPr>
              <w:pStyle w:val="13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8D8D8" w:themeFill="background1" w:themeFillShade="D9"/>
          </w:tcPr>
          <w:p w14:paraId="6B9B6EB7">
            <w:pPr>
              <w:pStyle w:val="13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/>
    <w:p w14:paraId="11400376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>
      <w:pPr>
        <w:pStyle w:val="17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Add your self-assessment rating for each outcome.</w:t>
      </w:r>
    </w:p>
    <w:p w14:paraId="59EA0D2A">
      <w:pPr>
        <w:pStyle w:val="17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List several examples of places you personally demonstrated your skill in each outcome.</w:t>
      </w:r>
    </w:p>
    <w:p w14:paraId="6941BC64">
      <w:pPr>
        <w:rPr>
          <w:i/>
          <w:iCs/>
        </w:rPr>
      </w:pPr>
      <w:r>
        <w:rPr>
          <w:i/>
          <w:iCs/>
        </w:rPr>
        <w:t>Feel free to add more rows to this table if needed.</w:t>
      </w:r>
    </w:p>
    <w:tbl>
      <w:tblPr>
        <w:tblStyle w:val="10"/>
        <w:tblW w:w="981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855"/>
        <w:gridCol w:w="995"/>
        <w:gridCol w:w="5106"/>
      </w:tblGrid>
      <w:tr w14:paraId="3A60E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shd w:val="clear" w:color="auto" w:fill="000000" w:themeFill="text1"/>
            <w:vAlign w:val="bottom"/>
          </w:tcPr>
          <w:p w14:paraId="198D7AB5">
            <w:pPr>
              <w:pStyle w:val="13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Outcome</w:t>
            </w:r>
          </w:p>
        </w:tc>
        <w:tc>
          <w:tcPr>
            <w:tcW w:w="855" w:type="dxa"/>
            <w:shd w:val="clear" w:color="auto" w:fill="000000" w:themeFill="text1"/>
            <w:vAlign w:val="bottom"/>
          </w:tcPr>
          <w:p w14:paraId="00EF4ECA">
            <w:pPr>
              <w:pStyle w:val="13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Rating (0-3)</w:t>
            </w:r>
          </w:p>
        </w:tc>
        <w:tc>
          <w:tcPr>
            <w:tcW w:w="995" w:type="dxa"/>
            <w:shd w:val="clear" w:color="auto" w:fill="000000" w:themeFill="text1"/>
            <w:vAlign w:val="bottom"/>
          </w:tcPr>
          <w:p w14:paraId="63A935A3">
            <w:pPr>
              <w:pStyle w:val="13"/>
              <w:jc w:val="center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Week #</w:t>
            </w:r>
          </w:p>
        </w:tc>
        <w:tc>
          <w:tcPr>
            <w:tcW w:w="5106" w:type="dxa"/>
            <w:shd w:val="clear" w:color="auto" w:fill="000000" w:themeFill="text1"/>
            <w:vAlign w:val="bottom"/>
          </w:tcPr>
          <w:p w14:paraId="6D7B9DC8">
            <w:pPr>
              <w:pStyle w:val="13"/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Description of Example</w:t>
            </w:r>
          </w:p>
        </w:tc>
      </w:tr>
      <w:tr w14:paraId="7BFEF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restart"/>
          </w:tcPr>
          <w:p w14:paraId="337AAA29">
            <w:pPr>
              <w:pStyle w:val="13"/>
            </w:pPr>
            <w:r>
              <w:t>Become more efficient at applying your innate curiosity and creativity.</w:t>
            </w:r>
          </w:p>
        </w:tc>
        <w:tc>
          <w:tcPr>
            <w:tcW w:w="855" w:type="dxa"/>
            <w:vMerge w:val="restart"/>
          </w:tcPr>
          <w:p w14:paraId="7FBF0782">
            <w:pPr>
              <w:pStyle w:val="13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995" w:type="dxa"/>
          </w:tcPr>
          <w:p w14:paraId="03DEAEAE">
            <w:pPr>
              <w:pStyle w:val="1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Week 01</w:t>
            </w:r>
          </w:p>
        </w:tc>
        <w:tc>
          <w:tcPr>
            <w:tcW w:w="5106" w:type="dxa"/>
          </w:tcPr>
          <w:p w14:paraId="10DFFD24">
            <w:pPr>
              <w:pStyle w:val="13"/>
            </w:pPr>
            <w:r>
              <w:rPr>
                <w:rFonts w:hint="default"/>
              </w:rPr>
              <w:t>During the project where we had to implement a new API, I encountered an unfamiliar data structure that wasn't covered in class. Instead of waiting for help, I used my curiosity to explore the API documentation thoroughly and looked up external resources on MDN. Through this creative problem-solving approach, I figured out how to parse the data correctly and successfully integrated the API, allowing our application to display dynamic content.</w:t>
            </w:r>
          </w:p>
        </w:tc>
      </w:tr>
      <w:tr w14:paraId="0A962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continue"/>
          </w:tcPr>
          <w:p w14:paraId="00365E69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51155431">
            <w:pPr>
              <w:pStyle w:val="13"/>
              <w:jc w:val="center"/>
            </w:pPr>
          </w:p>
        </w:tc>
        <w:tc>
          <w:tcPr>
            <w:tcW w:w="995" w:type="dxa"/>
          </w:tcPr>
          <w:p w14:paraId="40D08C54">
            <w:pPr>
              <w:pStyle w:val="13"/>
            </w:pPr>
          </w:p>
        </w:tc>
        <w:tc>
          <w:tcPr>
            <w:tcW w:w="5106" w:type="dxa"/>
          </w:tcPr>
          <w:p w14:paraId="1BA45679">
            <w:pPr>
              <w:pStyle w:val="13"/>
            </w:pPr>
          </w:p>
        </w:tc>
      </w:tr>
      <w:tr w14:paraId="43F24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continue"/>
          </w:tcPr>
          <w:p w14:paraId="3E626DBC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174EAFF9">
            <w:pPr>
              <w:pStyle w:val="13"/>
              <w:jc w:val="center"/>
            </w:pPr>
          </w:p>
        </w:tc>
        <w:tc>
          <w:tcPr>
            <w:tcW w:w="995" w:type="dxa"/>
          </w:tcPr>
          <w:p w14:paraId="611887C2">
            <w:pPr>
              <w:pStyle w:val="13"/>
            </w:pPr>
          </w:p>
        </w:tc>
        <w:tc>
          <w:tcPr>
            <w:tcW w:w="5106" w:type="dxa"/>
          </w:tcPr>
          <w:p w14:paraId="051CFBBE">
            <w:pPr>
              <w:pStyle w:val="13"/>
            </w:pPr>
          </w:p>
        </w:tc>
      </w:tr>
      <w:tr w14:paraId="386BD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vMerge w:val="restart"/>
          </w:tcPr>
          <w:p w14:paraId="40D2F005">
            <w:pPr>
              <w:pStyle w:val="13"/>
            </w:pPr>
            <w:r>
              <w:t>Become more dexterous at exploring your environment.</w:t>
            </w:r>
          </w:p>
        </w:tc>
        <w:tc>
          <w:tcPr>
            <w:tcW w:w="855" w:type="dxa"/>
            <w:vMerge w:val="restart"/>
          </w:tcPr>
          <w:p w14:paraId="4D29CB8F">
            <w:pPr>
              <w:pStyle w:val="13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995" w:type="dxa"/>
          </w:tcPr>
          <w:p w14:paraId="774ED424">
            <w:pPr>
              <w:pStyle w:val="1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Week 02</w:t>
            </w:r>
          </w:p>
        </w:tc>
        <w:tc>
          <w:tcPr>
            <w:tcW w:w="5106" w:type="dxa"/>
          </w:tcPr>
          <w:p w14:paraId="262D7199">
            <w:pPr>
              <w:pStyle w:val="13"/>
            </w:pPr>
            <w:r>
              <w:rPr>
                <w:rFonts w:hint="default"/>
              </w:rPr>
              <w:t>Become more dexterous at exploring your environment.</w:t>
            </w:r>
          </w:p>
        </w:tc>
      </w:tr>
      <w:tr w14:paraId="573FF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vMerge w:val="continue"/>
          </w:tcPr>
          <w:p w14:paraId="1B7C0803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6F533D16">
            <w:pPr>
              <w:pStyle w:val="13"/>
              <w:jc w:val="center"/>
            </w:pPr>
          </w:p>
        </w:tc>
        <w:tc>
          <w:tcPr>
            <w:tcW w:w="995" w:type="dxa"/>
          </w:tcPr>
          <w:p w14:paraId="004C244D">
            <w:pPr>
              <w:pStyle w:val="13"/>
            </w:pPr>
          </w:p>
        </w:tc>
        <w:tc>
          <w:tcPr>
            <w:tcW w:w="5106" w:type="dxa"/>
          </w:tcPr>
          <w:p w14:paraId="04193CD9">
            <w:pPr>
              <w:pStyle w:val="13"/>
            </w:pPr>
          </w:p>
        </w:tc>
      </w:tr>
      <w:tr w14:paraId="7AC99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vMerge w:val="continue"/>
          </w:tcPr>
          <w:p w14:paraId="4D00B59B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4D178DBA">
            <w:pPr>
              <w:pStyle w:val="13"/>
              <w:jc w:val="center"/>
            </w:pPr>
          </w:p>
        </w:tc>
        <w:tc>
          <w:tcPr>
            <w:tcW w:w="995" w:type="dxa"/>
          </w:tcPr>
          <w:p w14:paraId="2F43E050">
            <w:pPr>
              <w:pStyle w:val="13"/>
            </w:pPr>
          </w:p>
        </w:tc>
        <w:tc>
          <w:tcPr>
            <w:tcW w:w="5106" w:type="dxa"/>
          </w:tcPr>
          <w:p w14:paraId="5A013135">
            <w:pPr>
              <w:pStyle w:val="13"/>
            </w:pPr>
          </w:p>
        </w:tc>
      </w:tr>
      <w:tr w14:paraId="7CB9F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vMerge w:val="restart"/>
          </w:tcPr>
          <w:p w14:paraId="22C2C38E">
            <w:pPr>
              <w:pStyle w:val="13"/>
            </w:pPr>
            <w:r>
              <w:t>Become a person who enjoys helping and learning from others.</w:t>
            </w:r>
          </w:p>
        </w:tc>
        <w:tc>
          <w:tcPr>
            <w:tcW w:w="855" w:type="dxa"/>
            <w:vMerge w:val="restart"/>
          </w:tcPr>
          <w:p w14:paraId="40EDC480">
            <w:pPr>
              <w:pStyle w:val="13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995" w:type="dxa"/>
          </w:tcPr>
          <w:p w14:paraId="24D4F6C7">
            <w:pPr>
              <w:pStyle w:val="1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Week 03</w:t>
            </w:r>
          </w:p>
        </w:tc>
        <w:tc>
          <w:tcPr>
            <w:tcW w:w="5106" w:type="dxa"/>
          </w:tcPr>
          <w:p w14:paraId="190C021E">
            <w:pPr>
              <w:pStyle w:val="1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engaged to learn from friends who have done the courses before and they were able to put me through to the best of their knowledge</w:t>
            </w:r>
          </w:p>
        </w:tc>
      </w:tr>
      <w:tr w14:paraId="03DD2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continue"/>
          </w:tcPr>
          <w:p w14:paraId="05B35946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6A6B3031">
            <w:pPr>
              <w:pStyle w:val="13"/>
              <w:jc w:val="center"/>
            </w:pPr>
          </w:p>
        </w:tc>
        <w:tc>
          <w:tcPr>
            <w:tcW w:w="995" w:type="dxa"/>
          </w:tcPr>
          <w:p w14:paraId="4C7478B8">
            <w:pPr>
              <w:pStyle w:val="13"/>
            </w:pPr>
          </w:p>
        </w:tc>
        <w:tc>
          <w:tcPr>
            <w:tcW w:w="5106" w:type="dxa"/>
          </w:tcPr>
          <w:p w14:paraId="2B47FDB7">
            <w:pPr>
              <w:pStyle w:val="13"/>
            </w:pPr>
          </w:p>
        </w:tc>
      </w:tr>
      <w:tr w14:paraId="23448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continue"/>
          </w:tcPr>
          <w:p w14:paraId="56D1F572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2B97F95B">
            <w:pPr>
              <w:pStyle w:val="13"/>
              <w:jc w:val="center"/>
            </w:pPr>
          </w:p>
        </w:tc>
        <w:tc>
          <w:tcPr>
            <w:tcW w:w="995" w:type="dxa"/>
          </w:tcPr>
          <w:p w14:paraId="4FC1E829">
            <w:pPr>
              <w:pStyle w:val="13"/>
            </w:pPr>
          </w:p>
        </w:tc>
        <w:tc>
          <w:tcPr>
            <w:tcW w:w="5106" w:type="dxa"/>
          </w:tcPr>
          <w:p w14:paraId="5CF44D40">
            <w:pPr>
              <w:pStyle w:val="13"/>
            </w:pPr>
          </w:p>
        </w:tc>
      </w:tr>
      <w:tr w14:paraId="39FC3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restart"/>
          </w:tcPr>
          <w:p w14:paraId="160ADEF9">
            <w:pPr>
              <w:pStyle w:val="13"/>
            </w:pPr>
            <w:r>
              <w:t>Use a divide and conquer approach to design solutions for programming problems.</w:t>
            </w:r>
          </w:p>
        </w:tc>
        <w:tc>
          <w:tcPr>
            <w:tcW w:w="855" w:type="dxa"/>
            <w:vMerge w:val="restart"/>
          </w:tcPr>
          <w:p w14:paraId="03D3CADB">
            <w:pPr>
              <w:pStyle w:val="13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995" w:type="dxa"/>
          </w:tcPr>
          <w:p w14:paraId="3A18BEEA">
            <w:pPr>
              <w:pStyle w:val="1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Week 04</w:t>
            </w:r>
          </w:p>
        </w:tc>
        <w:tc>
          <w:tcPr>
            <w:tcW w:w="5106" w:type="dxa"/>
            <w:vAlign w:val="top"/>
          </w:tcPr>
          <w:p w14:paraId="6260E348">
            <w:pPr>
              <w:pStyle w:val="13"/>
            </w:pPr>
            <w:r>
              <w:rPr>
                <w:rFonts w:hint="default"/>
              </w:rPr>
              <w:t>Use a divide and conquer approach to design solutions for programming problems.</w:t>
            </w:r>
          </w:p>
        </w:tc>
      </w:tr>
      <w:tr w14:paraId="3E2AF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continue"/>
          </w:tcPr>
          <w:p w14:paraId="1CDFFE0C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7462F4AC">
            <w:pPr>
              <w:pStyle w:val="13"/>
              <w:jc w:val="center"/>
            </w:pPr>
          </w:p>
        </w:tc>
        <w:tc>
          <w:tcPr>
            <w:tcW w:w="995" w:type="dxa"/>
          </w:tcPr>
          <w:p w14:paraId="5821C323">
            <w:pPr>
              <w:pStyle w:val="13"/>
            </w:pPr>
          </w:p>
        </w:tc>
        <w:tc>
          <w:tcPr>
            <w:tcW w:w="5106" w:type="dxa"/>
          </w:tcPr>
          <w:p w14:paraId="2247F912">
            <w:pPr>
              <w:pStyle w:val="13"/>
            </w:pPr>
          </w:p>
        </w:tc>
      </w:tr>
      <w:tr w14:paraId="39203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54" w:type="dxa"/>
            <w:vMerge w:val="continue"/>
          </w:tcPr>
          <w:p w14:paraId="120C017C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1C8B669E">
            <w:pPr>
              <w:pStyle w:val="13"/>
              <w:jc w:val="center"/>
            </w:pPr>
          </w:p>
        </w:tc>
        <w:tc>
          <w:tcPr>
            <w:tcW w:w="995" w:type="dxa"/>
          </w:tcPr>
          <w:p w14:paraId="71A1A31F">
            <w:pPr>
              <w:pStyle w:val="13"/>
            </w:pPr>
          </w:p>
        </w:tc>
        <w:tc>
          <w:tcPr>
            <w:tcW w:w="5106" w:type="dxa"/>
          </w:tcPr>
          <w:p w14:paraId="60FBDB7D">
            <w:pPr>
              <w:pStyle w:val="13"/>
            </w:pPr>
          </w:p>
        </w:tc>
      </w:tr>
      <w:tr w14:paraId="0C60B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vMerge w:val="restart"/>
          </w:tcPr>
          <w:p w14:paraId="2393E079">
            <w:pPr>
              <w:pStyle w:val="13"/>
            </w:pPr>
            <w:r>
              <w:t>Finding and troubleshooting bugs you and others will have in the code you write.</w:t>
            </w:r>
          </w:p>
        </w:tc>
        <w:tc>
          <w:tcPr>
            <w:tcW w:w="855" w:type="dxa"/>
            <w:vMerge w:val="restart"/>
          </w:tcPr>
          <w:p w14:paraId="2B43B446">
            <w:pPr>
              <w:pStyle w:val="13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995" w:type="dxa"/>
          </w:tcPr>
          <w:p w14:paraId="7B174311">
            <w:pPr>
              <w:pStyle w:val="1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Week 04</w:t>
            </w:r>
          </w:p>
        </w:tc>
        <w:tc>
          <w:tcPr>
            <w:tcW w:w="5106" w:type="dxa"/>
            <w:shd w:val="clear"/>
            <w:vAlign w:val="top"/>
          </w:tcPr>
          <w:p w14:paraId="4674DD75">
            <w:pPr>
              <w:pStyle w:val="13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Finding and troubleshooting bugs you and others will have in the code you write.</w:t>
            </w:r>
          </w:p>
        </w:tc>
      </w:tr>
      <w:tr w14:paraId="43EFE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vMerge w:val="continue"/>
          </w:tcPr>
          <w:p w14:paraId="761E03AB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36A8A35C">
            <w:pPr>
              <w:pStyle w:val="13"/>
            </w:pPr>
          </w:p>
        </w:tc>
        <w:tc>
          <w:tcPr>
            <w:tcW w:w="995" w:type="dxa"/>
          </w:tcPr>
          <w:p w14:paraId="787FB479">
            <w:pPr>
              <w:pStyle w:val="13"/>
            </w:pPr>
          </w:p>
        </w:tc>
        <w:tc>
          <w:tcPr>
            <w:tcW w:w="5106" w:type="dxa"/>
          </w:tcPr>
          <w:p w14:paraId="563B81D0">
            <w:pPr>
              <w:pStyle w:val="13"/>
            </w:pPr>
          </w:p>
        </w:tc>
      </w:tr>
      <w:tr w14:paraId="2150F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54" w:type="dxa"/>
            <w:vMerge w:val="continue"/>
          </w:tcPr>
          <w:p w14:paraId="66430A47">
            <w:pPr>
              <w:pStyle w:val="13"/>
            </w:pPr>
          </w:p>
        </w:tc>
        <w:tc>
          <w:tcPr>
            <w:tcW w:w="855" w:type="dxa"/>
            <w:vMerge w:val="continue"/>
          </w:tcPr>
          <w:p w14:paraId="67D102AB">
            <w:pPr>
              <w:pStyle w:val="13"/>
            </w:pPr>
          </w:p>
        </w:tc>
        <w:tc>
          <w:tcPr>
            <w:tcW w:w="995" w:type="dxa"/>
          </w:tcPr>
          <w:p w14:paraId="34EE2088">
            <w:pPr>
              <w:pStyle w:val="13"/>
            </w:pPr>
          </w:p>
        </w:tc>
        <w:tc>
          <w:tcPr>
            <w:tcW w:w="5106" w:type="dxa"/>
          </w:tcPr>
          <w:p w14:paraId="2E62D9F9">
            <w:pPr>
              <w:pStyle w:val="13"/>
            </w:pPr>
          </w:p>
        </w:tc>
      </w:tr>
    </w:tbl>
    <w:p w14:paraId="3C61FCDF">
      <w:pPr>
        <w:pStyle w:val="13"/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015FC"/>
    <w:multiLevelType w:val="multilevel"/>
    <w:tmpl w:val="059015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04DFF"/>
    <w:multiLevelType w:val="multilevel"/>
    <w:tmpl w:val="09B04DF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2B495CB4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3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8"/>
      <w:szCs w:val="24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32"/>
    </w:rPr>
  </w:style>
  <w:style w:type="character" w:customStyle="1" w:styleId="12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6"/>
      <w:szCs w:val="2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4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8"/>
      <w:szCs w:val="24"/>
    </w:rPr>
  </w:style>
  <w:style w:type="character" w:customStyle="1" w:styleId="15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4"/>
    </w:rPr>
  </w:style>
  <w:style w:type="table" w:customStyle="1" w:styleId="16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/>
</ds:datastoreItem>
</file>

<file path=customXml/itemProps2.xml><?xml version="1.0" encoding="utf-8"?>
<ds:datastoreItem xmlns:ds="http://schemas.openxmlformats.org/officeDocument/2006/customXml" ds:itemID="{B9AEEB80-803A-4749-92D8-ADC156A01D53}">
  <ds:schemaRefs/>
</ds:datastoreItem>
</file>

<file path=customXml/itemProps3.xml><?xml version="1.0" encoding="utf-8"?>
<ds:datastoreItem xmlns:ds="http://schemas.openxmlformats.org/officeDocument/2006/customXml" ds:itemID="{D02D787C-96F3-476C-AC00-5E042564F4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475</Words>
  <Characters>2714</Characters>
  <Lines>22</Lines>
  <Paragraphs>6</Paragraphs>
  <TotalTime>11</TotalTime>
  <ScaleCrop>false</ScaleCrop>
  <LinksUpToDate>false</LinksUpToDate>
  <CharactersWithSpaces>3183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2024-03-16T23:00:00Z</dcterms:created>
  <dc:creator>Burton, Scott</dc:creator>
  <cp:lastModifiedBy>adiele obinna</cp:lastModifiedBy>
  <dcterms:modified xsi:type="dcterms:W3CDTF">2025-07-31T17:41:52Z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  <property fmtid="{D5CDD505-2E9C-101B-9397-08002B2CF9AE}" pid="3" name="KSOProductBuildVer">
    <vt:lpwstr>1033-12.2.0.21179</vt:lpwstr>
  </property>
  <property fmtid="{D5CDD505-2E9C-101B-9397-08002B2CF9AE}" pid="4" name="ICV">
    <vt:lpwstr>34A2ACAD84514BA7A19B0A02258A4550_12</vt:lpwstr>
  </property>
</Properties>
</file>