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B252" w14:textId="77777777" w:rsidR="005E48A6" w:rsidRDefault="009D1A8D">
      <w:pPr>
        <w:pStyle w:val="CodebookTitle"/>
      </w:pPr>
      <w:r>
        <w:t>Communication for Mental Health Practitioners</w:t>
      </w:r>
    </w:p>
    <w:p w14:paraId="1DEB2EF8" w14:textId="3C38CADC" w:rsidR="00104F90" w:rsidRPr="00104F90" w:rsidRDefault="00104F90" w:rsidP="00104F90">
      <w:pPr>
        <w:rPr>
          <w:lang w:val="en-US"/>
        </w:rPr>
      </w:pPr>
      <w:r w:rsidRPr="00104F90">
        <w:rPr>
          <w:lang w:val="en-US"/>
        </w:rPr>
        <w:t xml:space="preserve">A total of </w:t>
      </w:r>
      <w:r w:rsidRPr="00104F90">
        <w:rPr>
          <w:b/>
          <w:bCs/>
          <w:lang w:val="en-US"/>
        </w:rPr>
        <w:t xml:space="preserve">17 Yarning Circles </w:t>
      </w:r>
      <w:r w:rsidRPr="00104F90">
        <w:rPr>
          <w:lang w:val="en-US"/>
        </w:rPr>
        <w:t xml:space="preserve">were facilitated across </w:t>
      </w:r>
      <w:r w:rsidR="00881109">
        <w:rPr>
          <w:lang w:val="en-US"/>
        </w:rPr>
        <w:t>four</w:t>
      </w:r>
      <w:r w:rsidRPr="00104F90">
        <w:rPr>
          <w:lang w:val="en-US"/>
        </w:rPr>
        <w:t xml:space="preserve"> Queensland Hospital and Health sites. </w:t>
      </w:r>
    </w:p>
    <w:p w14:paraId="6275A58D" w14:textId="2D551918" w:rsidR="00104F90" w:rsidRPr="00104F90" w:rsidRDefault="00104F90" w:rsidP="00104F90">
      <w:pPr>
        <w:rPr>
          <w:lang w:val="en-US"/>
        </w:rPr>
      </w:pPr>
      <w:r w:rsidRPr="00104F90">
        <w:rPr>
          <w:lang w:val="en-US"/>
        </w:rPr>
        <w:t xml:space="preserve">Metro North HHS </w:t>
      </w:r>
      <w:r w:rsidRPr="00104F90">
        <w:rPr>
          <w:lang w:val="en-US"/>
        </w:rPr>
        <w:t>–</w:t>
      </w:r>
      <w:r w:rsidRPr="00104F90">
        <w:rPr>
          <w:lang w:val="en-US"/>
        </w:rPr>
        <w:t xml:space="preserve"> Chermside</w:t>
      </w:r>
      <w:r>
        <w:rPr>
          <w:lang w:val="en-US"/>
        </w:rPr>
        <w:t>,</w:t>
      </w:r>
      <w:r w:rsidRPr="00104F90">
        <w:rPr>
          <w:lang w:val="en-US"/>
        </w:rPr>
        <w:t xml:space="preserve"> Caboolture</w:t>
      </w:r>
      <w:r>
        <w:rPr>
          <w:lang w:val="en-US"/>
        </w:rPr>
        <w:t>,</w:t>
      </w:r>
      <w:r w:rsidRPr="00104F90">
        <w:rPr>
          <w:lang w:val="en-US"/>
        </w:rPr>
        <w:t xml:space="preserve"> Fortitude valley</w:t>
      </w:r>
      <w:r>
        <w:rPr>
          <w:lang w:val="en-US"/>
        </w:rPr>
        <w:t xml:space="preserve">, </w:t>
      </w:r>
      <w:r w:rsidRPr="00104F90">
        <w:rPr>
          <w:lang w:val="en-US"/>
        </w:rPr>
        <w:t>City</w:t>
      </w:r>
    </w:p>
    <w:p w14:paraId="565CFAAC" w14:textId="6013DCE3" w:rsidR="00104F90" w:rsidRPr="00104F90" w:rsidRDefault="00104F90" w:rsidP="00104F90">
      <w:pPr>
        <w:rPr>
          <w:lang w:val="en-US"/>
        </w:rPr>
      </w:pPr>
      <w:r w:rsidRPr="00104F90">
        <w:rPr>
          <w:lang w:val="en-US"/>
        </w:rPr>
        <w:t xml:space="preserve">Metro South HHS </w:t>
      </w:r>
      <w:r w:rsidRPr="00104F90">
        <w:rPr>
          <w:lang w:val="en-US"/>
        </w:rPr>
        <w:t>–</w:t>
      </w:r>
      <w:r w:rsidRPr="00104F90">
        <w:rPr>
          <w:lang w:val="en-US"/>
        </w:rPr>
        <w:t xml:space="preserve"> </w:t>
      </w:r>
      <w:r>
        <w:rPr>
          <w:lang w:val="en-US"/>
        </w:rPr>
        <w:t>Inal, Browns Plains</w:t>
      </w:r>
    </w:p>
    <w:p w14:paraId="48097A44" w14:textId="66BB9048" w:rsidR="00104F90" w:rsidRPr="00104F90" w:rsidRDefault="00104F90" w:rsidP="00104F90">
      <w:pPr>
        <w:rPr>
          <w:lang w:val="en-US"/>
        </w:rPr>
      </w:pPr>
      <w:r w:rsidRPr="00104F90">
        <w:rPr>
          <w:lang w:val="en-US"/>
        </w:rPr>
        <w:t xml:space="preserve">Central Queensland </w:t>
      </w:r>
      <w:r w:rsidRPr="00104F90">
        <w:rPr>
          <w:lang w:val="en-US"/>
        </w:rPr>
        <w:t>–</w:t>
      </w:r>
      <w:r w:rsidRPr="00104F90">
        <w:rPr>
          <w:lang w:val="en-US"/>
        </w:rPr>
        <w:t xml:space="preserve"> Rockhampton and </w:t>
      </w:r>
      <w:r w:rsidR="009D1A8D">
        <w:rPr>
          <w:lang w:val="en-US"/>
        </w:rPr>
        <w:t>Gladstone</w:t>
      </w:r>
    </w:p>
    <w:p w14:paraId="72BB6F73" w14:textId="77777777" w:rsidR="00104F90" w:rsidRPr="00104F90" w:rsidRDefault="00104F90" w:rsidP="00104F90">
      <w:pPr>
        <w:rPr>
          <w:lang w:val="en-US"/>
        </w:rPr>
      </w:pPr>
      <w:r w:rsidRPr="00104F90">
        <w:rPr>
          <w:lang w:val="en-US"/>
        </w:rPr>
        <w:t xml:space="preserve">There were also two yarning circles held for Aboriginal and Torres Strait Islander Mental Health Professional. </w:t>
      </w:r>
    </w:p>
    <w:p w14:paraId="1BAF84B8" w14:textId="77777777" w:rsidR="00104F90" w:rsidRPr="00104F90" w:rsidRDefault="00104F90" w:rsidP="00104F90">
      <w:pPr>
        <w:rPr>
          <w:lang w:val="en-US"/>
        </w:rPr>
      </w:pPr>
      <w:r w:rsidRPr="00104F90">
        <w:rPr>
          <w:lang w:val="en-US"/>
        </w:rPr>
        <w:t xml:space="preserve">A total of 136 attended. </w:t>
      </w:r>
    </w:p>
    <w:p w14:paraId="378336B9" w14:textId="3267377A" w:rsidR="00104F90" w:rsidRPr="00104F90" w:rsidRDefault="00104F90" w:rsidP="00104F90">
      <w:pPr>
        <w:rPr>
          <w:b/>
          <w:bCs/>
          <w:lang w:val="en-US"/>
        </w:rPr>
      </w:pPr>
      <w:r w:rsidRPr="00104F90">
        <w:rPr>
          <w:b/>
          <w:bCs/>
          <w:lang w:val="en-US"/>
        </w:rPr>
        <w:t>PARTICIPANTS</w:t>
      </w:r>
    </w:p>
    <w:tbl>
      <w:tblPr>
        <w:tblStyle w:val="TableGrid"/>
        <w:tblW w:w="7650" w:type="dxa"/>
        <w:tblLook w:val="04A0" w:firstRow="1" w:lastRow="0" w:firstColumn="1" w:lastColumn="0" w:noHBand="0" w:noVBand="1"/>
      </w:tblPr>
      <w:tblGrid>
        <w:gridCol w:w="1696"/>
        <w:gridCol w:w="2746"/>
        <w:gridCol w:w="1560"/>
        <w:gridCol w:w="1648"/>
      </w:tblGrid>
      <w:tr w:rsidR="00104F90" w:rsidRPr="00104F90" w14:paraId="47BC52D7" w14:textId="77777777" w:rsidTr="00104F90">
        <w:tc>
          <w:tcPr>
            <w:tcW w:w="1696" w:type="dxa"/>
            <w:shd w:val="clear" w:color="auto" w:fill="FFF2CC" w:themeFill="accent4" w:themeFillTint="33"/>
          </w:tcPr>
          <w:p w14:paraId="3FD733AB" w14:textId="77777777" w:rsidR="00104F90" w:rsidRPr="00104F90" w:rsidRDefault="00104F90" w:rsidP="00104F90">
            <w:pPr>
              <w:spacing w:after="160" w:line="259" w:lineRule="auto"/>
              <w:rPr>
                <w:b/>
                <w:bCs/>
              </w:rPr>
            </w:pPr>
            <w:r w:rsidRPr="00104F90">
              <w:rPr>
                <w:b/>
                <w:bCs/>
              </w:rPr>
              <w:t>HHS</w:t>
            </w:r>
          </w:p>
        </w:tc>
        <w:tc>
          <w:tcPr>
            <w:tcW w:w="2746" w:type="dxa"/>
            <w:shd w:val="clear" w:color="auto" w:fill="FFF2CC" w:themeFill="accent4" w:themeFillTint="33"/>
          </w:tcPr>
          <w:p w14:paraId="3DE60681" w14:textId="77777777" w:rsidR="00104F90" w:rsidRPr="00104F90" w:rsidRDefault="00104F90" w:rsidP="00104F90">
            <w:pPr>
              <w:spacing w:after="160" w:line="259" w:lineRule="auto"/>
              <w:rPr>
                <w:b/>
                <w:bCs/>
              </w:rPr>
            </w:pPr>
            <w:r w:rsidRPr="00104F90">
              <w:rPr>
                <w:b/>
                <w:bCs/>
              </w:rPr>
              <w:t>Number of Yarning Circle</w:t>
            </w:r>
          </w:p>
        </w:tc>
        <w:tc>
          <w:tcPr>
            <w:tcW w:w="1560" w:type="dxa"/>
            <w:shd w:val="clear" w:color="auto" w:fill="FFF2CC" w:themeFill="accent4" w:themeFillTint="33"/>
          </w:tcPr>
          <w:p w14:paraId="3C946578" w14:textId="77777777" w:rsidR="00104F90" w:rsidRPr="00104F90" w:rsidRDefault="00104F90" w:rsidP="00104F90">
            <w:pPr>
              <w:spacing w:after="160" w:line="259" w:lineRule="auto"/>
              <w:rPr>
                <w:b/>
                <w:bCs/>
              </w:rPr>
            </w:pPr>
            <w:r w:rsidRPr="00104F90">
              <w:rPr>
                <w:b/>
                <w:bCs/>
              </w:rPr>
              <w:t>Number of Participants</w:t>
            </w:r>
          </w:p>
        </w:tc>
        <w:tc>
          <w:tcPr>
            <w:tcW w:w="1648" w:type="dxa"/>
            <w:shd w:val="clear" w:color="auto" w:fill="FFF2CC" w:themeFill="accent4" w:themeFillTint="33"/>
          </w:tcPr>
          <w:p w14:paraId="240587EF" w14:textId="77777777" w:rsidR="00104F90" w:rsidRPr="00104F90" w:rsidRDefault="00104F90" w:rsidP="00104F90">
            <w:pPr>
              <w:spacing w:after="160" w:line="259" w:lineRule="auto"/>
              <w:rPr>
                <w:b/>
                <w:bCs/>
              </w:rPr>
            </w:pPr>
            <w:r w:rsidRPr="00104F90">
              <w:rPr>
                <w:b/>
                <w:bCs/>
              </w:rPr>
              <w:t>IDENTIFIED</w:t>
            </w:r>
          </w:p>
          <w:p w14:paraId="033C9F6A" w14:textId="77777777" w:rsidR="00104F90" w:rsidRPr="00104F90" w:rsidRDefault="00104F90" w:rsidP="00104F90">
            <w:pPr>
              <w:spacing w:after="160" w:line="259" w:lineRule="auto"/>
              <w:rPr>
                <w:b/>
                <w:bCs/>
              </w:rPr>
            </w:pPr>
            <w:r w:rsidRPr="00104F90">
              <w:rPr>
                <w:b/>
                <w:bCs/>
              </w:rPr>
              <w:t>(A&amp;TSI)</w:t>
            </w:r>
          </w:p>
        </w:tc>
      </w:tr>
      <w:tr w:rsidR="00104F90" w:rsidRPr="00104F90" w14:paraId="531E2639" w14:textId="77777777" w:rsidTr="00104F90">
        <w:tc>
          <w:tcPr>
            <w:tcW w:w="1696" w:type="dxa"/>
          </w:tcPr>
          <w:p w14:paraId="1EC2D7D4" w14:textId="77777777" w:rsidR="00104F90" w:rsidRPr="00104F90" w:rsidRDefault="00104F90" w:rsidP="00104F90">
            <w:pPr>
              <w:spacing w:after="160" w:line="259" w:lineRule="auto"/>
              <w:rPr>
                <w:b/>
                <w:bCs/>
              </w:rPr>
            </w:pPr>
            <w:r w:rsidRPr="00104F90">
              <w:rPr>
                <w:b/>
                <w:bCs/>
              </w:rPr>
              <w:t>Metro North</w:t>
            </w:r>
          </w:p>
        </w:tc>
        <w:tc>
          <w:tcPr>
            <w:tcW w:w="2746" w:type="dxa"/>
          </w:tcPr>
          <w:p w14:paraId="33DEA2B4" w14:textId="77777777" w:rsidR="00104F90" w:rsidRPr="00104F90" w:rsidRDefault="00104F90" w:rsidP="00104F90">
            <w:pPr>
              <w:spacing w:after="160" w:line="259" w:lineRule="auto"/>
            </w:pPr>
            <w:r w:rsidRPr="00104F90">
              <w:t xml:space="preserve">6 </w:t>
            </w:r>
          </w:p>
        </w:tc>
        <w:tc>
          <w:tcPr>
            <w:tcW w:w="1560" w:type="dxa"/>
          </w:tcPr>
          <w:p w14:paraId="7F14A030" w14:textId="77777777" w:rsidR="00104F90" w:rsidRPr="00104F90" w:rsidRDefault="00104F90" w:rsidP="00104F90">
            <w:pPr>
              <w:spacing w:after="160" w:line="259" w:lineRule="auto"/>
            </w:pPr>
            <w:r w:rsidRPr="00104F90">
              <w:t>39</w:t>
            </w:r>
          </w:p>
        </w:tc>
        <w:tc>
          <w:tcPr>
            <w:tcW w:w="1648" w:type="dxa"/>
          </w:tcPr>
          <w:p w14:paraId="5552589B" w14:textId="77777777" w:rsidR="00104F90" w:rsidRPr="00104F90" w:rsidRDefault="00104F90" w:rsidP="00104F90">
            <w:pPr>
              <w:spacing w:after="160" w:line="259" w:lineRule="auto"/>
            </w:pPr>
            <w:r w:rsidRPr="00104F90">
              <w:t>10</w:t>
            </w:r>
          </w:p>
        </w:tc>
      </w:tr>
      <w:tr w:rsidR="00104F90" w:rsidRPr="00104F90" w14:paraId="33F00FA0" w14:textId="77777777" w:rsidTr="00104F90">
        <w:tc>
          <w:tcPr>
            <w:tcW w:w="1696" w:type="dxa"/>
          </w:tcPr>
          <w:p w14:paraId="46AD3279" w14:textId="77777777" w:rsidR="00104F90" w:rsidRPr="00104F90" w:rsidRDefault="00104F90" w:rsidP="00104F90">
            <w:pPr>
              <w:spacing w:after="160" w:line="259" w:lineRule="auto"/>
              <w:rPr>
                <w:b/>
                <w:bCs/>
              </w:rPr>
            </w:pPr>
            <w:r w:rsidRPr="00104F90">
              <w:rPr>
                <w:b/>
                <w:bCs/>
              </w:rPr>
              <w:t>Metro South</w:t>
            </w:r>
          </w:p>
        </w:tc>
        <w:tc>
          <w:tcPr>
            <w:tcW w:w="2746" w:type="dxa"/>
          </w:tcPr>
          <w:p w14:paraId="7D7616A8" w14:textId="77777777" w:rsidR="00104F90" w:rsidRPr="00104F90" w:rsidRDefault="00104F90" w:rsidP="00104F90">
            <w:pPr>
              <w:spacing w:after="160" w:line="259" w:lineRule="auto"/>
            </w:pPr>
            <w:r w:rsidRPr="00104F90">
              <w:t>5</w:t>
            </w:r>
          </w:p>
        </w:tc>
        <w:tc>
          <w:tcPr>
            <w:tcW w:w="1560" w:type="dxa"/>
          </w:tcPr>
          <w:p w14:paraId="36502EE8" w14:textId="77777777" w:rsidR="00104F90" w:rsidRPr="00104F90" w:rsidRDefault="00104F90" w:rsidP="00104F90">
            <w:pPr>
              <w:spacing w:after="160" w:line="259" w:lineRule="auto"/>
            </w:pPr>
            <w:r w:rsidRPr="00104F90">
              <w:t>44</w:t>
            </w:r>
          </w:p>
        </w:tc>
        <w:tc>
          <w:tcPr>
            <w:tcW w:w="1648" w:type="dxa"/>
          </w:tcPr>
          <w:p w14:paraId="3D244822" w14:textId="77777777" w:rsidR="00104F90" w:rsidRPr="00104F90" w:rsidRDefault="00104F90" w:rsidP="00104F90">
            <w:pPr>
              <w:spacing w:after="160" w:line="259" w:lineRule="auto"/>
            </w:pPr>
            <w:r w:rsidRPr="00104F90">
              <w:t>7</w:t>
            </w:r>
          </w:p>
        </w:tc>
      </w:tr>
      <w:tr w:rsidR="00104F90" w:rsidRPr="00104F90" w14:paraId="23DB56B6" w14:textId="77777777" w:rsidTr="00104F90">
        <w:tc>
          <w:tcPr>
            <w:tcW w:w="1696" w:type="dxa"/>
          </w:tcPr>
          <w:p w14:paraId="1B944DB6" w14:textId="77777777" w:rsidR="00104F90" w:rsidRPr="00104F90" w:rsidRDefault="00104F90" w:rsidP="00104F90">
            <w:pPr>
              <w:spacing w:after="160" w:line="259" w:lineRule="auto"/>
              <w:rPr>
                <w:b/>
                <w:bCs/>
              </w:rPr>
            </w:pPr>
            <w:r w:rsidRPr="00104F90">
              <w:rPr>
                <w:b/>
                <w:bCs/>
              </w:rPr>
              <w:t>Central Qld</w:t>
            </w:r>
          </w:p>
        </w:tc>
        <w:tc>
          <w:tcPr>
            <w:tcW w:w="2746" w:type="dxa"/>
          </w:tcPr>
          <w:p w14:paraId="2375F7C4" w14:textId="77777777" w:rsidR="00104F90" w:rsidRPr="00104F90" w:rsidRDefault="00104F90" w:rsidP="00104F90">
            <w:pPr>
              <w:spacing w:after="160" w:line="259" w:lineRule="auto"/>
            </w:pPr>
            <w:r w:rsidRPr="00104F90">
              <w:t>6</w:t>
            </w:r>
          </w:p>
        </w:tc>
        <w:tc>
          <w:tcPr>
            <w:tcW w:w="1560" w:type="dxa"/>
          </w:tcPr>
          <w:p w14:paraId="7FAED9F7" w14:textId="77777777" w:rsidR="00104F90" w:rsidRPr="00104F90" w:rsidRDefault="00104F90" w:rsidP="00104F90">
            <w:pPr>
              <w:spacing w:after="160" w:line="259" w:lineRule="auto"/>
            </w:pPr>
            <w:r w:rsidRPr="00104F90">
              <w:t>47</w:t>
            </w:r>
          </w:p>
        </w:tc>
        <w:tc>
          <w:tcPr>
            <w:tcW w:w="1648" w:type="dxa"/>
          </w:tcPr>
          <w:p w14:paraId="71ECC8AC" w14:textId="77777777" w:rsidR="00104F90" w:rsidRPr="00104F90" w:rsidRDefault="00104F90" w:rsidP="00104F90">
            <w:pPr>
              <w:spacing w:after="160" w:line="259" w:lineRule="auto"/>
            </w:pPr>
          </w:p>
        </w:tc>
      </w:tr>
      <w:tr w:rsidR="00104F90" w:rsidRPr="00104F90" w14:paraId="2737E340" w14:textId="77777777" w:rsidTr="00104F90">
        <w:tc>
          <w:tcPr>
            <w:tcW w:w="1696" w:type="dxa"/>
          </w:tcPr>
          <w:p w14:paraId="309A5112" w14:textId="77777777" w:rsidR="00104F90" w:rsidRPr="00104F90" w:rsidRDefault="00104F90" w:rsidP="00104F90">
            <w:pPr>
              <w:spacing w:after="160" w:line="259" w:lineRule="auto"/>
              <w:rPr>
                <w:b/>
                <w:bCs/>
              </w:rPr>
            </w:pPr>
            <w:r w:rsidRPr="00104F90">
              <w:rPr>
                <w:b/>
                <w:bCs/>
              </w:rPr>
              <w:t>Cairns</w:t>
            </w:r>
          </w:p>
        </w:tc>
        <w:tc>
          <w:tcPr>
            <w:tcW w:w="2746" w:type="dxa"/>
          </w:tcPr>
          <w:p w14:paraId="2B24E7EC" w14:textId="77777777" w:rsidR="00104F90" w:rsidRPr="00104F90" w:rsidRDefault="00104F90" w:rsidP="00104F90">
            <w:pPr>
              <w:spacing w:after="160" w:line="259" w:lineRule="auto"/>
            </w:pPr>
            <w:r w:rsidRPr="00104F90">
              <w:t>tbc</w:t>
            </w:r>
          </w:p>
        </w:tc>
        <w:tc>
          <w:tcPr>
            <w:tcW w:w="1560" w:type="dxa"/>
          </w:tcPr>
          <w:p w14:paraId="41E20E0B" w14:textId="77777777" w:rsidR="00104F90" w:rsidRPr="00104F90" w:rsidRDefault="00104F90" w:rsidP="00104F90">
            <w:pPr>
              <w:spacing w:after="160" w:line="259" w:lineRule="auto"/>
            </w:pPr>
            <w:r w:rsidRPr="00104F90">
              <w:t>tbc</w:t>
            </w:r>
          </w:p>
        </w:tc>
        <w:tc>
          <w:tcPr>
            <w:tcW w:w="1648" w:type="dxa"/>
          </w:tcPr>
          <w:p w14:paraId="18419683" w14:textId="77777777" w:rsidR="00104F90" w:rsidRPr="00104F90" w:rsidRDefault="00104F90" w:rsidP="00104F90">
            <w:pPr>
              <w:spacing w:after="160" w:line="259" w:lineRule="auto"/>
            </w:pPr>
            <w:r w:rsidRPr="00104F90">
              <w:t>tbc</w:t>
            </w:r>
          </w:p>
        </w:tc>
      </w:tr>
      <w:tr w:rsidR="00104F90" w:rsidRPr="00104F90" w14:paraId="07E14B8A" w14:textId="77777777" w:rsidTr="00104F90">
        <w:tc>
          <w:tcPr>
            <w:tcW w:w="1696" w:type="dxa"/>
            <w:shd w:val="clear" w:color="auto" w:fill="EDEDED" w:themeFill="accent3" w:themeFillTint="33"/>
          </w:tcPr>
          <w:p w14:paraId="2615E8EA" w14:textId="77777777" w:rsidR="00104F90" w:rsidRPr="00104F90" w:rsidRDefault="00104F90" w:rsidP="00104F90">
            <w:pPr>
              <w:spacing w:after="160" w:line="259" w:lineRule="auto"/>
              <w:rPr>
                <w:b/>
                <w:bCs/>
              </w:rPr>
            </w:pPr>
            <w:r w:rsidRPr="00104F90">
              <w:rPr>
                <w:b/>
                <w:bCs/>
              </w:rPr>
              <w:t>Total</w:t>
            </w:r>
          </w:p>
        </w:tc>
        <w:tc>
          <w:tcPr>
            <w:tcW w:w="2746" w:type="dxa"/>
            <w:shd w:val="clear" w:color="auto" w:fill="EDEDED" w:themeFill="accent3" w:themeFillTint="33"/>
          </w:tcPr>
          <w:p w14:paraId="31952A9B" w14:textId="77777777" w:rsidR="00104F90" w:rsidRPr="00104F90" w:rsidRDefault="00104F90" w:rsidP="00104F90">
            <w:pPr>
              <w:spacing w:after="160" w:line="259" w:lineRule="auto"/>
              <w:rPr>
                <w:b/>
                <w:bCs/>
              </w:rPr>
            </w:pPr>
            <w:r w:rsidRPr="00104F90">
              <w:rPr>
                <w:b/>
                <w:bCs/>
              </w:rPr>
              <w:t>17</w:t>
            </w:r>
          </w:p>
        </w:tc>
        <w:tc>
          <w:tcPr>
            <w:tcW w:w="1560" w:type="dxa"/>
            <w:shd w:val="clear" w:color="auto" w:fill="EDEDED" w:themeFill="accent3" w:themeFillTint="33"/>
          </w:tcPr>
          <w:p w14:paraId="42904EBB" w14:textId="77777777" w:rsidR="00104F90" w:rsidRPr="00104F90" w:rsidRDefault="00104F90" w:rsidP="00104F90">
            <w:pPr>
              <w:spacing w:after="160" w:line="259" w:lineRule="auto"/>
            </w:pPr>
            <w:r w:rsidRPr="00104F90">
              <w:t>136</w:t>
            </w:r>
          </w:p>
        </w:tc>
        <w:tc>
          <w:tcPr>
            <w:tcW w:w="1648" w:type="dxa"/>
            <w:shd w:val="clear" w:color="auto" w:fill="EDEDED" w:themeFill="accent3" w:themeFillTint="33"/>
          </w:tcPr>
          <w:p w14:paraId="35292E48" w14:textId="77777777" w:rsidR="00104F90" w:rsidRPr="00104F90" w:rsidRDefault="00104F90" w:rsidP="00104F90">
            <w:pPr>
              <w:spacing w:after="160" w:line="259" w:lineRule="auto"/>
            </w:pPr>
          </w:p>
        </w:tc>
      </w:tr>
    </w:tbl>
    <w:p w14:paraId="691B9644" w14:textId="77777777" w:rsidR="00104F90" w:rsidRPr="00104F90" w:rsidRDefault="00104F90" w:rsidP="00104F90">
      <w:pPr>
        <w:rPr>
          <w:lang w:val="en-US"/>
        </w:rPr>
      </w:pPr>
    </w:p>
    <w:p w14:paraId="35E5B2EC" w14:textId="77777777" w:rsidR="009060D6" w:rsidRDefault="00881109">
      <w:r>
        <w:t xml:space="preserve">Yarning Circles </w:t>
      </w:r>
      <w:r>
        <w:t>–</w:t>
      </w:r>
      <w:r>
        <w:t xml:space="preserve"> Project Overview, </w:t>
      </w:r>
      <w:r w:rsidR="003F7FA3">
        <w:t>team, partnerships, stakeholders, yarning circles, cultural capability, mental health services, support planning, bui</w:t>
      </w:r>
      <w:r w:rsidR="009060D6">
        <w:t>lding rapport and effective communication with Aboriginal and Torres Strait Islander patients and families, training content, modes of delivery etc.</w:t>
      </w:r>
    </w:p>
    <w:p w14:paraId="2B1711C1" w14:textId="14F42BEF" w:rsidR="00F8422D" w:rsidRDefault="009060D6">
      <w:pPr>
        <w:rPr>
          <w:rFonts w:asciiTheme="majorHAnsi" w:eastAsiaTheme="majorEastAsia" w:hAnsiTheme="majorHAnsi" w:cstheme="majorBidi"/>
          <w:color w:val="2E74B5" w:themeColor="accent1" w:themeShade="BF"/>
          <w:sz w:val="32"/>
          <w:szCs w:val="32"/>
        </w:rPr>
      </w:pPr>
      <w:r>
        <w:t>Yarning circles were recorded and transcribed by Community based research assistants</w:t>
      </w:r>
      <w:r w:rsidR="00377433">
        <w:t>.</w:t>
      </w:r>
      <w:r w:rsidR="00F8422D">
        <w:br w:type="page"/>
      </w:r>
    </w:p>
    <w:p w14:paraId="386DB253" w14:textId="6B2FFD58" w:rsidR="005E48A6" w:rsidRDefault="009D1A8D">
      <w:pPr>
        <w:pStyle w:val="FolderName"/>
      </w:pPr>
      <w:r>
        <w:lastRenderedPageBreak/>
        <w:t>Codes</w:t>
      </w:r>
    </w:p>
    <w:p w14:paraId="386DB254" w14:textId="147ED1A5" w:rsidR="005E48A6" w:rsidRDefault="00377433">
      <w:pPr>
        <w:pStyle w:val="FolderDescription"/>
      </w:pPr>
      <w:r>
        <w:t>Initial coding – familiarisation, grouping, patterns of meanin</w:t>
      </w:r>
      <w:r w:rsidR="00F53303">
        <w:t>g, stories expressed by practitioners</w:t>
      </w:r>
    </w:p>
    <w:tbl>
      <w:tblPr>
        <w:tblStyle w:val="NodesTable"/>
        <w:tblW w:w="5000" w:type="pct"/>
        <w:tblInd w:w="0" w:type="dxa"/>
        <w:tblLook w:val="0420" w:firstRow="1" w:lastRow="0" w:firstColumn="0" w:lastColumn="0" w:noHBand="0" w:noVBand="1"/>
      </w:tblPr>
      <w:tblGrid>
        <w:gridCol w:w="4184"/>
        <w:gridCol w:w="6975"/>
        <w:gridCol w:w="1395"/>
        <w:gridCol w:w="1395"/>
      </w:tblGrid>
      <w:tr w:rsidR="005E48A6" w14:paraId="386DB259" w14:textId="77777777" w:rsidTr="005E48A6">
        <w:trPr>
          <w:cnfStyle w:val="100000000000" w:firstRow="1" w:lastRow="0" w:firstColumn="0" w:lastColumn="0" w:oddVBand="0" w:evenVBand="0" w:oddHBand="0" w:evenHBand="0" w:firstRowFirstColumn="0" w:firstRowLastColumn="0" w:lastRowFirstColumn="0" w:lastRowLastColumn="0"/>
          <w:tblHeader/>
        </w:trPr>
        <w:tc>
          <w:tcPr>
            <w:tcW w:w="1500" w:type="pct"/>
          </w:tcPr>
          <w:p w14:paraId="386DB255" w14:textId="77777777" w:rsidR="005E48A6" w:rsidRDefault="009D1A8D">
            <w:pPr>
              <w:pStyle w:val="TableHeader"/>
            </w:pPr>
            <w:r>
              <w:t>Name</w:t>
            </w:r>
          </w:p>
        </w:tc>
        <w:tc>
          <w:tcPr>
            <w:tcW w:w="2500" w:type="pct"/>
          </w:tcPr>
          <w:p w14:paraId="386DB256" w14:textId="77777777" w:rsidR="005E48A6" w:rsidRDefault="009D1A8D">
            <w:pPr>
              <w:pStyle w:val="TableHeader"/>
            </w:pPr>
            <w:r>
              <w:t>Description</w:t>
            </w:r>
          </w:p>
        </w:tc>
        <w:tc>
          <w:tcPr>
            <w:tcW w:w="500" w:type="pct"/>
          </w:tcPr>
          <w:p w14:paraId="386DB257" w14:textId="77777777" w:rsidR="005E48A6" w:rsidRDefault="009D1A8D">
            <w:pPr>
              <w:pStyle w:val="TableHeader"/>
            </w:pPr>
            <w:r>
              <w:t>Files</w:t>
            </w:r>
          </w:p>
        </w:tc>
        <w:tc>
          <w:tcPr>
            <w:tcW w:w="500" w:type="pct"/>
          </w:tcPr>
          <w:p w14:paraId="386DB258" w14:textId="77777777" w:rsidR="005E48A6" w:rsidRDefault="009D1A8D">
            <w:pPr>
              <w:pStyle w:val="TableHeader"/>
            </w:pPr>
            <w:r>
              <w:t>References</w:t>
            </w:r>
          </w:p>
        </w:tc>
      </w:tr>
      <w:tr w:rsidR="005E48A6" w14:paraId="386DB25E"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5A" w14:textId="77777777" w:rsidR="005E48A6" w:rsidRDefault="009D1A8D">
            <w:r>
              <w:t>clinical practice and behaviour</w:t>
            </w:r>
          </w:p>
        </w:tc>
        <w:tc>
          <w:tcPr>
            <w:tcW w:w="2500" w:type="pct"/>
          </w:tcPr>
          <w:p w14:paraId="386DB25B" w14:textId="6FFC0F03" w:rsidR="005E48A6" w:rsidRDefault="00E0785A">
            <w:r>
              <w:t>Practitioners describing</w:t>
            </w:r>
            <w:r w:rsidR="00046970">
              <w:t xml:space="preserve"> their interactions with patients</w:t>
            </w:r>
          </w:p>
        </w:tc>
        <w:tc>
          <w:tcPr>
            <w:tcW w:w="500" w:type="pct"/>
          </w:tcPr>
          <w:p w14:paraId="386DB25C" w14:textId="77777777" w:rsidR="005E48A6" w:rsidRDefault="009D1A8D">
            <w:pPr>
              <w:pStyle w:val="RightAlign"/>
            </w:pPr>
            <w:r>
              <w:t>8</w:t>
            </w:r>
          </w:p>
        </w:tc>
        <w:tc>
          <w:tcPr>
            <w:tcW w:w="500" w:type="pct"/>
          </w:tcPr>
          <w:p w14:paraId="386DB25D" w14:textId="77777777" w:rsidR="005E48A6" w:rsidRDefault="009D1A8D">
            <w:pPr>
              <w:pStyle w:val="RightAlign"/>
            </w:pPr>
            <w:r>
              <w:t>77</w:t>
            </w:r>
          </w:p>
        </w:tc>
      </w:tr>
      <w:tr w:rsidR="005E48A6" w14:paraId="386DB263"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5F" w14:textId="77777777" w:rsidR="005E48A6" w:rsidRDefault="009D1A8D">
            <w:pPr>
              <w:ind w:left="450"/>
            </w:pPr>
            <w:r>
              <w:t>biases</w:t>
            </w:r>
          </w:p>
        </w:tc>
        <w:tc>
          <w:tcPr>
            <w:tcW w:w="2500" w:type="pct"/>
          </w:tcPr>
          <w:p w14:paraId="386DB260" w14:textId="18AD1F56" w:rsidR="005E48A6" w:rsidRDefault="00046970">
            <w:r>
              <w:t xml:space="preserve">Practitioners </w:t>
            </w:r>
            <w:r w:rsidR="008657AC">
              <w:t>self-identifying</w:t>
            </w:r>
            <w:r>
              <w:t xml:space="preserve"> </w:t>
            </w:r>
            <w:r w:rsidR="008657AC">
              <w:t>personal biases</w:t>
            </w:r>
          </w:p>
        </w:tc>
        <w:tc>
          <w:tcPr>
            <w:tcW w:w="500" w:type="pct"/>
          </w:tcPr>
          <w:p w14:paraId="386DB261" w14:textId="77777777" w:rsidR="005E48A6" w:rsidRDefault="009D1A8D">
            <w:pPr>
              <w:pStyle w:val="RightAlign"/>
            </w:pPr>
            <w:r>
              <w:t>4</w:t>
            </w:r>
          </w:p>
        </w:tc>
        <w:tc>
          <w:tcPr>
            <w:tcW w:w="500" w:type="pct"/>
          </w:tcPr>
          <w:p w14:paraId="386DB262" w14:textId="77777777" w:rsidR="005E48A6" w:rsidRDefault="009D1A8D">
            <w:pPr>
              <w:pStyle w:val="RightAlign"/>
            </w:pPr>
            <w:r>
              <w:t>15</w:t>
            </w:r>
          </w:p>
        </w:tc>
      </w:tr>
      <w:tr w:rsidR="005E48A6" w14:paraId="386DB268"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64" w14:textId="77777777" w:rsidR="005E48A6" w:rsidRDefault="009D1A8D">
            <w:pPr>
              <w:ind w:left="450"/>
            </w:pPr>
            <w:r>
              <w:t>knowledge of history</w:t>
            </w:r>
          </w:p>
        </w:tc>
        <w:tc>
          <w:tcPr>
            <w:tcW w:w="2500" w:type="pct"/>
          </w:tcPr>
          <w:p w14:paraId="386DB265" w14:textId="3427403D" w:rsidR="005E48A6" w:rsidRDefault="00B81A26">
            <w:r>
              <w:t>Practitioners</w:t>
            </w:r>
            <w:r w:rsidR="008657AC">
              <w:t xml:space="preserve"> </w:t>
            </w:r>
            <w:r w:rsidR="00424D89">
              <w:t xml:space="preserve">expressing their lack of </w:t>
            </w:r>
            <w:r w:rsidR="008A49F6">
              <w:t xml:space="preserve">knowledge of Aboriginal historical and </w:t>
            </w:r>
            <w:r>
              <w:t>culture</w:t>
            </w:r>
          </w:p>
        </w:tc>
        <w:tc>
          <w:tcPr>
            <w:tcW w:w="500" w:type="pct"/>
          </w:tcPr>
          <w:p w14:paraId="386DB266" w14:textId="77777777" w:rsidR="005E48A6" w:rsidRDefault="009D1A8D">
            <w:pPr>
              <w:pStyle w:val="RightAlign"/>
            </w:pPr>
            <w:r>
              <w:t>3</w:t>
            </w:r>
          </w:p>
        </w:tc>
        <w:tc>
          <w:tcPr>
            <w:tcW w:w="500" w:type="pct"/>
          </w:tcPr>
          <w:p w14:paraId="386DB267" w14:textId="77777777" w:rsidR="005E48A6" w:rsidRDefault="009D1A8D">
            <w:pPr>
              <w:pStyle w:val="RightAlign"/>
            </w:pPr>
            <w:r>
              <w:t>6</w:t>
            </w:r>
          </w:p>
        </w:tc>
      </w:tr>
      <w:tr w:rsidR="005E48A6" w14:paraId="386DB26D"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69" w14:textId="77777777" w:rsidR="005E48A6" w:rsidRDefault="009D1A8D">
            <w:r>
              <w:t>communication challenges</w:t>
            </w:r>
          </w:p>
        </w:tc>
        <w:tc>
          <w:tcPr>
            <w:tcW w:w="2500" w:type="pct"/>
          </w:tcPr>
          <w:p w14:paraId="386DB26A" w14:textId="461A2E6F" w:rsidR="005E48A6" w:rsidRDefault="00894CA4">
            <w:r>
              <w:t>Practitioners</w:t>
            </w:r>
            <w:r>
              <w:t>’</w:t>
            </w:r>
            <w:r w:rsidR="00B81A26">
              <w:t xml:space="preserve"> description </w:t>
            </w:r>
            <w:r>
              <w:t>communication challenges that occur within specific interactions with patients</w:t>
            </w:r>
          </w:p>
        </w:tc>
        <w:tc>
          <w:tcPr>
            <w:tcW w:w="500" w:type="pct"/>
          </w:tcPr>
          <w:p w14:paraId="386DB26B" w14:textId="77777777" w:rsidR="005E48A6" w:rsidRDefault="009D1A8D">
            <w:pPr>
              <w:pStyle w:val="RightAlign"/>
            </w:pPr>
            <w:r>
              <w:t>7</w:t>
            </w:r>
          </w:p>
        </w:tc>
        <w:tc>
          <w:tcPr>
            <w:tcW w:w="500" w:type="pct"/>
          </w:tcPr>
          <w:p w14:paraId="386DB26C" w14:textId="77777777" w:rsidR="005E48A6" w:rsidRDefault="009D1A8D">
            <w:pPr>
              <w:pStyle w:val="RightAlign"/>
            </w:pPr>
            <w:r>
              <w:t>33</w:t>
            </w:r>
          </w:p>
        </w:tc>
      </w:tr>
      <w:tr w:rsidR="005E48A6" w14:paraId="386DB272"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6E" w14:textId="77777777" w:rsidR="005E48A6" w:rsidRDefault="009D1A8D">
            <w:r>
              <w:t>cultural challenges</w:t>
            </w:r>
          </w:p>
        </w:tc>
        <w:tc>
          <w:tcPr>
            <w:tcW w:w="2500" w:type="pct"/>
          </w:tcPr>
          <w:p w14:paraId="386DB26F" w14:textId="6E006A17" w:rsidR="005E48A6" w:rsidRDefault="00894CA4">
            <w:r w:rsidRPr="00894CA4">
              <w:t>Practitioners</w:t>
            </w:r>
            <w:r w:rsidRPr="00894CA4">
              <w:t>’</w:t>
            </w:r>
            <w:r w:rsidRPr="00894CA4">
              <w:t xml:space="preserve"> description c</w:t>
            </w:r>
            <w:r w:rsidR="00C00F6B">
              <w:t>ultural</w:t>
            </w:r>
            <w:r w:rsidRPr="00894CA4">
              <w:t xml:space="preserve"> challenges that occur within specific interactions with patients</w:t>
            </w:r>
          </w:p>
        </w:tc>
        <w:tc>
          <w:tcPr>
            <w:tcW w:w="500" w:type="pct"/>
          </w:tcPr>
          <w:p w14:paraId="386DB270" w14:textId="77777777" w:rsidR="005E48A6" w:rsidRDefault="009D1A8D">
            <w:pPr>
              <w:pStyle w:val="RightAlign"/>
            </w:pPr>
            <w:r>
              <w:t>8</w:t>
            </w:r>
          </w:p>
        </w:tc>
        <w:tc>
          <w:tcPr>
            <w:tcW w:w="500" w:type="pct"/>
          </w:tcPr>
          <w:p w14:paraId="386DB271" w14:textId="77777777" w:rsidR="005E48A6" w:rsidRDefault="009D1A8D">
            <w:pPr>
              <w:pStyle w:val="RightAlign"/>
            </w:pPr>
            <w:r>
              <w:t>35</w:t>
            </w:r>
          </w:p>
        </w:tc>
      </w:tr>
      <w:tr w:rsidR="005E48A6" w14:paraId="386DB277"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73" w14:textId="77777777" w:rsidR="005E48A6" w:rsidRDefault="009D1A8D">
            <w:r>
              <w:t>Cultural communication norms</w:t>
            </w:r>
          </w:p>
        </w:tc>
        <w:tc>
          <w:tcPr>
            <w:tcW w:w="2500" w:type="pct"/>
          </w:tcPr>
          <w:p w14:paraId="386DB274" w14:textId="6E9A4D71" w:rsidR="005E48A6" w:rsidRDefault="00C00F6B">
            <w:r>
              <w:t>Examples of</w:t>
            </w:r>
            <w:r w:rsidR="00F02F6B">
              <w:t xml:space="preserve"> Aboriginal</w:t>
            </w:r>
            <w:r w:rsidR="00E1114D">
              <w:t xml:space="preserve"> </w:t>
            </w:r>
            <w:r w:rsidR="00F02F6B">
              <w:t>cultural communication norms</w:t>
            </w:r>
          </w:p>
        </w:tc>
        <w:tc>
          <w:tcPr>
            <w:tcW w:w="500" w:type="pct"/>
          </w:tcPr>
          <w:p w14:paraId="386DB275" w14:textId="77777777" w:rsidR="005E48A6" w:rsidRDefault="009D1A8D">
            <w:pPr>
              <w:pStyle w:val="RightAlign"/>
            </w:pPr>
            <w:r>
              <w:t>6</w:t>
            </w:r>
          </w:p>
        </w:tc>
        <w:tc>
          <w:tcPr>
            <w:tcW w:w="500" w:type="pct"/>
          </w:tcPr>
          <w:p w14:paraId="386DB276" w14:textId="77777777" w:rsidR="005E48A6" w:rsidRDefault="009D1A8D">
            <w:pPr>
              <w:pStyle w:val="RightAlign"/>
            </w:pPr>
            <w:r>
              <w:t>16</w:t>
            </w:r>
          </w:p>
        </w:tc>
      </w:tr>
      <w:tr w:rsidR="005E48A6" w14:paraId="386DB27C"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78" w14:textId="77777777" w:rsidR="005E48A6" w:rsidRDefault="009D1A8D">
            <w:pPr>
              <w:ind w:left="450"/>
            </w:pPr>
            <w:r>
              <w:t>communication barriers</w:t>
            </w:r>
          </w:p>
        </w:tc>
        <w:tc>
          <w:tcPr>
            <w:tcW w:w="2500" w:type="pct"/>
          </w:tcPr>
          <w:p w14:paraId="386DB279" w14:textId="12CDD2C8" w:rsidR="005E48A6" w:rsidRDefault="00E1114D">
            <w:r w:rsidRPr="00E1114D">
              <w:t xml:space="preserve">Examples of </w:t>
            </w:r>
            <w:r>
              <w:t xml:space="preserve">interactions where challenges arises due to misunderstandings or lack of knowledge </w:t>
            </w:r>
            <w:r w:rsidR="009D61F5">
              <w:t xml:space="preserve">of </w:t>
            </w:r>
            <w:r w:rsidRPr="00E1114D">
              <w:t>Aboriginal cultural communication norms</w:t>
            </w:r>
          </w:p>
        </w:tc>
        <w:tc>
          <w:tcPr>
            <w:tcW w:w="500" w:type="pct"/>
          </w:tcPr>
          <w:p w14:paraId="386DB27A" w14:textId="77777777" w:rsidR="005E48A6" w:rsidRDefault="009D1A8D">
            <w:pPr>
              <w:pStyle w:val="RightAlign"/>
            </w:pPr>
            <w:r>
              <w:t>3</w:t>
            </w:r>
          </w:p>
        </w:tc>
        <w:tc>
          <w:tcPr>
            <w:tcW w:w="500" w:type="pct"/>
          </w:tcPr>
          <w:p w14:paraId="386DB27B" w14:textId="77777777" w:rsidR="005E48A6" w:rsidRDefault="009D1A8D">
            <w:pPr>
              <w:pStyle w:val="RightAlign"/>
            </w:pPr>
            <w:r>
              <w:t>4</w:t>
            </w:r>
          </w:p>
        </w:tc>
      </w:tr>
      <w:tr w:rsidR="005E48A6" w14:paraId="386DB281"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7D" w14:textId="77777777" w:rsidR="005E48A6" w:rsidRDefault="009D1A8D">
            <w:r>
              <w:t>cultural needs</w:t>
            </w:r>
          </w:p>
        </w:tc>
        <w:tc>
          <w:tcPr>
            <w:tcW w:w="2500" w:type="pct"/>
          </w:tcPr>
          <w:p w14:paraId="386DB27E" w14:textId="1C1A35BA" w:rsidR="005E48A6" w:rsidRDefault="009D61F5">
            <w:r w:rsidRPr="009D61F5">
              <w:t xml:space="preserve">Examples of Aboriginal cultural </w:t>
            </w:r>
            <w:r>
              <w:t>needs/beliefs/values</w:t>
            </w:r>
          </w:p>
        </w:tc>
        <w:tc>
          <w:tcPr>
            <w:tcW w:w="500" w:type="pct"/>
          </w:tcPr>
          <w:p w14:paraId="386DB27F" w14:textId="77777777" w:rsidR="005E48A6" w:rsidRDefault="009D1A8D">
            <w:pPr>
              <w:pStyle w:val="RightAlign"/>
            </w:pPr>
            <w:r>
              <w:t>5</w:t>
            </w:r>
          </w:p>
        </w:tc>
        <w:tc>
          <w:tcPr>
            <w:tcW w:w="500" w:type="pct"/>
          </w:tcPr>
          <w:p w14:paraId="386DB280" w14:textId="77777777" w:rsidR="005E48A6" w:rsidRDefault="009D1A8D">
            <w:pPr>
              <w:pStyle w:val="RightAlign"/>
            </w:pPr>
            <w:r>
              <w:t>14</w:t>
            </w:r>
          </w:p>
        </w:tc>
      </w:tr>
      <w:tr w:rsidR="005E48A6" w14:paraId="386DB286"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82" w14:textId="77777777" w:rsidR="005E48A6" w:rsidRDefault="009D1A8D">
            <w:pPr>
              <w:ind w:left="450"/>
            </w:pPr>
            <w:r>
              <w:t>beliefs and values</w:t>
            </w:r>
          </w:p>
        </w:tc>
        <w:tc>
          <w:tcPr>
            <w:tcW w:w="2500" w:type="pct"/>
          </w:tcPr>
          <w:p w14:paraId="386DB283" w14:textId="5D30F833" w:rsidR="005E48A6" w:rsidRDefault="009D61F5">
            <w:r w:rsidRPr="009D61F5">
              <w:t xml:space="preserve">Examples of Aboriginal cultural </w:t>
            </w:r>
            <w:r>
              <w:t>b</w:t>
            </w:r>
            <w:r w:rsidRPr="009D61F5">
              <w:t>eliefs</w:t>
            </w:r>
            <w:r>
              <w:t xml:space="preserve"> and </w:t>
            </w:r>
            <w:r w:rsidRPr="009D61F5">
              <w:t>values</w:t>
            </w:r>
          </w:p>
        </w:tc>
        <w:tc>
          <w:tcPr>
            <w:tcW w:w="500" w:type="pct"/>
          </w:tcPr>
          <w:p w14:paraId="386DB284" w14:textId="77777777" w:rsidR="005E48A6" w:rsidRDefault="009D1A8D">
            <w:pPr>
              <w:pStyle w:val="RightAlign"/>
            </w:pPr>
            <w:r>
              <w:t>2</w:t>
            </w:r>
          </w:p>
        </w:tc>
        <w:tc>
          <w:tcPr>
            <w:tcW w:w="500" w:type="pct"/>
          </w:tcPr>
          <w:p w14:paraId="386DB285" w14:textId="77777777" w:rsidR="005E48A6" w:rsidRDefault="009D1A8D">
            <w:pPr>
              <w:pStyle w:val="RightAlign"/>
            </w:pPr>
            <w:r>
              <w:t>5</w:t>
            </w:r>
          </w:p>
        </w:tc>
      </w:tr>
      <w:tr w:rsidR="005E48A6" w14:paraId="386DB28B"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87" w14:textId="77777777" w:rsidR="005E48A6" w:rsidRDefault="009D1A8D">
            <w:pPr>
              <w:ind w:left="450"/>
            </w:pPr>
            <w:r>
              <w:t>traditional healers</w:t>
            </w:r>
          </w:p>
        </w:tc>
        <w:tc>
          <w:tcPr>
            <w:tcW w:w="2500" w:type="pct"/>
          </w:tcPr>
          <w:p w14:paraId="386DB288" w14:textId="0039C441" w:rsidR="005E48A6" w:rsidRDefault="003275F1">
            <w:r>
              <w:t>Mentions of traditional healing/healers</w:t>
            </w:r>
          </w:p>
        </w:tc>
        <w:tc>
          <w:tcPr>
            <w:tcW w:w="500" w:type="pct"/>
          </w:tcPr>
          <w:p w14:paraId="386DB289" w14:textId="77777777" w:rsidR="005E48A6" w:rsidRDefault="009D1A8D">
            <w:pPr>
              <w:pStyle w:val="RightAlign"/>
            </w:pPr>
            <w:r>
              <w:t>1</w:t>
            </w:r>
          </w:p>
        </w:tc>
        <w:tc>
          <w:tcPr>
            <w:tcW w:w="500" w:type="pct"/>
          </w:tcPr>
          <w:p w14:paraId="386DB28A" w14:textId="77777777" w:rsidR="005E48A6" w:rsidRDefault="009D1A8D">
            <w:pPr>
              <w:pStyle w:val="RightAlign"/>
            </w:pPr>
            <w:r>
              <w:t>1</w:t>
            </w:r>
          </w:p>
        </w:tc>
      </w:tr>
      <w:tr w:rsidR="005E48A6" w14:paraId="386DB290"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8C" w14:textId="77777777" w:rsidR="005E48A6" w:rsidRDefault="009D1A8D">
            <w:r>
              <w:t>MH system</w:t>
            </w:r>
          </w:p>
        </w:tc>
        <w:tc>
          <w:tcPr>
            <w:tcW w:w="2500" w:type="pct"/>
          </w:tcPr>
          <w:p w14:paraId="386DB28D" w14:textId="162C2686" w:rsidR="005E48A6" w:rsidRDefault="003D0395">
            <w:r>
              <w:t xml:space="preserve">Information related to the </w:t>
            </w:r>
            <w:r w:rsidR="00D66D8F">
              <w:t xml:space="preserve">mental health system </w:t>
            </w:r>
          </w:p>
        </w:tc>
        <w:tc>
          <w:tcPr>
            <w:tcW w:w="500" w:type="pct"/>
          </w:tcPr>
          <w:p w14:paraId="386DB28E" w14:textId="77777777" w:rsidR="005E48A6" w:rsidRDefault="009D1A8D">
            <w:pPr>
              <w:pStyle w:val="RightAlign"/>
            </w:pPr>
            <w:r>
              <w:t>0</w:t>
            </w:r>
          </w:p>
        </w:tc>
        <w:tc>
          <w:tcPr>
            <w:tcW w:w="500" w:type="pct"/>
          </w:tcPr>
          <w:p w14:paraId="386DB28F" w14:textId="77777777" w:rsidR="005E48A6" w:rsidRDefault="009D1A8D">
            <w:pPr>
              <w:pStyle w:val="RightAlign"/>
            </w:pPr>
            <w:r>
              <w:t>0</w:t>
            </w:r>
          </w:p>
        </w:tc>
      </w:tr>
      <w:tr w:rsidR="005E48A6" w14:paraId="386DB29A"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96" w14:textId="77777777" w:rsidR="005E48A6" w:rsidRDefault="009D1A8D">
            <w:pPr>
              <w:ind w:left="450"/>
            </w:pPr>
            <w:r>
              <w:lastRenderedPageBreak/>
              <w:t>positive examples</w:t>
            </w:r>
          </w:p>
        </w:tc>
        <w:tc>
          <w:tcPr>
            <w:tcW w:w="2500" w:type="pct"/>
          </w:tcPr>
          <w:p w14:paraId="386DB297" w14:textId="24DF61B6" w:rsidR="005E48A6" w:rsidRDefault="00FD3115">
            <w:r>
              <w:t>Strength based/positive examples of effective communication or relationship building/rapport/interactions</w:t>
            </w:r>
          </w:p>
        </w:tc>
        <w:tc>
          <w:tcPr>
            <w:tcW w:w="500" w:type="pct"/>
          </w:tcPr>
          <w:p w14:paraId="386DB298" w14:textId="77777777" w:rsidR="005E48A6" w:rsidRDefault="009D1A8D">
            <w:pPr>
              <w:pStyle w:val="RightAlign"/>
            </w:pPr>
            <w:r>
              <w:t>1</w:t>
            </w:r>
          </w:p>
        </w:tc>
        <w:tc>
          <w:tcPr>
            <w:tcW w:w="500" w:type="pct"/>
          </w:tcPr>
          <w:p w14:paraId="386DB299" w14:textId="77777777" w:rsidR="005E48A6" w:rsidRDefault="009D1A8D">
            <w:pPr>
              <w:pStyle w:val="RightAlign"/>
            </w:pPr>
            <w:r>
              <w:t>4</w:t>
            </w:r>
          </w:p>
        </w:tc>
      </w:tr>
      <w:tr w:rsidR="005E48A6" w14:paraId="386DB29F"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9B" w14:textId="77777777" w:rsidR="005E48A6" w:rsidRDefault="009D1A8D">
            <w:r>
              <w:t>statistical representation</w:t>
            </w:r>
          </w:p>
        </w:tc>
        <w:tc>
          <w:tcPr>
            <w:tcW w:w="2500" w:type="pct"/>
          </w:tcPr>
          <w:p w14:paraId="386DB29C" w14:textId="1CF20AAB" w:rsidR="005E48A6" w:rsidRDefault="003D0395">
            <w:r>
              <w:t>Information related to statistical data</w:t>
            </w:r>
          </w:p>
        </w:tc>
        <w:tc>
          <w:tcPr>
            <w:tcW w:w="500" w:type="pct"/>
          </w:tcPr>
          <w:p w14:paraId="386DB29D" w14:textId="77777777" w:rsidR="005E48A6" w:rsidRDefault="009D1A8D">
            <w:pPr>
              <w:pStyle w:val="RightAlign"/>
            </w:pPr>
            <w:r>
              <w:t>2</w:t>
            </w:r>
          </w:p>
        </w:tc>
        <w:tc>
          <w:tcPr>
            <w:tcW w:w="500" w:type="pct"/>
          </w:tcPr>
          <w:p w14:paraId="386DB29E" w14:textId="77777777" w:rsidR="005E48A6" w:rsidRDefault="009D1A8D">
            <w:pPr>
              <w:pStyle w:val="RightAlign"/>
            </w:pPr>
            <w:r>
              <w:t>4</w:t>
            </w:r>
          </w:p>
        </w:tc>
      </w:tr>
      <w:tr w:rsidR="005E48A6" w14:paraId="386DB2A4"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A0" w14:textId="77777777" w:rsidR="005E48A6" w:rsidRDefault="009D1A8D">
            <w:r>
              <w:t>system or service response</w:t>
            </w:r>
          </w:p>
        </w:tc>
        <w:tc>
          <w:tcPr>
            <w:tcW w:w="2500" w:type="pct"/>
          </w:tcPr>
          <w:p w14:paraId="386DB2A1" w14:textId="4B31F3EA" w:rsidR="005E48A6" w:rsidRDefault="00D66D8F">
            <w:r>
              <w:t>Information related to how the mental health system responds including processes</w:t>
            </w:r>
          </w:p>
        </w:tc>
        <w:tc>
          <w:tcPr>
            <w:tcW w:w="500" w:type="pct"/>
          </w:tcPr>
          <w:p w14:paraId="386DB2A2" w14:textId="77777777" w:rsidR="005E48A6" w:rsidRDefault="009D1A8D">
            <w:pPr>
              <w:pStyle w:val="RightAlign"/>
            </w:pPr>
            <w:r>
              <w:t>5</w:t>
            </w:r>
          </w:p>
        </w:tc>
        <w:tc>
          <w:tcPr>
            <w:tcW w:w="500" w:type="pct"/>
          </w:tcPr>
          <w:p w14:paraId="386DB2A3" w14:textId="77777777" w:rsidR="005E48A6" w:rsidRDefault="009D1A8D">
            <w:pPr>
              <w:pStyle w:val="RightAlign"/>
            </w:pPr>
            <w:r>
              <w:t>17</w:t>
            </w:r>
          </w:p>
        </w:tc>
      </w:tr>
      <w:tr w:rsidR="005E48A6" w14:paraId="386DB2A9"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A5" w14:textId="77777777" w:rsidR="005E48A6" w:rsidRDefault="009D1A8D">
            <w:pPr>
              <w:ind w:left="450"/>
            </w:pPr>
            <w:r>
              <w:t>barriers</w:t>
            </w:r>
          </w:p>
        </w:tc>
        <w:tc>
          <w:tcPr>
            <w:tcW w:w="2500" w:type="pct"/>
          </w:tcPr>
          <w:p w14:paraId="386DB2A6" w14:textId="677DE1E8" w:rsidR="005E48A6" w:rsidRDefault="005C4E11">
            <w:r>
              <w:t>Examples of barriers identified by practitioners</w:t>
            </w:r>
          </w:p>
        </w:tc>
        <w:tc>
          <w:tcPr>
            <w:tcW w:w="500" w:type="pct"/>
          </w:tcPr>
          <w:p w14:paraId="386DB2A7" w14:textId="77777777" w:rsidR="005E48A6" w:rsidRDefault="009D1A8D">
            <w:pPr>
              <w:pStyle w:val="RightAlign"/>
            </w:pPr>
            <w:r>
              <w:t>5</w:t>
            </w:r>
          </w:p>
        </w:tc>
        <w:tc>
          <w:tcPr>
            <w:tcW w:w="500" w:type="pct"/>
          </w:tcPr>
          <w:p w14:paraId="386DB2A8" w14:textId="77777777" w:rsidR="005E48A6" w:rsidRDefault="009D1A8D">
            <w:pPr>
              <w:pStyle w:val="RightAlign"/>
            </w:pPr>
            <w:r>
              <w:t>24</w:t>
            </w:r>
          </w:p>
        </w:tc>
      </w:tr>
      <w:tr w:rsidR="005E48A6" w14:paraId="386DB2AE"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AA" w14:textId="77777777" w:rsidR="005E48A6" w:rsidRDefault="009D1A8D">
            <w:pPr>
              <w:ind w:left="900"/>
            </w:pPr>
            <w:r>
              <w:t>stereotypes and racism</w:t>
            </w:r>
          </w:p>
        </w:tc>
        <w:tc>
          <w:tcPr>
            <w:tcW w:w="2500" w:type="pct"/>
          </w:tcPr>
          <w:p w14:paraId="386DB2AB" w14:textId="69DDF97F" w:rsidR="005E48A6" w:rsidRDefault="005C4E11">
            <w:r w:rsidRPr="005C4E11">
              <w:t xml:space="preserve">Examples of </w:t>
            </w:r>
            <w:r>
              <w:t>stereotypes</w:t>
            </w:r>
            <w:r w:rsidR="005B662A">
              <w:t xml:space="preserve"> and racism</w:t>
            </w:r>
            <w:r w:rsidRPr="005C4E11">
              <w:t xml:space="preserve"> identified by practitioners</w:t>
            </w:r>
          </w:p>
        </w:tc>
        <w:tc>
          <w:tcPr>
            <w:tcW w:w="500" w:type="pct"/>
          </w:tcPr>
          <w:p w14:paraId="386DB2AC" w14:textId="77777777" w:rsidR="005E48A6" w:rsidRDefault="009D1A8D">
            <w:pPr>
              <w:pStyle w:val="RightAlign"/>
            </w:pPr>
            <w:r>
              <w:t>1</w:t>
            </w:r>
          </w:p>
        </w:tc>
        <w:tc>
          <w:tcPr>
            <w:tcW w:w="500" w:type="pct"/>
          </w:tcPr>
          <w:p w14:paraId="386DB2AD" w14:textId="77777777" w:rsidR="005E48A6" w:rsidRDefault="009D1A8D">
            <w:pPr>
              <w:pStyle w:val="RightAlign"/>
            </w:pPr>
            <w:r>
              <w:t>1</w:t>
            </w:r>
          </w:p>
        </w:tc>
      </w:tr>
      <w:tr w:rsidR="005E48A6" w14:paraId="386DB2B3"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AF" w14:textId="77777777" w:rsidR="005E48A6" w:rsidRDefault="009D1A8D">
            <w:pPr>
              <w:ind w:left="450"/>
            </w:pPr>
            <w:r>
              <w:t>cultural impact</w:t>
            </w:r>
          </w:p>
        </w:tc>
        <w:tc>
          <w:tcPr>
            <w:tcW w:w="2500" w:type="pct"/>
          </w:tcPr>
          <w:p w14:paraId="386DB2B0" w14:textId="77777777" w:rsidR="005E48A6" w:rsidRDefault="005E48A6"/>
        </w:tc>
        <w:tc>
          <w:tcPr>
            <w:tcW w:w="500" w:type="pct"/>
          </w:tcPr>
          <w:p w14:paraId="386DB2B1" w14:textId="77777777" w:rsidR="005E48A6" w:rsidRDefault="009D1A8D">
            <w:pPr>
              <w:pStyle w:val="RightAlign"/>
            </w:pPr>
            <w:r>
              <w:t>3</w:t>
            </w:r>
          </w:p>
        </w:tc>
        <w:tc>
          <w:tcPr>
            <w:tcW w:w="500" w:type="pct"/>
          </w:tcPr>
          <w:p w14:paraId="386DB2B2" w14:textId="77777777" w:rsidR="005E48A6" w:rsidRDefault="009D1A8D">
            <w:pPr>
              <w:pStyle w:val="RightAlign"/>
            </w:pPr>
            <w:r>
              <w:t>3</w:t>
            </w:r>
          </w:p>
        </w:tc>
      </w:tr>
      <w:tr w:rsidR="005E48A6" w14:paraId="386DB2B8"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B4" w14:textId="77777777" w:rsidR="005E48A6" w:rsidRDefault="009D1A8D">
            <w:pPr>
              <w:ind w:left="450"/>
            </w:pPr>
            <w:r>
              <w:t>culturally responsive action</w:t>
            </w:r>
          </w:p>
        </w:tc>
        <w:tc>
          <w:tcPr>
            <w:tcW w:w="2500" w:type="pct"/>
          </w:tcPr>
          <w:p w14:paraId="386DB2B5" w14:textId="4394F8DA" w:rsidR="005E48A6" w:rsidRDefault="00D04494">
            <w:r>
              <w:t>Examples of culturally responsive actions by individual staff members or by the mental health system</w:t>
            </w:r>
          </w:p>
        </w:tc>
        <w:tc>
          <w:tcPr>
            <w:tcW w:w="500" w:type="pct"/>
          </w:tcPr>
          <w:p w14:paraId="386DB2B6" w14:textId="77777777" w:rsidR="005E48A6" w:rsidRDefault="009D1A8D">
            <w:pPr>
              <w:pStyle w:val="RightAlign"/>
            </w:pPr>
            <w:r>
              <w:t>4</w:t>
            </w:r>
          </w:p>
        </w:tc>
        <w:tc>
          <w:tcPr>
            <w:tcW w:w="500" w:type="pct"/>
          </w:tcPr>
          <w:p w14:paraId="386DB2B7" w14:textId="77777777" w:rsidR="005E48A6" w:rsidRDefault="009D1A8D">
            <w:pPr>
              <w:pStyle w:val="RightAlign"/>
            </w:pPr>
            <w:r>
              <w:t>20</w:t>
            </w:r>
          </w:p>
        </w:tc>
      </w:tr>
      <w:tr w:rsidR="005E48A6" w14:paraId="386DB2BD"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B9" w14:textId="77777777" w:rsidR="005E48A6" w:rsidRDefault="009D1A8D">
            <w:pPr>
              <w:ind w:left="450"/>
            </w:pPr>
            <w:r>
              <w:t>Indigenous workforce</w:t>
            </w:r>
          </w:p>
        </w:tc>
        <w:tc>
          <w:tcPr>
            <w:tcW w:w="2500" w:type="pct"/>
          </w:tcPr>
          <w:p w14:paraId="386DB2BA" w14:textId="5560AC7F" w:rsidR="005E48A6" w:rsidRDefault="009E4CCA">
            <w:r>
              <w:t>Information related to Aboriginal and Torres Strait Islander Workforce  - reliance</w:t>
            </w:r>
            <w:r w:rsidR="00CD2F66">
              <w:t xml:space="preserve">, cultural load, barriers, understaffed, roles and responsibilities, cultural barriers, </w:t>
            </w:r>
            <w:r w:rsidR="00781230">
              <w:t>discrimination</w:t>
            </w:r>
          </w:p>
        </w:tc>
        <w:tc>
          <w:tcPr>
            <w:tcW w:w="500" w:type="pct"/>
          </w:tcPr>
          <w:p w14:paraId="386DB2BB" w14:textId="77777777" w:rsidR="005E48A6" w:rsidRDefault="009D1A8D">
            <w:pPr>
              <w:pStyle w:val="RightAlign"/>
            </w:pPr>
            <w:r>
              <w:t>5</w:t>
            </w:r>
          </w:p>
        </w:tc>
        <w:tc>
          <w:tcPr>
            <w:tcW w:w="500" w:type="pct"/>
          </w:tcPr>
          <w:p w14:paraId="386DB2BC" w14:textId="77777777" w:rsidR="005E48A6" w:rsidRDefault="009D1A8D">
            <w:pPr>
              <w:pStyle w:val="RightAlign"/>
            </w:pPr>
            <w:r>
              <w:t>14</w:t>
            </w:r>
          </w:p>
        </w:tc>
      </w:tr>
      <w:tr w:rsidR="005E48A6" w14:paraId="386DB2C2" w14:textId="77777777" w:rsidTr="005E48A6">
        <w:trPr>
          <w:cnfStyle w:val="000000010000" w:firstRow="0" w:lastRow="0" w:firstColumn="0" w:lastColumn="0" w:oddVBand="0" w:evenVBand="0" w:oddHBand="0" w:evenHBand="1" w:firstRowFirstColumn="0" w:firstRowLastColumn="0" w:lastRowFirstColumn="0" w:lastRowLastColumn="0"/>
        </w:trPr>
        <w:tc>
          <w:tcPr>
            <w:tcW w:w="1500" w:type="pct"/>
          </w:tcPr>
          <w:p w14:paraId="386DB2BE" w14:textId="77777777" w:rsidR="005E48A6" w:rsidRDefault="009D1A8D">
            <w:r>
              <w:t>training content</w:t>
            </w:r>
          </w:p>
        </w:tc>
        <w:tc>
          <w:tcPr>
            <w:tcW w:w="2500" w:type="pct"/>
          </w:tcPr>
          <w:p w14:paraId="386DB2BF" w14:textId="42EB2853" w:rsidR="005E48A6" w:rsidRDefault="00781230">
            <w:r>
              <w:t>Information related to content identified by practitioners</w:t>
            </w:r>
          </w:p>
        </w:tc>
        <w:tc>
          <w:tcPr>
            <w:tcW w:w="500" w:type="pct"/>
          </w:tcPr>
          <w:p w14:paraId="386DB2C0" w14:textId="77777777" w:rsidR="005E48A6" w:rsidRDefault="009D1A8D">
            <w:pPr>
              <w:pStyle w:val="RightAlign"/>
            </w:pPr>
            <w:r>
              <w:t>7</w:t>
            </w:r>
          </w:p>
        </w:tc>
        <w:tc>
          <w:tcPr>
            <w:tcW w:w="500" w:type="pct"/>
          </w:tcPr>
          <w:p w14:paraId="386DB2C1" w14:textId="77777777" w:rsidR="005E48A6" w:rsidRDefault="009D1A8D">
            <w:pPr>
              <w:pStyle w:val="RightAlign"/>
            </w:pPr>
            <w:r>
              <w:t>52</w:t>
            </w:r>
          </w:p>
        </w:tc>
      </w:tr>
      <w:tr w:rsidR="005E48A6" w14:paraId="386DB2C7" w14:textId="77777777" w:rsidTr="005E48A6">
        <w:trPr>
          <w:cnfStyle w:val="000000100000" w:firstRow="0" w:lastRow="0" w:firstColumn="0" w:lastColumn="0" w:oddVBand="0" w:evenVBand="0" w:oddHBand="1" w:evenHBand="0" w:firstRowFirstColumn="0" w:firstRowLastColumn="0" w:lastRowFirstColumn="0" w:lastRowLastColumn="0"/>
        </w:trPr>
        <w:tc>
          <w:tcPr>
            <w:tcW w:w="1500" w:type="pct"/>
          </w:tcPr>
          <w:p w14:paraId="386DB2C3" w14:textId="77777777" w:rsidR="005E48A6" w:rsidRDefault="009D1A8D">
            <w:pPr>
              <w:ind w:left="450"/>
            </w:pPr>
            <w:r>
              <w:t>mode of delivery</w:t>
            </w:r>
          </w:p>
        </w:tc>
        <w:tc>
          <w:tcPr>
            <w:tcW w:w="2500" w:type="pct"/>
          </w:tcPr>
          <w:p w14:paraId="386DB2C4" w14:textId="4EEA52D5" w:rsidR="005E48A6" w:rsidRDefault="00F21460">
            <w:r>
              <w:t>Modes of delivery suggested by practitioners</w:t>
            </w:r>
          </w:p>
        </w:tc>
        <w:tc>
          <w:tcPr>
            <w:tcW w:w="500" w:type="pct"/>
          </w:tcPr>
          <w:p w14:paraId="386DB2C5" w14:textId="77777777" w:rsidR="005E48A6" w:rsidRDefault="009D1A8D">
            <w:pPr>
              <w:pStyle w:val="RightAlign"/>
            </w:pPr>
            <w:r>
              <w:t>4</w:t>
            </w:r>
          </w:p>
        </w:tc>
        <w:tc>
          <w:tcPr>
            <w:tcW w:w="500" w:type="pct"/>
          </w:tcPr>
          <w:p w14:paraId="386DB2C6" w14:textId="77777777" w:rsidR="005E48A6" w:rsidRDefault="009D1A8D">
            <w:pPr>
              <w:pStyle w:val="RightAlign"/>
            </w:pPr>
            <w:r>
              <w:t>19</w:t>
            </w:r>
          </w:p>
        </w:tc>
      </w:tr>
    </w:tbl>
    <w:p w14:paraId="386DB2C8" w14:textId="77777777" w:rsidR="009D1A8D" w:rsidRDefault="009D1A8D"/>
    <w:p w14:paraId="0D3E548D" w14:textId="55A6A76B" w:rsidR="00ED5B49" w:rsidRDefault="00ED5B49">
      <w:r>
        <w:br w:type="page"/>
      </w:r>
    </w:p>
    <w:p w14:paraId="1F819A5D" w14:textId="77777777" w:rsidR="00ED5B49" w:rsidRPr="002E4F2E" w:rsidRDefault="00ED5B49" w:rsidP="00ED5B49">
      <w:pPr>
        <w:pStyle w:val="Heading2"/>
        <w:shd w:val="clear" w:color="auto" w:fill="DEEAF6" w:themeFill="accent1" w:themeFillTint="33"/>
        <w:rPr>
          <w:b/>
          <w:bCs/>
        </w:rPr>
      </w:pPr>
      <w:r w:rsidRPr="002E4F2E">
        <w:rPr>
          <w:b/>
          <w:bCs/>
        </w:rPr>
        <w:lastRenderedPageBreak/>
        <w:t>Emerging Themes</w:t>
      </w:r>
    </w:p>
    <w:p w14:paraId="4A0B92DD" w14:textId="77777777" w:rsidR="00ED5B49" w:rsidRDefault="00ED5B49" w:rsidP="00ED5B49">
      <w:r>
        <w:t xml:space="preserve">Applying Braun and Clarks Reflexive Thematic Analysis (2023), several themes have emerged from the initial yarning circles. Within these themes there were several sub themes. </w:t>
      </w:r>
    </w:p>
    <w:tbl>
      <w:tblPr>
        <w:tblStyle w:val="TableGrid"/>
        <w:tblW w:w="14029" w:type="dxa"/>
        <w:tblLook w:val="04A0" w:firstRow="1" w:lastRow="0" w:firstColumn="1" w:lastColumn="0" w:noHBand="0" w:noVBand="1"/>
      </w:tblPr>
      <w:tblGrid>
        <w:gridCol w:w="2002"/>
        <w:gridCol w:w="2086"/>
        <w:gridCol w:w="9941"/>
      </w:tblGrid>
      <w:tr w:rsidR="00ED5B49" w14:paraId="7A9C3396" w14:textId="77777777" w:rsidTr="00ED5B49">
        <w:tc>
          <w:tcPr>
            <w:tcW w:w="2002" w:type="dxa"/>
            <w:shd w:val="clear" w:color="auto" w:fill="D9D9D9" w:themeFill="background1" w:themeFillShade="D9"/>
          </w:tcPr>
          <w:p w14:paraId="390E0127" w14:textId="77777777" w:rsidR="00ED5B49" w:rsidRPr="00D73F31" w:rsidRDefault="00ED5B49" w:rsidP="00A47DA2">
            <w:pPr>
              <w:rPr>
                <w:b/>
                <w:bCs/>
              </w:rPr>
            </w:pPr>
            <w:r w:rsidRPr="00D73F31">
              <w:rPr>
                <w:b/>
                <w:bCs/>
              </w:rPr>
              <w:t>Key Theme</w:t>
            </w:r>
          </w:p>
        </w:tc>
        <w:tc>
          <w:tcPr>
            <w:tcW w:w="2086" w:type="dxa"/>
            <w:shd w:val="clear" w:color="auto" w:fill="D9D9D9" w:themeFill="background1" w:themeFillShade="D9"/>
          </w:tcPr>
          <w:p w14:paraId="694EF8FA" w14:textId="77777777" w:rsidR="00ED5B49" w:rsidRPr="00D73F31" w:rsidRDefault="00ED5B49" w:rsidP="00A47DA2">
            <w:pPr>
              <w:rPr>
                <w:b/>
                <w:bCs/>
              </w:rPr>
            </w:pPr>
            <w:r w:rsidRPr="00D73F31">
              <w:rPr>
                <w:b/>
                <w:bCs/>
              </w:rPr>
              <w:t>Sub themes</w:t>
            </w:r>
          </w:p>
        </w:tc>
        <w:tc>
          <w:tcPr>
            <w:tcW w:w="9941" w:type="dxa"/>
            <w:shd w:val="clear" w:color="auto" w:fill="D9D9D9" w:themeFill="background1" w:themeFillShade="D9"/>
          </w:tcPr>
          <w:p w14:paraId="15B2776C" w14:textId="77777777" w:rsidR="00ED5B49" w:rsidRPr="00D73F31" w:rsidRDefault="00ED5B49" w:rsidP="00A47DA2">
            <w:pPr>
              <w:rPr>
                <w:b/>
                <w:bCs/>
              </w:rPr>
            </w:pPr>
          </w:p>
        </w:tc>
      </w:tr>
      <w:tr w:rsidR="00ED5B49" w14:paraId="33DDF496" w14:textId="77777777" w:rsidTr="00ED5B49">
        <w:trPr>
          <w:trHeight w:val="2215"/>
        </w:trPr>
        <w:tc>
          <w:tcPr>
            <w:tcW w:w="2002" w:type="dxa"/>
            <w:vMerge w:val="restart"/>
            <w:shd w:val="clear" w:color="auto" w:fill="D9D9D9" w:themeFill="background1" w:themeFillShade="D9"/>
          </w:tcPr>
          <w:p w14:paraId="2BA3197A" w14:textId="77777777" w:rsidR="00ED5B49" w:rsidRDefault="00ED5B49" w:rsidP="00A47DA2">
            <w:pPr>
              <w:rPr>
                <w:b/>
                <w:bCs/>
              </w:rPr>
            </w:pPr>
            <w:r w:rsidRPr="00056322">
              <w:rPr>
                <w:b/>
                <w:bCs/>
              </w:rPr>
              <w:t>Clinical Practice and Behaviours</w:t>
            </w:r>
          </w:p>
          <w:p w14:paraId="66654369" w14:textId="77777777" w:rsidR="00F53303" w:rsidRDefault="00F53303" w:rsidP="00A47DA2">
            <w:pPr>
              <w:rPr>
                <w:b/>
                <w:bCs/>
              </w:rPr>
            </w:pPr>
          </w:p>
          <w:p w14:paraId="5C571B6B" w14:textId="77777777" w:rsidR="00F53303" w:rsidRDefault="00F53303" w:rsidP="00A47DA2">
            <w:pPr>
              <w:rPr>
                <w:b/>
                <w:bCs/>
              </w:rPr>
            </w:pPr>
          </w:p>
          <w:p w14:paraId="344010E0" w14:textId="77777777" w:rsidR="00F53303" w:rsidRDefault="00F53303" w:rsidP="00A47DA2">
            <w:pPr>
              <w:rPr>
                <w:b/>
                <w:bCs/>
              </w:rPr>
            </w:pPr>
          </w:p>
          <w:p w14:paraId="63AE5B80" w14:textId="77777777" w:rsidR="007F3423" w:rsidRDefault="007F3423" w:rsidP="00A47DA2">
            <w:pPr>
              <w:rPr>
                <w:b/>
                <w:bCs/>
              </w:rPr>
            </w:pPr>
          </w:p>
          <w:p w14:paraId="1DBE3FB4" w14:textId="77777777" w:rsidR="007F3423" w:rsidRDefault="007F3423" w:rsidP="00A47DA2">
            <w:pPr>
              <w:rPr>
                <w:b/>
                <w:bCs/>
              </w:rPr>
            </w:pPr>
          </w:p>
          <w:p w14:paraId="2FC7DDDE" w14:textId="77777777" w:rsidR="007F3423" w:rsidRDefault="007F3423" w:rsidP="00A47DA2">
            <w:pPr>
              <w:rPr>
                <w:b/>
                <w:bCs/>
              </w:rPr>
            </w:pPr>
          </w:p>
          <w:p w14:paraId="47CEBF11" w14:textId="77777777" w:rsidR="007F3423" w:rsidRDefault="007F3423" w:rsidP="00A47DA2">
            <w:pPr>
              <w:rPr>
                <w:b/>
                <w:bCs/>
              </w:rPr>
            </w:pPr>
          </w:p>
          <w:p w14:paraId="3D865CEE" w14:textId="77777777" w:rsidR="007F3423" w:rsidRDefault="007F3423" w:rsidP="00A47DA2">
            <w:pPr>
              <w:rPr>
                <w:b/>
                <w:bCs/>
              </w:rPr>
            </w:pPr>
          </w:p>
          <w:p w14:paraId="2A0FAB4D" w14:textId="4773B8D3" w:rsidR="00F53303" w:rsidRPr="007F3423" w:rsidRDefault="00F53303" w:rsidP="007F3423">
            <w:pPr>
              <w:pStyle w:val="ListParagraph"/>
              <w:numPr>
                <w:ilvl w:val="0"/>
                <w:numId w:val="1"/>
              </w:numPr>
              <w:spacing w:before="0" w:after="0" w:line="240" w:lineRule="auto"/>
              <w:ind w:left="301" w:hanging="284"/>
            </w:pPr>
            <w:r w:rsidRPr="007F3423">
              <w:t xml:space="preserve">Self-identified and reported practices and </w:t>
            </w:r>
            <w:r w:rsidR="00F55C4C" w:rsidRPr="007F3423">
              <w:t>behaviour.</w:t>
            </w:r>
          </w:p>
          <w:p w14:paraId="3732CA60" w14:textId="77777777" w:rsidR="007F3423" w:rsidRPr="007F3423" w:rsidRDefault="007F3423" w:rsidP="007F3423">
            <w:pPr>
              <w:pStyle w:val="ListParagraph"/>
              <w:spacing w:before="0" w:after="0" w:line="240" w:lineRule="auto"/>
              <w:ind w:left="301"/>
            </w:pPr>
          </w:p>
          <w:p w14:paraId="5573FB06" w14:textId="77E56A7A" w:rsidR="00F53303" w:rsidRPr="00056322" w:rsidRDefault="00F53303" w:rsidP="007F3423">
            <w:pPr>
              <w:pStyle w:val="ListParagraph"/>
              <w:numPr>
                <w:ilvl w:val="0"/>
                <w:numId w:val="1"/>
              </w:numPr>
              <w:spacing w:before="0" w:after="0" w:line="240" w:lineRule="auto"/>
              <w:ind w:left="301" w:hanging="284"/>
              <w:rPr>
                <w:b/>
                <w:bCs/>
              </w:rPr>
            </w:pPr>
            <w:r w:rsidRPr="007F3423">
              <w:t>Unidentified practices and behaviour</w:t>
            </w:r>
          </w:p>
        </w:tc>
        <w:tc>
          <w:tcPr>
            <w:tcW w:w="2086" w:type="dxa"/>
          </w:tcPr>
          <w:p w14:paraId="5D7206FF" w14:textId="77777777" w:rsidR="00ED5B49" w:rsidRDefault="00ED5B49" w:rsidP="00A47DA2">
            <w:r w:rsidRPr="00056322">
              <w:rPr>
                <w:b/>
                <w:bCs/>
              </w:rPr>
              <w:t>Culture</w:t>
            </w:r>
          </w:p>
        </w:tc>
        <w:tc>
          <w:tcPr>
            <w:tcW w:w="9941" w:type="dxa"/>
          </w:tcPr>
          <w:p w14:paraId="4E98A92D" w14:textId="3F9F0EC5" w:rsidR="001C3046" w:rsidRDefault="00C97C3C" w:rsidP="00C97C3C">
            <w:r>
              <w:t>Practitioners</w:t>
            </w:r>
            <w:r w:rsidR="001C3046">
              <w:t xml:space="preserve"> identified that</w:t>
            </w:r>
            <w:r w:rsidR="0039115A">
              <w:t xml:space="preserve"> was a need to </w:t>
            </w:r>
            <w:r w:rsidR="00D01FA5">
              <w:t>improve.</w:t>
            </w:r>
          </w:p>
          <w:p w14:paraId="1D10A0B0" w14:textId="77777777" w:rsidR="00D01FA5" w:rsidRDefault="00D01FA5" w:rsidP="00C97C3C"/>
          <w:p w14:paraId="7A833B1A" w14:textId="506505B4" w:rsidR="00ED5B49" w:rsidRDefault="00ED5B49" w:rsidP="00ED5B49">
            <w:pPr>
              <w:pStyle w:val="ListParagraph"/>
              <w:numPr>
                <w:ilvl w:val="0"/>
                <w:numId w:val="1"/>
              </w:numPr>
              <w:spacing w:before="0" w:after="0" w:line="240" w:lineRule="auto"/>
              <w:ind w:left="301" w:hanging="284"/>
            </w:pPr>
            <w:r>
              <w:t xml:space="preserve">Traditional/ cultural beliefs and values, </w:t>
            </w:r>
            <w:r w:rsidR="00F53303">
              <w:t>protocols,</w:t>
            </w:r>
            <w:r>
              <w:t xml:space="preserve"> and practices – including spirituality and gender.</w:t>
            </w:r>
          </w:p>
          <w:p w14:paraId="692876DE" w14:textId="77777777" w:rsidR="001C3046" w:rsidRDefault="001C3046" w:rsidP="00F5635A">
            <w:pPr>
              <w:pStyle w:val="ListParagraph"/>
              <w:spacing w:before="0" w:after="0" w:line="240" w:lineRule="auto"/>
              <w:ind w:left="301"/>
            </w:pPr>
          </w:p>
          <w:p w14:paraId="51D16058" w14:textId="77777777" w:rsidR="00F5635A" w:rsidRDefault="00F5635A" w:rsidP="00ED5B49">
            <w:pPr>
              <w:pStyle w:val="ListParagraph"/>
              <w:numPr>
                <w:ilvl w:val="0"/>
                <w:numId w:val="1"/>
              </w:numPr>
              <w:spacing w:before="0" w:after="0" w:line="240" w:lineRule="auto"/>
              <w:ind w:left="301" w:hanging="284"/>
            </w:pPr>
            <w:r>
              <w:t>H</w:t>
            </w:r>
            <w:r w:rsidR="00ED5B49">
              <w:t>istorical socio-political significance of contemporary health inequity</w:t>
            </w:r>
            <w:r>
              <w:t xml:space="preserve"> </w:t>
            </w:r>
          </w:p>
          <w:p w14:paraId="686A023B" w14:textId="77777777" w:rsidR="00F5635A" w:rsidRDefault="00F5635A" w:rsidP="00F5635A">
            <w:pPr>
              <w:pStyle w:val="ListParagraph"/>
            </w:pPr>
          </w:p>
          <w:p w14:paraId="6D589CF9" w14:textId="256D24CC" w:rsidR="00F5635A" w:rsidRPr="00F5635A" w:rsidRDefault="00F5635A" w:rsidP="00F5635A">
            <w:pPr>
              <w:pStyle w:val="ListParagraph"/>
              <w:numPr>
                <w:ilvl w:val="0"/>
                <w:numId w:val="1"/>
              </w:numPr>
              <w:spacing w:before="0" w:after="0" w:line="240" w:lineRule="auto"/>
              <w:ind w:left="301" w:hanging="284"/>
            </w:pPr>
            <w:r>
              <w:t>Holistic perspective of health</w:t>
            </w:r>
          </w:p>
          <w:p w14:paraId="14387CDB" w14:textId="7036CE9C" w:rsidR="00F5635A" w:rsidRDefault="00F5635A" w:rsidP="00F5635A"/>
          <w:p w14:paraId="08A60FA9" w14:textId="3DE4E189" w:rsidR="00ED5B49" w:rsidRDefault="00ED5B49" w:rsidP="00ED5B49">
            <w:pPr>
              <w:pStyle w:val="ListParagraph"/>
              <w:numPr>
                <w:ilvl w:val="0"/>
                <w:numId w:val="1"/>
              </w:numPr>
              <w:spacing w:before="0" w:after="0" w:line="240" w:lineRule="auto"/>
              <w:ind w:left="301" w:hanging="284"/>
            </w:pPr>
            <w:r>
              <w:t>Concept of “healing” vs “Treatment”</w:t>
            </w:r>
            <w:r w:rsidR="000F79C3">
              <w:t xml:space="preserve"> </w:t>
            </w:r>
          </w:p>
          <w:p w14:paraId="61BAADD5" w14:textId="77777777" w:rsidR="00CB739B" w:rsidRDefault="00CB739B" w:rsidP="00CB739B">
            <w:pPr>
              <w:pStyle w:val="ListParagraph"/>
            </w:pPr>
          </w:p>
          <w:p w14:paraId="14B00B98" w14:textId="6BAFFB76" w:rsidR="000F79C3" w:rsidRDefault="000F79C3" w:rsidP="000F79C3">
            <w:pPr>
              <w:pStyle w:val="ListParagraph"/>
              <w:numPr>
                <w:ilvl w:val="0"/>
                <w:numId w:val="1"/>
              </w:numPr>
              <w:spacing w:before="0" w:after="0" w:line="240" w:lineRule="auto"/>
              <w:ind w:left="301" w:hanging="284"/>
            </w:pPr>
            <w:r>
              <w:t>Cultural communication norms</w:t>
            </w:r>
          </w:p>
          <w:p w14:paraId="65B38ABA" w14:textId="77777777" w:rsidR="00ED5B49" w:rsidRDefault="00ED5B49" w:rsidP="00CB739B">
            <w:pPr>
              <w:pStyle w:val="ListParagraph"/>
              <w:spacing w:before="0" w:after="0" w:line="240" w:lineRule="auto"/>
              <w:ind w:left="301"/>
            </w:pPr>
          </w:p>
        </w:tc>
      </w:tr>
      <w:tr w:rsidR="00ED5B49" w14:paraId="23043AE0" w14:textId="77777777" w:rsidTr="00ED5B49">
        <w:trPr>
          <w:trHeight w:val="2801"/>
        </w:trPr>
        <w:tc>
          <w:tcPr>
            <w:tcW w:w="2002" w:type="dxa"/>
            <w:vMerge/>
            <w:tcBorders>
              <w:bottom w:val="single" w:sz="4" w:space="0" w:color="auto"/>
            </w:tcBorders>
            <w:shd w:val="clear" w:color="auto" w:fill="D9D9D9" w:themeFill="background1" w:themeFillShade="D9"/>
          </w:tcPr>
          <w:p w14:paraId="64FCF15C" w14:textId="77777777" w:rsidR="00ED5B49" w:rsidRPr="00056322" w:rsidRDefault="00ED5B49" w:rsidP="00A47DA2">
            <w:pPr>
              <w:rPr>
                <w:b/>
                <w:bCs/>
              </w:rPr>
            </w:pPr>
          </w:p>
        </w:tc>
        <w:tc>
          <w:tcPr>
            <w:tcW w:w="2086" w:type="dxa"/>
            <w:tcBorders>
              <w:bottom w:val="single" w:sz="4" w:space="0" w:color="auto"/>
            </w:tcBorders>
          </w:tcPr>
          <w:p w14:paraId="56C45294" w14:textId="77777777" w:rsidR="00ED5B49" w:rsidRPr="00056322" w:rsidRDefault="00ED5B49" w:rsidP="00A47DA2">
            <w:pPr>
              <w:rPr>
                <w:b/>
                <w:bCs/>
              </w:rPr>
            </w:pPr>
            <w:r w:rsidRPr="00056322">
              <w:rPr>
                <w:b/>
                <w:bCs/>
              </w:rPr>
              <w:t>Communication Challenges</w:t>
            </w:r>
          </w:p>
          <w:p w14:paraId="44A0D0C8" w14:textId="1328A4F4" w:rsidR="00ED5B49" w:rsidRDefault="00ED5B49" w:rsidP="00A47DA2"/>
          <w:p w14:paraId="68765A67" w14:textId="77777777" w:rsidR="00ED5B49" w:rsidRDefault="00ED5B49" w:rsidP="00A47DA2"/>
        </w:tc>
        <w:tc>
          <w:tcPr>
            <w:tcW w:w="9941" w:type="dxa"/>
            <w:tcBorders>
              <w:bottom w:val="single" w:sz="4" w:space="0" w:color="auto"/>
            </w:tcBorders>
          </w:tcPr>
          <w:p w14:paraId="281A4EE7" w14:textId="15F7B2CA" w:rsidR="00B4225C" w:rsidRDefault="00356F97" w:rsidP="00ED5B49">
            <w:pPr>
              <w:pStyle w:val="ListParagraph"/>
              <w:numPr>
                <w:ilvl w:val="0"/>
                <w:numId w:val="1"/>
              </w:numPr>
              <w:spacing w:before="0" w:after="0" w:line="240" w:lineRule="auto"/>
              <w:ind w:left="301" w:hanging="284"/>
            </w:pPr>
            <w:r w:rsidRPr="00E66D74">
              <w:rPr>
                <w:b/>
                <w:bCs/>
                <w:i/>
                <w:iCs/>
              </w:rPr>
              <w:t>Interpersonal communication</w:t>
            </w:r>
            <w:r>
              <w:t xml:space="preserve"> - </w:t>
            </w:r>
            <w:r w:rsidR="00ED5B49">
              <w:t>communicating with family</w:t>
            </w:r>
            <w:r>
              <w:t xml:space="preserve">, </w:t>
            </w:r>
            <w:r w:rsidR="00ED5B49">
              <w:t>building rapport</w:t>
            </w:r>
            <w:r>
              <w:t>, trusting relationships,</w:t>
            </w:r>
            <w:r w:rsidR="00B4225C">
              <w:t xml:space="preserve"> use of </w:t>
            </w:r>
            <w:r w:rsidR="00970FB6">
              <w:t>time.</w:t>
            </w:r>
          </w:p>
          <w:p w14:paraId="5779670D" w14:textId="77777777" w:rsidR="00CB739B" w:rsidRDefault="00CB739B" w:rsidP="00CB739B">
            <w:pPr>
              <w:pStyle w:val="ListParagraph"/>
              <w:spacing w:before="0" w:after="0" w:line="240" w:lineRule="auto"/>
              <w:ind w:left="301"/>
            </w:pPr>
          </w:p>
          <w:p w14:paraId="189F87BF" w14:textId="13E70A59" w:rsidR="00CB739B" w:rsidRDefault="00CB739B" w:rsidP="00CB739B">
            <w:pPr>
              <w:pStyle w:val="ListParagraph"/>
              <w:numPr>
                <w:ilvl w:val="0"/>
                <w:numId w:val="1"/>
              </w:numPr>
              <w:spacing w:before="0" w:after="0" w:line="240" w:lineRule="auto"/>
              <w:ind w:left="301" w:hanging="284"/>
            </w:pPr>
            <w:r>
              <w:rPr>
                <w:b/>
                <w:bCs/>
                <w:i/>
                <w:iCs/>
              </w:rPr>
              <w:t>Verbal and Written Communication</w:t>
            </w:r>
            <w:r w:rsidR="00C95413">
              <w:rPr>
                <w:b/>
                <w:bCs/>
                <w:i/>
                <w:iCs/>
              </w:rPr>
              <w:t xml:space="preserve"> (including the u</w:t>
            </w:r>
            <w:r w:rsidRPr="00E66D74">
              <w:rPr>
                <w:b/>
                <w:bCs/>
                <w:i/>
                <w:iCs/>
              </w:rPr>
              <w:t xml:space="preserve">se of </w:t>
            </w:r>
            <w:r w:rsidR="00C95413">
              <w:rPr>
                <w:b/>
                <w:bCs/>
                <w:i/>
                <w:iCs/>
              </w:rPr>
              <w:t>language)</w:t>
            </w:r>
            <w:r>
              <w:t xml:space="preserve"> – Terminology, health jargon, silent language/ non-verbal, body language, health literacy, medical tools, and </w:t>
            </w:r>
            <w:r w:rsidR="00A4004A">
              <w:t>resources.</w:t>
            </w:r>
          </w:p>
          <w:p w14:paraId="1451BF4C" w14:textId="77777777" w:rsidR="00B4225C" w:rsidRDefault="00B4225C" w:rsidP="00B4225C">
            <w:pPr>
              <w:pStyle w:val="ListParagraph"/>
            </w:pPr>
          </w:p>
          <w:p w14:paraId="5FEE7F21" w14:textId="7AF37E86" w:rsidR="00ED5B49" w:rsidRDefault="00B4225C" w:rsidP="00ED5B49">
            <w:pPr>
              <w:pStyle w:val="ListParagraph"/>
              <w:numPr>
                <w:ilvl w:val="0"/>
                <w:numId w:val="1"/>
              </w:numPr>
              <w:spacing w:before="0" w:after="0" w:line="240" w:lineRule="auto"/>
              <w:ind w:left="301" w:hanging="284"/>
            </w:pPr>
            <w:r w:rsidRPr="00E66D74">
              <w:rPr>
                <w:b/>
                <w:bCs/>
                <w:i/>
                <w:iCs/>
              </w:rPr>
              <w:t xml:space="preserve">Cultural </w:t>
            </w:r>
            <w:r w:rsidR="00594FA4" w:rsidRPr="00E66D74">
              <w:rPr>
                <w:b/>
                <w:bCs/>
                <w:i/>
                <w:iCs/>
              </w:rPr>
              <w:t>Disconnect</w:t>
            </w:r>
            <w:r w:rsidR="00594FA4">
              <w:t xml:space="preserve"> </w:t>
            </w:r>
            <w:r w:rsidR="007F3423">
              <w:t>- Privilege</w:t>
            </w:r>
            <w:r w:rsidR="00ED5B49">
              <w:t>, Bias, Discrimination</w:t>
            </w:r>
            <w:r>
              <w:t>, Cognitive</w:t>
            </w:r>
            <w:r w:rsidR="00594FA4">
              <w:t xml:space="preserve"> Dissonance, </w:t>
            </w:r>
          </w:p>
          <w:p w14:paraId="0E996D01" w14:textId="77777777" w:rsidR="0015344D" w:rsidRDefault="0015344D" w:rsidP="0015344D">
            <w:pPr>
              <w:pStyle w:val="ListParagraph"/>
            </w:pPr>
          </w:p>
          <w:p w14:paraId="684DE00E" w14:textId="24D5C968" w:rsidR="0015344D" w:rsidRDefault="0015344D" w:rsidP="00ED5B49">
            <w:pPr>
              <w:pStyle w:val="ListParagraph"/>
              <w:numPr>
                <w:ilvl w:val="0"/>
                <w:numId w:val="1"/>
              </w:numPr>
              <w:spacing w:before="0" w:after="0" w:line="240" w:lineRule="auto"/>
              <w:ind w:left="301" w:hanging="284"/>
            </w:pPr>
            <w:r w:rsidRPr="00970FB6">
              <w:rPr>
                <w:b/>
                <w:bCs/>
                <w:i/>
                <w:iCs/>
              </w:rPr>
              <w:t>C</w:t>
            </w:r>
            <w:r w:rsidR="00970FB6" w:rsidRPr="00970FB6">
              <w:rPr>
                <w:b/>
                <w:bCs/>
                <w:i/>
                <w:iCs/>
              </w:rPr>
              <w:t>ultural Humility</w:t>
            </w:r>
            <w:r w:rsidR="00970FB6">
              <w:rPr>
                <w:b/>
                <w:bCs/>
                <w:i/>
                <w:iCs/>
              </w:rPr>
              <w:t xml:space="preserve"> -</w:t>
            </w:r>
            <w:r w:rsidR="00970FB6">
              <w:t xml:space="preserve"> applying cultural knowledge within interactions to provide culturally safe and responsive care.</w:t>
            </w:r>
          </w:p>
          <w:p w14:paraId="3B62A859" w14:textId="77777777" w:rsidR="00ED5B49" w:rsidRDefault="00ED5B49" w:rsidP="00594FA4">
            <w:pPr>
              <w:pStyle w:val="ListParagraph"/>
              <w:spacing w:before="0" w:after="0" w:line="240" w:lineRule="auto"/>
              <w:ind w:left="301"/>
            </w:pPr>
          </w:p>
          <w:p w14:paraId="52E1298F" w14:textId="77777777" w:rsidR="00ED5B49" w:rsidRDefault="00ED5B49" w:rsidP="00A47DA2"/>
        </w:tc>
      </w:tr>
      <w:tr w:rsidR="00ED5B49" w14:paraId="072347FE" w14:textId="77777777" w:rsidTr="00A4004A">
        <w:trPr>
          <w:trHeight w:val="1833"/>
        </w:trPr>
        <w:tc>
          <w:tcPr>
            <w:tcW w:w="2002" w:type="dxa"/>
            <w:shd w:val="clear" w:color="auto" w:fill="D9D9D9" w:themeFill="background1" w:themeFillShade="D9"/>
          </w:tcPr>
          <w:p w14:paraId="74537ABD" w14:textId="77777777" w:rsidR="00ED5B49" w:rsidRPr="00056322" w:rsidRDefault="00ED5B49" w:rsidP="00A47DA2">
            <w:pPr>
              <w:rPr>
                <w:b/>
                <w:bCs/>
              </w:rPr>
            </w:pPr>
            <w:r w:rsidRPr="00056322">
              <w:rPr>
                <w:b/>
                <w:bCs/>
              </w:rPr>
              <w:lastRenderedPageBreak/>
              <w:t>System or Service Response</w:t>
            </w:r>
          </w:p>
        </w:tc>
        <w:tc>
          <w:tcPr>
            <w:tcW w:w="2086" w:type="dxa"/>
          </w:tcPr>
          <w:p w14:paraId="41989CEC" w14:textId="77777777" w:rsidR="00ED5B49" w:rsidRPr="007E7F12" w:rsidRDefault="00ED5B49" w:rsidP="00A47DA2">
            <w:pPr>
              <w:rPr>
                <w:b/>
                <w:bCs/>
              </w:rPr>
            </w:pPr>
            <w:r w:rsidRPr="007E7F12">
              <w:rPr>
                <w:b/>
                <w:bCs/>
              </w:rPr>
              <w:t xml:space="preserve">Aboriginal and </w:t>
            </w:r>
          </w:p>
          <w:p w14:paraId="16C8D1BE" w14:textId="77777777" w:rsidR="00ED5B49" w:rsidRDefault="00ED5B49" w:rsidP="00A47DA2">
            <w:r w:rsidRPr="007E7F12">
              <w:rPr>
                <w:b/>
                <w:bCs/>
              </w:rPr>
              <w:t>Torres Strait Islander Workforce</w:t>
            </w:r>
          </w:p>
        </w:tc>
        <w:tc>
          <w:tcPr>
            <w:tcW w:w="9941" w:type="dxa"/>
          </w:tcPr>
          <w:p w14:paraId="31232EDB" w14:textId="02A101AA" w:rsidR="00ED5B49" w:rsidRDefault="00ED5B49" w:rsidP="00ED5B49">
            <w:pPr>
              <w:pStyle w:val="ListParagraph"/>
              <w:numPr>
                <w:ilvl w:val="0"/>
                <w:numId w:val="1"/>
              </w:numPr>
              <w:spacing w:before="0" w:after="0" w:line="240" w:lineRule="auto"/>
              <w:ind w:left="301" w:hanging="284"/>
            </w:pPr>
            <w:r>
              <w:t xml:space="preserve">Overworked/over </w:t>
            </w:r>
            <w:r w:rsidR="00E66D74">
              <w:t>utili</w:t>
            </w:r>
            <w:r w:rsidR="00A4004A">
              <w:t>s</w:t>
            </w:r>
            <w:r w:rsidR="00E66D74">
              <w:t xml:space="preserve">ed </w:t>
            </w:r>
            <w:r w:rsidR="00BF5644">
              <w:t>workforce.</w:t>
            </w:r>
          </w:p>
          <w:p w14:paraId="2DC95051" w14:textId="77777777" w:rsidR="00ED5B49" w:rsidRDefault="00ED5B49" w:rsidP="00ED5B49">
            <w:pPr>
              <w:pStyle w:val="ListParagraph"/>
              <w:numPr>
                <w:ilvl w:val="0"/>
                <w:numId w:val="1"/>
              </w:numPr>
              <w:spacing w:before="0" w:after="0" w:line="240" w:lineRule="auto"/>
              <w:ind w:left="301" w:hanging="284"/>
            </w:pPr>
            <w:r>
              <w:t>Inadequate numbers</w:t>
            </w:r>
          </w:p>
          <w:p w14:paraId="1F1AF537" w14:textId="77777777" w:rsidR="00ED5B49" w:rsidRDefault="00ED5B49" w:rsidP="00ED5B49">
            <w:pPr>
              <w:pStyle w:val="ListParagraph"/>
              <w:numPr>
                <w:ilvl w:val="0"/>
                <w:numId w:val="1"/>
              </w:numPr>
              <w:spacing w:before="0" w:after="0" w:line="240" w:lineRule="auto"/>
              <w:ind w:left="301" w:hanging="284"/>
            </w:pPr>
            <w:r>
              <w:t>Discrepancies in roles and responsibilities</w:t>
            </w:r>
          </w:p>
          <w:p w14:paraId="683E04E3" w14:textId="77777777" w:rsidR="00ED5B49" w:rsidRDefault="00ED5B49" w:rsidP="00ED5B49">
            <w:pPr>
              <w:pStyle w:val="ListParagraph"/>
              <w:numPr>
                <w:ilvl w:val="0"/>
                <w:numId w:val="1"/>
              </w:numPr>
              <w:spacing w:before="0" w:after="0" w:line="240" w:lineRule="auto"/>
              <w:ind w:left="301" w:hanging="284"/>
            </w:pPr>
            <w:r>
              <w:t>Retrofitting practice to suit “process”</w:t>
            </w:r>
          </w:p>
          <w:p w14:paraId="2E4E645D" w14:textId="77777777" w:rsidR="00ED5B49" w:rsidRDefault="00ED5B49" w:rsidP="00ED5B49">
            <w:pPr>
              <w:pStyle w:val="ListParagraph"/>
              <w:numPr>
                <w:ilvl w:val="0"/>
                <w:numId w:val="1"/>
              </w:numPr>
              <w:spacing w:before="0" w:after="0" w:line="240" w:lineRule="auto"/>
              <w:ind w:left="301" w:hanging="284"/>
            </w:pPr>
            <w:r>
              <w:t>Culturally safe and appropriate assessment and screening tools</w:t>
            </w:r>
          </w:p>
          <w:p w14:paraId="106D0CD8" w14:textId="77777777" w:rsidR="00ED5B49" w:rsidRDefault="00ED5B49" w:rsidP="00ED5B49">
            <w:pPr>
              <w:pStyle w:val="ListParagraph"/>
              <w:numPr>
                <w:ilvl w:val="0"/>
                <w:numId w:val="1"/>
              </w:numPr>
              <w:spacing w:before="0" w:after="0" w:line="240" w:lineRule="auto"/>
              <w:ind w:left="301" w:hanging="284"/>
            </w:pPr>
            <w:r>
              <w:t xml:space="preserve">Invalidation of cultural expertise within clinical space   </w:t>
            </w:r>
          </w:p>
          <w:p w14:paraId="429271C4" w14:textId="77777777" w:rsidR="00ED5B49" w:rsidRDefault="00ED5B49" w:rsidP="00A4004A">
            <w:pPr>
              <w:pStyle w:val="ListParagraph"/>
              <w:spacing w:before="0" w:after="0" w:line="240" w:lineRule="auto"/>
              <w:ind w:left="301"/>
            </w:pPr>
          </w:p>
        </w:tc>
      </w:tr>
      <w:tr w:rsidR="00ED5B49" w14:paraId="7F662D6D" w14:textId="77777777" w:rsidTr="00ED5B49">
        <w:trPr>
          <w:trHeight w:val="1390"/>
        </w:trPr>
        <w:tc>
          <w:tcPr>
            <w:tcW w:w="2002" w:type="dxa"/>
            <w:shd w:val="clear" w:color="auto" w:fill="D9D9D9" w:themeFill="background1" w:themeFillShade="D9"/>
          </w:tcPr>
          <w:p w14:paraId="6F8DA24E" w14:textId="77777777" w:rsidR="00ED5B49" w:rsidRPr="00056322" w:rsidRDefault="00ED5B49" w:rsidP="00A47DA2">
            <w:pPr>
              <w:rPr>
                <w:b/>
                <w:bCs/>
              </w:rPr>
            </w:pPr>
            <w:r w:rsidRPr="00056322">
              <w:rPr>
                <w:b/>
                <w:bCs/>
              </w:rPr>
              <w:t>Training Mode of Delivery</w:t>
            </w:r>
          </w:p>
        </w:tc>
        <w:tc>
          <w:tcPr>
            <w:tcW w:w="2086" w:type="dxa"/>
          </w:tcPr>
          <w:p w14:paraId="27986BAB" w14:textId="77777777" w:rsidR="00ED5B49" w:rsidRDefault="00ED5B49" w:rsidP="00ED5B49">
            <w:pPr>
              <w:pStyle w:val="ListParagraph"/>
              <w:numPr>
                <w:ilvl w:val="0"/>
                <w:numId w:val="1"/>
              </w:numPr>
              <w:spacing w:before="0" w:after="0" w:line="240" w:lineRule="auto"/>
              <w:ind w:left="301" w:hanging="284"/>
            </w:pPr>
            <w:r>
              <w:t>Off-site</w:t>
            </w:r>
          </w:p>
          <w:p w14:paraId="1D67572A" w14:textId="77777777" w:rsidR="00ED5B49" w:rsidRDefault="00ED5B49" w:rsidP="00ED5B49">
            <w:pPr>
              <w:pStyle w:val="ListParagraph"/>
              <w:numPr>
                <w:ilvl w:val="0"/>
                <w:numId w:val="1"/>
              </w:numPr>
              <w:spacing w:before="0" w:after="0" w:line="240" w:lineRule="auto"/>
              <w:ind w:left="301" w:hanging="284"/>
            </w:pPr>
            <w:r>
              <w:t>Mixed delivery</w:t>
            </w:r>
          </w:p>
          <w:p w14:paraId="2087AA25" w14:textId="77777777" w:rsidR="00ED5B49" w:rsidRDefault="00ED5B49" w:rsidP="00ED5B49">
            <w:pPr>
              <w:pStyle w:val="ListParagraph"/>
              <w:numPr>
                <w:ilvl w:val="0"/>
                <w:numId w:val="1"/>
              </w:numPr>
              <w:spacing w:before="0" w:after="0" w:line="240" w:lineRule="auto"/>
              <w:ind w:left="301" w:hanging="284"/>
            </w:pPr>
          </w:p>
        </w:tc>
        <w:tc>
          <w:tcPr>
            <w:tcW w:w="9941" w:type="dxa"/>
          </w:tcPr>
          <w:p w14:paraId="0F9716A6" w14:textId="4E4DD117" w:rsidR="00ED5B49" w:rsidRDefault="00ED5B49" w:rsidP="00ED5B49">
            <w:pPr>
              <w:pStyle w:val="ListParagraph"/>
              <w:numPr>
                <w:ilvl w:val="0"/>
                <w:numId w:val="1"/>
              </w:numPr>
              <w:spacing w:before="0" w:after="0" w:line="240" w:lineRule="auto"/>
              <w:ind w:left="301" w:hanging="284"/>
            </w:pPr>
            <w:r>
              <w:t>Skills development/Practical</w:t>
            </w:r>
          </w:p>
          <w:p w14:paraId="324CA38A" w14:textId="77777777" w:rsidR="00ED5B49" w:rsidRDefault="00ED5B49" w:rsidP="00ED5B49">
            <w:pPr>
              <w:pStyle w:val="ListParagraph"/>
              <w:numPr>
                <w:ilvl w:val="0"/>
                <w:numId w:val="1"/>
              </w:numPr>
              <w:spacing w:before="0" w:after="0" w:line="240" w:lineRule="auto"/>
              <w:ind w:left="301" w:hanging="284"/>
            </w:pPr>
            <w:r>
              <w:t>Face to Face and online</w:t>
            </w:r>
          </w:p>
          <w:p w14:paraId="412AB8AE" w14:textId="77777777" w:rsidR="00ED5B49" w:rsidRDefault="00ED5B49" w:rsidP="00ED5B49">
            <w:pPr>
              <w:pStyle w:val="ListParagraph"/>
              <w:numPr>
                <w:ilvl w:val="0"/>
                <w:numId w:val="1"/>
              </w:numPr>
              <w:spacing w:before="0" w:after="0" w:line="240" w:lineRule="auto"/>
              <w:ind w:left="301" w:hanging="284"/>
            </w:pPr>
            <w:r>
              <w:t>Yarning Circles</w:t>
            </w:r>
          </w:p>
          <w:p w14:paraId="1EFBB2FF" w14:textId="6CCC652F" w:rsidR="00ED5B49" w:rsidRDefault="00ED5B49" w:rsidP="00ED5B49">
            <w:pPr>
              <w:pStyle w:val="ListParagraph"/>
              <w:numPr>
                <w:ilvl w:val="0"/>
                <w:numId w:val="1"/>
              </w:numPr>
              <w:spacing w:before="0" w:after="0" w:line="240" w:lineRule="auto"/>
              <w:ind w:left="301" w:hanging="284"/>
            </w:pPr>
            <w:r>
              <w:t>Experiential</w:t>
            </w:r>
            <w:r w:rsidR="00BF5644">
              <w:t xml:space="preserve"> / Scenario </w:t>
            </w:r>
            <w:proofErr w:type="gramStart"/>
            <w:r w:rsidR="00BF5644">
              <w:t>based</w:t>
            </w:r>
            <w:proofErr w:type="gramEnd"/>
          </w:p>
          <w:p w14:paraId="2A669425" w14:textId="00FB24E3" w:rsidR="00A474BC" w:rsidRDefault="00A474BC" w:rsidP="00ED5B49">
            <w:pPr>
              <w:pStyle w:val="ListParagraph"/>
              <w:numPr>
                <w:ilvl w:val="0"/>
                <w:numId w:val="1"/>
              </w:numPr>
              <w:spacing w:before="0" w:after="0" w:line="240" w:lineRule="auto"/>
              <w:ind w:left="301" w:hanging="284"/>
            </w:pPr>
            <w:r>
              <w:t>impactful</w:t>
            </w:r>
          </w:p>
          <w:p w14:paraId="390E9490" w14:textId="77777777" w:rsidR="00ED5B49" w:rsidRDefault="00ED5B49" w:rsidP="00A47DA2"/>
        </w:tc>
      </w:tr>
    </w:tbl>
    <w:p w14:paraId="7571882A" w14:textId="77777777" w:rsidR="00266B94" w:rsidRDefault="00266B94"/>
    <w:p w14:paraId="1E424A5F" w14:textId="77777777" w:rsidR="001F4B31" w:rsidRDefault="001F4B31" w:rsidP="007813C6">
      <w:pPr>
        <w:spacing w:after="0" w:line="240" w:lineRule="auto"/>
        <w:rPr>
          <w:b/>
          <w:bCs/>
          <w:u w:val="single"/>
        </w:rPr>
      </w:pPr>
    </w:p>
    <w:p w14:paraId="2190B77A" w14:textId="02EB7709" w:rsidR="007813C6" w:rsidRPr="007813C6" w:rsidRDefault="007813C6" w:rsidP="007813C6">
      <w:pPr>
        <w:spacing w:after="0" w:line="240" w:lineRule="auto"/>
        <w:rPr>
          <w:b/>
          <w:bCs/>
          <w:u w:val="single"/>
        </w:rPr>
      </w:pPr>
      <w:r w:rsidRPr="007813C6">
        <w:rPr>
          <w:b/>
          <w:bCs/>
          <w:u w:val="single"/>
        </w:rPr>
        <w:t>Reflexive Thematic Analysis</w:t>
      </w:r>
    </w:p>
    <w:p w14:paraId="2EDAAB8C" w14:textId="7483EFF3" w:rsidR="007813C6" w:rsidRDefault="007813C6" w:rsidP="007813C6">
      <w:pPr>
        <w:spacing w:after="0" w:line="240" w:lineRule="auto"/>
      </w:pPr>
      <w:r w:rsidRPr="007813C6">
        <w:rPr>
          <w:b/>
          <w:bCs/>
        </w:rPr>
        <w:t>Phase 1: Familiaring oneself with the data</w:t>
      </w:r>
      <w:r>
        <w:t xml:space="preserve"> -</w:t>
      </w:r>
      <w:r>
        <w:t xml:space="preserve">This phase involves which involves being intimately acquainted with the data by reading and re-reading the data, noting initial analysis and observations of individual data sets and the data in its entirety. </w:t>
      </w:r>
    </w:p>
    <w:p w14:paraId="4AE74B0D" w14:textId="2EDAFFDB" w:rsidR="007813C6" w:rsidRDefault="007813C6" w:rsidP="007813C6">
      <w:pPr>
        <w:spacing w:after="0" w:line="240" w:lineRule="auto"/>
      </w:pPr>
      <w:r w:rsidRPr="007813C6">
        <w:rPr>
          <w:b/>
          <w:bCs/>
        </w:rPr>
        <w:t>Phase 2: Systematic Data Coding</w:t>
      </w:r>
      <w:r>
        <w:rPr>
          <w:b/>
          <w:bCs/>
        </w:rPr>
        <w:t xml:space="preserve"> - </w:t>
      </w:r>
      <w:r>
        <w:t>This phase is an exploratory process that involves the development of broad patterns of meaning based on the collated data. This is followed by further analysis and engagement in related data to create potential themes.</w:t>
      </w:r>
    </w:p>
    <w:p w14:paraId="2B5B671D" w14:textId="7E7526D0" w:rsidR="007813C6" w:rsidRDefault="007813C6" w:rsidP="007813C6">
      <w:pPr>
        <w:spacing w:after="0" w:line="240" w:lineRule="auto"/>
      </w:pPr>
      <w:r w:rsidRPr="007813C6">
        <w:rPr>
          <w:b/>
          <w:bCs/>
        </w:rPr>
        <w:t>Phase 3: Developing and reviewing themes.</w:t>
      </w:r>
      <w:r>
        <w:rPr>
          <w:b/>
          <w:bCs/>
        </w:rPr>
        <w:t xml:space="preserve"> - </w:t>
      </w:r>
      <w:r>
        <w:t xml:space="preserve">This phase involves identifying conceptual patterns or shared meanings of data to produce initial codes or ideas that can be clusters around a central concept. This is not a passive process, instead researchers are to intentionally apply their position, knowledge, and intellect to drive this process. </w:t>
      </w:r>
    </w:p>
    <w:p w14:paraId="57D55440" w14:textId="40DBDF4C" w:rsidR="007813C6" w:rsidRDefault="007813C6" w:rsidP="007813C6">
      <w:pPr>
        <w:spacing w:after="0" w:line="240" w:lineRule="auto"/>
      </w:pPr>
      <w:r w:rsidRPr="007813C6">
        <w:rPr>
          <w:b/>
          <w:bCs/>
        </w:rPr>
        <w:t>Phase 4: Developing &amp; reviewing themes.</w:t>
      </w:r>
      <w:r>
        <w:rPr>
          <w:b/>
          <w:bCs/>
        </w:rPr>
        <w:t xml:space="preserve"> </w:t>
      </w:r>
      <w:r>
        <w:t>This phase involves reviewing, checking, and adjusting themes by reviewing the data set as a whole. Researchers must ensure that the themes are evidentially robust, convey a story that is connect to the data set and applicability to the research question.</w:t>
      </w:r>
    </w:p>
    <w:p w14:paraId="2E0E0593" w14:textId="4E123343" w:rsidR="007813C6" w:rsidRDefault="007813C6" w:rsidP="007813C6">
      <w:pPr>
        <w:spacing w:after="0" w:line="240" w:lineRule="auto"/>
      </w:pPr>
      <w:r w:rsidRPr="007813C6">
        <w:rPr>
          <w:b/>
          <w:bCs/>
        </w:rPr>
        <w:t>Phase 5: Refining, defining and naming themes.</w:t>
      </w:r>
      <w:r>
        <w:t xml:space="preserve"> This phase involves presenting comprehensive </w:t>
      </w:r>
      <w:r>
        <w:t>’</w:t>
      </w:r>
      <w:r>
        <w:t>story</w:t>
      </w:r>
      <w:r>
        <w:t>’</w:t>
      </w:r>
      <w:r>
        <w:t xml:space="preserve"> for each theme. This synopsis includes a detailed description, the scope and definitive name for each theme. It is during this phase that some themes will not be relevant and go altogether. </w:t>
      </w:r>
    </w:p>
    <w:p w14:paraId="126FAFBA" w14:textId="367520A4" w:rsidR="009024D4" w:rsidRDefault="007813C6" w:rsidP="007813C6">
      <w:pPr>
        <w:spacing w:after="0" w:line="240" w:lineRule="auto"/>
      </w:pPr>
      <w:r w:rsidRPr="007813C6">
        <w:rPr>
          <w:b/>
          <w:bCs/>
        </w:rPr>
        <w:t>Phase 6: Writing up.</w:t>
      </w:r>
      <w:r>
        <w:rPr>
          <w:b/>
          <w:bCs/>
        </w:rPr>
        <w:t xml:space="preserve"> </w:t>
      </w:r>
      <w:r>
        <w:t xml:space="preserve">This final phase involves the refining and re-conceptualising of your research journey or </w:t>
      </w:r>
      <w:r>
        <w:t>‘</w:t>
      </w:r>
      <w:r>
        <w:t>story telling</w:t>
      </w:r>
      <w:r>
        <w:t>’</w:t>
      </w:r>
      <w:r>
        <w:t xml:space="preserve">. It involves being descriptive about your research choice, approaches and position including how you as a researcher embedded yourself into the production of knowledge. In addition, the </w:t>
      </w:r>
      <w:r>
        <w:t>‘</w:t>
      </w:r>
      <w:r>
        <w:t>story</w:t>
      </w:r>
      <w:r>
        <w:t>’</w:t>
      </w:r>
      <w:r>
        <w:t xml:space="preserve"> needs to </w:t>
      </w:r>
      <w:proofErr w:type="gramStart"/>
      <w:r>
        <w:t>clearly and concisely support analytical claims</w:t>
      </w:r>
      <w:proofErr w:type="gramEnd"/>
      <w:r>
        <w:t>.</w:t>
      </w:r>
    </w:p>
    <w:p w14:paraId="68684351" w14:textId="77777777" w:rsidR="001F4B31" w:rsidRDefault="001F4B31" w:rsidP="007813C6">
      <w:pPr>
        <w:spacing w:after="0" w:line="240" w:lineRule="auto"/>
      </w:pPr>
    </w:p>
    <w:sectPr w:rsidR="001F4B31">
      <w:footerReference w:type="default" r:id="rId7"/>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B2CD" w14:textId="77777777" w:rsidR="009D1A8D" w:rsidRDefault="009D1A8D">
      <w:pPr>
        <w:spacing w:after="0" w:line="240" w:lineRule="auto"/>
      </w:pPr>
      <w:r>
        <w:separator/>
      </w:r>
    </w:p>
  </w:endnote>
  <w:endnote w:type="continuationSeparator" w:id="0">
    <w:p w14:paraId="386DB2CF" w14:textId="77777777" w:rsidR="009D1A8D" w:rsidRDefault="009D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B2C8" w14:textId="451817C7" w:rsidR="005E48A6" w:rsidRDefault="009D1A8D">
    <w:pPr>
      <w:pStyle w:val="Footer1"/>
    </w:pPr>
    <w:r>
      <w:ptab w:relativeTo="margin" w:alignment="left" w:leader="none"/>
    </w:r>
    <w:r>
      <w:t>13/02/2024</w:t>
    </w:r>
    <w:r>
      <w:ptab w:relativeTo="margin" w:alignment="right" w:leader="none"/>
    </w:r>
    <w:r>
      <w:t xml:space="preserve">Page </w:t>
    </w:r>
    <w:r>
      <w:fldChar w:fldCharType="begin"/>
    </w:r>
    <w:r>
      <w:instrText xml:space="preserve"> PAGE </w:instrText>
    </w:r>
    <w:r>
      <w:fldChar w:fldCharType="separate"/>
    </w:r>
    <w:r w:rsidR="00E0785A">
      <w:rPr>
        <w:noProof/>
      </w:rPr>
      <w:t>1</w:t>
    </w:r>
    <w:r>
      <w:fldChar w:fldCharType="end"/>
    </w:r>
    <w:r>
      <w:t xml:space="preserve"> of </w:t>
    </w:r>
    <w:r>
      <w:fldChar w:fldCharType="begin"/>
    </w:r>
    <w:r>
      <w:instrText xml:space="preserve"> NUMPAGES </w:instrText>
    </w:r>
    <w:r>
      <w:fldChar w:fldCharType="separate"/>
    </w:r>
    <w:r w:rsidR="00E0785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B2C9" w14:textId="77777777" w:rsidR="009D1A8D" w:rsidRDefault="009D1A8D">
      <w:pPr>
        <w:spacing w:after="0" w:line="240" w:lineRule="auto"/>
      </w:pPr>
      <w:r>
        <w:separator/>
      </w:r>
    </w:p>
  </w:footnote>
  <w:footnote w:type="continuationSeparator" w:id="0">
    <w:p w14:paraId="386DB2CB" w14:textId="77777777" w:rsidR="009D1A8D" w:rsidRDefault="009D1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679C8"/>
    <w:multiLevelType w:val="hybridMultilevel"/>
    <w:tmpl w:val="03563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365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xN7AwsrQwMbQwNTRT0lEKTi0uzszPAykwrAUA+pi1piwAAAA="/>
  </w:docVars>
  <w:rsids>
    <w:rsidRoot w:val="00B34482"/>
    <w:rsid w:val="00046970"/>
    <w:rsid w:val="000F79C3"/>
    <w:rsid w:val="00104F90"/>
    <w:rsid w:val="0015344D"/>
    <w:rsid w:val="001C3046"/>
    <w:rsid w:val="001F4B31"/>
    <w:rsid w:val="00266B94"/>
    <w:rsid w:val="003275F1"/>
    <w:rsid w:val="00356F97"/>
    <w:rsid w:val="00377433"/>
    <w:rsid w:val="0039115A"/>
    <w:rsid w:val="00396A39"/>
    <w:rsid w:val="003D0395"/>
    <w:rsid w:val="003D7D13"/>
    <w:rsid w:val="003F7FA3"/>
    <w:rsid w:val="00424D89"/>
    <w:rsid w:val="00527D61"/>
    <w:rsid w:val="005754D0"/>
    <w:rsid w:val="00594FA4"/>
    <w:rsid w:val="005B662A"/>
    <w:rsid w:val="005C4E11"/>
    <w:rsid w:val="005E48A6"/>
    <w:rsid w:val="00685483"/>
    <w:rsid w:val="00781230"/>
    <w:rsid w:val="007813C6"/>
    <w:rsid w:val="007F3423"/>
    <w:rsid w:val="008657AC"/>
    <w:rsid w:val="00881109"/>
    <w:rsid w:val="00894CA4"/>
    <w:rsid w:val="008A49F6"/>
    <w:rsid w:val="009024D4"/>
    <w:rsid w:val="009060D6"/>
    <w:rsid w:val="00970FB6"/>
    <w:rsid w:val="009D1A8D"/>
    <w:rsid w:val="009D61F5"/>
    <w:rsid w:val="009E4CCA"/>
    <w:rsid w:val="00A4004A"/>
    <w:rsid w:val="00A47467"/>
    <w:rsid w:val="00A474BC"/>
    <w:rsid w:val="00B34482"/>
    <w:rsid w:val="00B4225C"/>
    <w:rsid w:val="00B70289"/>
    <w:rsid w:val="00B81A26"/>
    <w:rsid w:val="00BF5644"/>
    <w:rsid w:val="00C00F6B"/>
    <w:rsid w:val="00C02BAF"/>
    <w:rsid w:val="00C95413"/>
    <w:rsid w:val="00C97C3C"/>
    <w:rsid w:val="00CB739B"/>
    <w:rsid w:val="00CC478A"/>
    <w:rsid w:val="00CD2F66"/>
    <w:rsid w:val="00D01FA5"/>
    <w:rsid w:val="00D04494"/>
    <w:rsid w:val="00D66D8F"/>
    <w:rsid w:val="00E0785A"/>
    <w:rsid w:val="00E1114D"/>
    <w:rsid w:val="00E66D74"/>
    <w:rsid w:val="00ED5B49"/>
    <w:rsid w:val="00F02F6B"/>
    <w:rsid w:val="00F21460"/>
    <w:rsid w:val="00F24F2C"/>
    <w:rsid w:val="00F53303"/>
    <w:rsid w:val="00F55C4C"/>
    <w:rsid w:val="00F5635A"/>
    <w:rsid w:val="00F8422D"/>
    <w:rsid w:val="00FD31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B252"/>
  <w15:chartTrackingRefBased/>
  <w15:docId w15:val="{54679913-5ED3-44EF-B393-68AF2254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B49"/>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ookTitle">
    <w:name w:val="Codebook Title"/>
    <w:pPr>
      <w:jc w:val="center"/>
    </w:pPr>
    <w:rPr>
      <w:rFonts w:asciiTheme="majorHAnsi" w:eastAsiaTheme="majorEastAsia" w:hAnsiTheme="majorHAnsi" w:cstheme="majorBidi"/>
      <w:color w:val="5B9BD5"/>
      <w:sz w:val="48"/>
      <w:szCs w:val="48"/>
    </w:rPr>
  </w:style>
  <w:style w:type="paragraph" w:customStyle="1" w:styleId="FolderName">
    <w:name w:val="Folder Name"/>
    <w:next w:val="FolderDescription"/>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FolderDescription">
    <w:name w:val="Folder Description"/>
    <w:basedOn w:val="Normal"/>
    <w:qFormat/>
    <w:pPr>
      <w:keepNext/>
      <w:keepLines/>
    </w:pPr>
    <w:rPr>
      <w:rFonts w:asciiTheme="majorHAnsi" w:eastAsiaTheme="majorEastAsia" w:hAnsiTheme="majorHAnsi" w:cstheme="majorBidi"/>
    </w:rPr>
  </w:style>
  <w:style w:type="paragraph" w:customStyle="1" w:styleId="TableHeader">
    <w:name w:val="Table Header"/>
    <w:rPr>
      <w:rFonts w:asciiTheme="majorHAnsi" w:eastAsiaTheme="majorEastAsia" w:hAnsiTheme="majorHAnsi" w:cstheme="majorBidi"/>
      <w:color w:val="FFFFFF"/>
    </w:rPr>
  </w:style>
  <w:style w:type="paragraph" w:customStyle="1" w:styleId="RightAlign">
    <w:name w:val="Right Align"/>
    <w:basedOn w:val="Normal"/>
    <w:pPr>
      <w:jc w:val="right"/>
    </w:pPr>
  </w:style>
  <w:style w:type="table" w:customStyle="1" w:styleId="NodesTable">
    <w:name w:val="Nodes Table"/>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0" w:type="dxa"/>
        <w:right w:w="108" w:type="dxa"/>
      </w:tblCellMar>
    </w:tblPr>
    <w:tblStylePr w:type="firstRow">
      <w:tblPr/>
      <w:tcPr>
        <w:tcBorders>
          <w:top w:val="nil"/>
          <w:left w:val="nil"/>
          <w:bottom w:val="nil"/>
          <w:right w:val="single" w:sz="4" w:space="0" w:color="FFFFFF"/>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customStyle="1" w:styleId="Footer1">
    <w:name w:val="Footer1"/>
    <w:basedOn w:val="Normal"/>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ED5B49"/>
    <w:rPr>
      <w:rFonts w:asciiTheme="majorHAnsi" w:eastAsiaTheme="majorEastAsia" w:hAnsiTheme="majorHAnsi" w:cstheme="majorBidi"/>
      <w:caps/>
      <w:color w:val="2E74B5" w:themeColor="accent1" w:themeShade="BF"/>
      <w:sz w:val="24"/>
      <w:lang w:val="en-US" w:eastAsia="en-US"/>
    </w:rPr>
  </w:style>
  <w:style w:type="paragraph" w:styleId="ListParagraph">
    <w:name w:val="List Paragraph"/>
    <w:basedOn w:val="Normal"/>
    <w:uiPriority w:val="34"/>
    <w:unhideWhenUsed/>
    <w:qFormat/>
    <w:rsid w:val="00ED5B49"/>
    <w:pPr>
      <w:spacing w:before="120" w:after="200" w:line="264" w:lineRule="auto"/>
      <w:ind w:left="720"/>
      <w:contextualSpacing/>
    </w:pPr>
    <w:rPr>
      <w:rFonts w:eastAsiaTheme="minorHAnsi" w:hAnsiTheme="minorHAnsi" w:cstheme="minorBidi"/>
      <w:color w:val="595959" w:themeColor="text1" w:themeTint="A6"/>
      <w:lang w:val="en-US" w:eastAsia="en-US"/>
    </w:rPr>
  </w:style>
  <w:style w:type="table" w:styleId="TableGrid">
    <w:name w:val="Table Grid"/>
    <w:basedOn w:val="TableNormal"/>
    <w:uiPriority w:val="39"/>
    <w:rsid w:val="00ED5B49"/>
    <w:pPr>
      <w:spacing w:after="0" w:line="240" w:lineRule="auto"/>
    </w:pPr>
    <w:rPr>
      <w:rFonts w:eastAsiaTheme="minorHAnsi" w:hAnsiTheme="minorHAnsi" w:cstheme="minorBidi"/>
      <w:color w:val="595959" w:themeColor="text1" w:themeTint="A6"/>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Normal.dotm</Template>
  <TotalTime>57</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CQUniversity</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Julie-Anne Rogers</dc:creator>
  <cp:keywords/>
  <dc:description/>
  <cp:lastModifiedBy>Julie-Anne Rogers</cp:lastModifiedBy>
  <cp:revision>28</cp:revision>
  <dcterms:created xsi:type="dcterms:W3CDTF">2024-02-13T23:46:00Z</dcterms:created>
  <dcterms:modified xsi:type="dcterms:W3CDTF">2024-02-27T01:34:00Z</dcterms:modified>
</cp:coreProperties>
</file>