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3C07E1" w14:textId="701E6DED" w:rsidR="009F0572" w:rsidRDefault="009F0572" w:rsidP="00493E45">
      <w:pPr>
        <w:spacing w:after="0" w:line="240" w:lineRule="auto"/>
      </w:pPr>
      <w:r w:rsidRPr="00493E45">
        <w:t>---</w:t>
      </w:r>
      <w:r w:rsidR="00493E45" w:rsidRPr="00493E45">
        <w:t xml:space="preserve">Response to </w:t>
      </w:r>
      <w:r w:rsidRPr="00493E45">
        <w:t>Reviewer 2---</w:t>
      </w:r>
    </w:p>
    <w:p w14:paraId="4908D920" w14:textId="77777777" w:rsidR="00493E45" w:rsidRPr="00493E45" w:rsidRDefault="00493E45" w:rsidP="00493E45">
      <w:pPr>
        <w:spacing w:after="0" w:line="240" w:lineRule="auto"/>
      </w:pPr>
    </w:p>
    <w:p w14:paraId="6E073B4C" w14:textId="61FE4A1B" w:rsidR="009F0572" w:rsidRPr="00493E45" w:rsidRDefault="00493E45" w:rsidP="00493E45">
      <w:pPr>
        <w:spacing w:after="0" w:line="240" w:lineRule="auto"/>
      </w:pPr>
      <w:r w:rsidRPr="00493E45">
        <w:t>A very big thank you to both reviewers for your comments. We summarise here the main revision items, which we believe has improved the paper significantly: Deriving proofs syntactically (through equalities of diagrams) where possible instead of semantically (for proofs concerning calculating the interpretation as a linear map); Adding an appendix subsection deriving the simplified complete qubit ZXW-calculus axioms from the qudit ZXW-calculus complete axioms; Adding context to the Hamiltonians section; Adding proper definition for the subcategory of arithmetic diagrams; and Refinements of proof and result statement clarity across the board.</w:t>
      </w:r>
      <w:r w:rsidRPr="00493E45">
        <w:br/>
      </w:r>
      <w:r w:rsidRPr="00493E45">
        <w:br/>
        <w:t>Please find our responses to each much-appreciated point of reviewer feedback.</w:t>
      </w:r>
      <w:r w:rsidRPr="00493E45">
        <w:br/>
        <w:t>- p5. In section 3, the authors show how control can be embedded as a higher-order map. It would be interesting to know how this relates to the recently introduced notion of controlled PROPs.</w:t>
      </w:r>
      <w:r w:rsidRPr="00493E45">
        <w:br/>
      </w:r>
      <w:r w:rsidRPr="00493E45">
        <w:br/>
        <w:t>We added reference to the recent paper on controlled PROPs where we introduce the higher-order map Ctrl. In the conclusion, we discuss how the same paper evidences the merits of control as a higher-order construction for powerful equational reasoning, and how further work is needed to better reconcile polynomial and circuit presentations of quantum control.</w:t>
      </w:r>
      <w:r w:rsidRPr="00493E45">
        <w:br/>
      </w:r>
      <w:r w:rsidRPr="00493E45">
        <w:br/>
        <w:t>- p6. The color of the wires of the diagrams containing a Ctrl box seems inconsistent</w:t>
      </w:r>
      <w:r w:rsidRPr="00493E45">
        <w:br/>
        <w:t>throughout the section.</w:t>
      </w:r>
      <w:r w:rsidRPr="00493E45">
        <w:br/>
      </w:r>
      <w:r w:rsidRPr="00493E45">
        <w:br/>
        <w:t>This has been reformatted.</w:t>
      </w:r>
      <w:r w:rsidRPr="00493E45">
        <w:br/>
      </w:r>
      <w:r w:rsidRPr="00493E45">
        <w:br/>
        <w:t>- p10. Proposition 6 and Theorem 5.2 are missing a period at the end of their statements.</w:t>
      </w:r>
      <w:r w:rsidRPr="00493E45">
        <w:br/>
      </w:r>
      <w:r w:rsidRPr="00493E45">
        <w:br/>
        <w:t>Thank you; this has been fixed.</w:t>
      </w:r>
    </w:p>
    <w:p w14:paraId="730A969C" w14:textId="77777777" w:rsidR="009F0572" w:rsidRPr="00493E45" w:rsidRDefault="009F0572" w:rsidP="00493E45">
      <w:pPr>
        <w:spacing w:after="0" w:line="240" w:lineRule="auto"/>
      </w:pPr>
    </w:p>
    <w:p w14:paraId="43B72610" w14:textId="77777777" w:rsidR="009F0572" w:rsidRPr="00493E45" w:rsidRDefault="009F0572" w:rsidP="00493E45">
      <w:pPr>
        <w:spacing w:after="0" w:line="240" w:lineRule="auto"/>
      </w:pPr>
    </w:p>
    <w:p w14:paraId="09C9D1E3" w14:textId="77777777" w:rsidR="00493E45" w:rsidRPr="00493E45" w:rsidRDefault="00493E45" w:rsidP="00493E45">
      <w:pPr>
        <w:spacing w:after="0" w:line="240" w:lineRule="auto"/>
      </w:pPr>
      <w:r w:rsidRPr="00493E45">
        <w:br w:type="page"/>
      </w:r>
    </w:p>
    <w:p w14:paraId="61FE0F53" w14:textId="78DE78B6" w:rsidR="00330F26" w:rsidRPr="00493E45" w:rsidRDefault="00330F26" w:rsidP="00493E45">
      <w:pPr>
        <w:spacing w:after="0" w:line="240" w:lineRule="auto"/>
      </w:pPr>
      <w:r w:rsidRPr="00493E45">
        <w:lastRenderedPageBreak/>
        <w:t>---</w:t>
      </w:r>
      <w:r w:rsidR="00493E45" w:rsidRPr="00493E45">
        <w:t xml:space="preserve">Response to </w:t>
      </w:r>
      <w:r w:rsidRPr="00493E45">
        <w:t>Reviewer 1---</w:t>
      </w:r>
    </w:p>
    <w:p w14:paraId="231C7C1F" w14:textId="1FAC9FDF" w:rsidR="00330F26" w:rsidRPr="00493E45" w:rsidRDefault="009F0572" w:rsidP="00493E45">
      <w:pPr>
        <w:spacing w:after="0" w:line="240" w:lineRule="auto"/>
      </w:pPr>
      <w:r w:rsidRPr="00493E45">
        <w:t>- The paper seems specifically aimed at readers who are already knowledgeable in quantum graphical calculi</w:t>
      </w:r>
      <w:r w:rsidRPr="00493E45">
        <w:br/>
      </w:r>
      <w:r w:rsidRPr="00493E45">
        <w:br/>
        <w:t>We appreciate this feedback. While the core results are inherently tied to the formalism of quantum graphical calculi, we agree that accessibility is crucial. To address this, we incorporated feedback from quantum computing researchers without familiarity with these quantum graphical calculi techniques, and deliberately structured the main body to prioritize conceptual clarity and foundational examples, keeping two-thirds of the technical page count of the paper to the appendices. We hope this structure allows researchers outside the immediate graphical calculi community to parse the primary results more easily.</w:t>
      </w:r>
      <w:r w:rsidRPr="00493E45">
        <w:br/>
      </w:r>
      <w:r w:rsidRPr="00493E45">
        <w:br/>
        <w:t>- The frontier between syntax and semantics is blurred throughout the paper, leaving us wondering for each diagram equation if it is graphically proven or merely semantic.</w:t>
      </w:r>
      <w:r w:rsidRPr="00493E45">
        <w:br/>
      </w:r>
      <w:r w:rsidRPr="00493E45">
        <w:br/>
        <w:t>Thank you for pointing out this crucial ambiguity. We have significantly restructured the paper to establish a strict, transparent boundary between syntax and semantics. Specifically, we now define controlled states and matrices axiomatically and incorporate these axioms explicitly into Figure 1. Furthermore, we have added precise justifications in the appendices whenever a semantic "proof-by-plugging" argument is used, ensuring no confusion remains between syntactic diagrammatic proofs and semantic verifications that the interpretations of the calculus are sound.</w:t>
      </w:r>
      <w:r w:rsidRPr="00493E45">
        <w:br/>
      </w:r>
      <w:r w:rsidRPr="00493E45">
        <w:br/>
        <w:t>- The paper more generally lacks formalism, see below for several examples and suggestions</w:t>
      </w:r>
      <w:r w:rsidRPr="00493E45">
        <w:br/>
      </w:r>
      <w:r w:rsidRPr="00493E45">
        <w:br/>
        <w:t>We are very, very grateful for the detail and care with which you provided these points of feedback. These were crucially helpful in making the following major changes to clean up the mathematical rigour of the paper. In addition to the revisions described below, we improved the statement of Theorem 7.1 (previously Theorem 6.1) to be more specific.</w:t>
      </w:r>
      <w:r w:rsidRPr="00493E45">
        <w:br/>
      </w:r>
      <w:r w:rsidRPr="00493E45">
        <w:br/>
        <w:t>- The equations of Fig 1 are claimed to make the language complete, as they come from ref [22] which proved the result. This result however is proven for qudits (with arbitrary d), so the axioms had to be specialized to d=2. Several axioms are missing, which I assume is because they become unnecessary in the qubit case, but I think that already requires at least some discussion. However, I have no idea how (HD) from [22] is specialized in the (HD) from the present paper.</w:t>
      </w:r>
      <w:r w:rsidRPr="00493E45">
        <w:br/>
      </w:r>
      <w:r w:rsidRPr="00493E45">
        <w:br/>
        <w:t xml:space="preserve">We thank the reviewer for the chance to rederive these results, which were derived with colleagues in years past but not properly written up until now. The specialisation from qudits (arbitrary dimension d) to qubits (d = 2) indeed introduces subtle simplifications that merit a detailed breakdown. We have added a new Appendix C, which explicitly derives how the general qudit axioms from Ref. [22] specialize to the qubit setting. This section </w:t>
      </w:r>
      <w:r w:rsidRPr="00493E45">
        <w:lastRenderedPageBreak/>
        <w:t>discusses each axiom that becomes redundant or more simplified for d = 2, and provides a step-by-step derivation of how the (HD) rule simplifies into the version presented in this paper.</w:t>
      </w:r>
      <w:r w:rsidRPr="00493E45">
        <w:br/>
      </w:r>
      <w:r w:rsidRPr="00493E45">
        <w:br/>
        <w:t>- Section 6.1 is not very enlightening, it's a simple application of Lemma 4.5</w:t>
      </w:r>
      <w:r w:rsidRPr="00493E45">
        <w:br/>
      </w:r>
      <w:r w:rsidRPr="00493E45">
        <w:br/>
        <w:t>We agree with the reviewer that this section was previously underdeveloped and lacked proper motivation. We have overhauled this section (now Section 7.1) by adding substantial exposition. Specifically, we have expanded our literature review to contextualise the physical and computational significance of Hamiltonian factorisation. This framing better justifies the working example, to help the reader connect the dots on how our theoretical results are applicable to large-scale equational reasoning in quantum computation.</w:t>
      </w:r>
      <w:r w:rsidRPr="00493E45">
        <w:br/>
      </w:r>
      <w:r w:rsidRPr="00493E45">
        <w:br/>
        <w:t>- Not enough emphasis is put on the commutative vs non-commutative ring of multilinear polynomials. Non-commutativity (which is necessary for thm 6.1 to hold) is only mentioned in the intro and conclusion, but not in the main body.</w:t>
      </w:r>
      <w:r w:rsidRPr="00493E45">
        <w:br/>
        <w:t>The multilinear polynomial ring used throughout the paper also has fixed variable ordering (i.e. we can't have x1x2 and x2x1 in the polynomial for thm 6.1 to hold, and in that case it's not because x2x1 = x1x2, but really because x2x1 is not allowed). Maybe this can be fixed by quotienting the ring with x_ix_j whenever i&gt;=j?</w:t>
      </w:r>
      <w:r w:rsidRPr="00493E45">
        <w:br/>
      </w:r>
      <w:r w:rsidRPr="00493E45">
        <w:br/>
        <w:t>We appreciate the insightful feedback and suggestion. We have updated the text to better explain where commutativity and non-commutativity apply throughout the paper. Particularly, we added Remark 4 in Section 5 explaining why ring multiplication is commutative for controlled states and non-commutative for controlled square matrices.</w:t>
      </w:r>
      <w:r w:rsidRPr="00493E45">
        <w:br/>
      </w:r>
      <w:r w:rsidRPr="00493E45">
        <w:br/>
        <w:t>We carefully considered, but opted not to fix a quotienting convention of i &gt;= j. This way of quotienting is too different from the quotienting by (xi)^2 in the paper (as such terms are annihilated due to Lemma 6.1), that we were worried that enforcing an arbitrary ordering would confuse readers and introduce cumbersome edge cases.</w:t>
      </w:r>
      <w:r w:rsidRPr="00493E45">
        <w:br/>
        <w:t>While for any one multilinear polynomial this quotienting would work well, we think quotienting would bloat the semantics of composing two multivariate polynomials. On reflection, we think it is best to continue to not impose restrictions on variable orderings on the (commutative) multilinear polynomials for controlled states - It is only in the polynormal form algorithm that where we reorder the terms by some (arbitrary but needs to be fixed) lexicographical order of the variables to recover uniqueness. This way preserves the structure of how multivariate polynomials for controlled square matrices allow both x1 x2 and x2 x1 terms because two matrices x1 and x2 in general do not commute, and that these have the form of controlled states plugged as the controls of controlled square matrices.</w:t>
      </w:r>
      <w:r w:rsidRPr="00493E45">
        <w:br/>
      </w:r>
      <w:r w:rsidRPr="00493E45">
        <w:br/>
        <w:t xml:space="preserve">As noted in our earlier responses, we have completely overhauled our approach to the syntax/semantics distinction. The proofs of the paper are now either syntactic, comprising </w:t>
      </w:r>
      <w:r w:rsidRPr="00493E45">
        <w:lastRenderedPageBreak/>
        <w:t>equalities of diagrams derived solely from the axioms in Figure 1; or semantic, proving soundness of the interpretations of the diagrams as linear maps.</w:t>
      </w:r>
      <w:r w:rsidRPr="00493E45">
        <w:br/>
      </w:r>
      <w:r w:rsidRPr="00493E45">
        <w:br/>
        <w:t>- Some proofs are unsatisfactory. E.g. lemmas B.1 and B.2 are only argued semantically. But if we are not interested in how things are derived using the equational theory, then we may as well prove a lot of the lemmas by simple semantic equivalence. The proof of normal form (thm 5.1) is a bit quick, especially in the argument of termination. In particular, (3) may actually increase the depth (e.g if another W generator is connected to the central Z-spider). In thm 5.2: In equation D.14, the induction hypothesis is used for n+1, which is what we want to prove...</w:t>
      </w:r>
      <w:r w:rsidRPr="00493E45">
        <w:br/>
      </w:r>
      <w:r w:rsidRPr="00493E45">
        <w:br/>
        <w:t>We are thankful to you for catching that step (3) can locally increase diagram depth when an additional W-generator is connected to the central Z-spider. We have explicitly typeset this sub-case and how to resolve it by applying step (5), and clarified the termination argument. As for the former Equation D.14, we removed it because it was confusing to state what we were about to prove.</w:t>
      </w:r>
      <w:r w:rsidRPr="00493E45">
        <w:br/>
      </w:r>
      <w:r w:rsidRPr="00493E45">
        <w:br/>
        <w:t>- The standard interpretation is given for the generators of the language, but not for compositions</w:t>
      </w:r>
      <w:r w:rsidRPr="00493E45">
        <w:br/>
        <w:t>Thank you for spotting this omission. We have updated Section 2 to explicitly state the standard interpretations for diagrammatic composition: sequential composition represents matrix multiplication, and parallel composition represents the tensor product.</w:t>
      </w:r>
      <w:r w:rsidRPr="00493E45">
        <w:br/>
      </w:r>
      <w:r w:rsidRPr="00493E45">
        <w:br/>
        <w:t>- p 2. The n-ary W generator is technically not defined (eq 2.5)</w:t>
      </w:r>
      <w:r w:rsidRPr="00493E45">
        <w:br/>
        <w:t>Thank you for pointing this out. We have updated Equation 2.5 to include a rigorous, formal definition of the n-ary W-generator.</w:t>
      </w:r>
      <w:r w:rsidRPr="00493E45">
        <w:br/>
      </w:r>
      <w:r w:rsidRPr="00493E45">
        <w:br/>
        <w:t>- Fig1: (TA) is also used to prove Lemma B.10 (eq B.18), which is used in the proof of completeness for arithmetic diagrams. It is also very possible that the proofs of B.1 and B.2 (if they exist) need (TA).</w:t>
      </w:r>
      <w:r w:rsidRPr="00493E45">
        <w:br/>
        <w:t>(TA) is now included in the axioms required for completeness. We have updated Figure 1 and the surrounding discussion to formally include (TA) among the necessary core axioms for completeness.</w:t>
      </w:r>
      <w:r w:rsidRPr="00493E45">
        <w:br/>
      </w:r>
      <w:r w:rsidRPr="00493E45">
        <w:br/>
        <w:t>- Prop 1 could be better phrased as: we define \tilde{M1M2} as [diagram], and its interpretation is indeed [...]</w:t>
      </w:r>
      <w:r w:rsidRPr="00493E45">
        <w:br/>
        <w:t>We agree that this phrasing is much cleaner. We have adopted your suggestion directly, splitting into a formal definition (Definition 3.3) followed by its semantic verification (Proposition 1).</w:t>
      </w:r>
      <w:r w:rsidRPr="00493E45">
        <w:br/>
      </w:r>
      <w:r w:rsidRPr="00493E45">
        <w:br/>
        <w:t>- Prop 1 essentially explains how to build larger controlled maps, but it feels like we are missing the base cases (e.g. controls of Paulis).</w:t>
      </w:r>
      <w:r w:rsidRPr="00493E45">
        <w:br/>
        <w:t xml:space="preserve">We have highlighted the CNOT gate as a small example to illustrate the higher-order controlled square matrix construction. We have also added two references which describe </w:t>
      </w:r>
      <w:r w:rsidRPr="00493E45">
        <w:lastRenderedPageBreak/>
        <w:t>the construction; these results were known years ago but only in a textbook draft, where the preprint to cite here only became publicly available after this paper was submitted to JLAMP.</w:t>
      </w:r>
      <w:r w:rsidRPr="00493E45">
        <w:br/>
      </w:r>
      <w:r w:rsidRPr="00493E45">
        <w:br/>
        <w:t>- Prop 2 seems to be a definition.</w:t>
      </w:r>
      <w:r w:rsidRPr="00493E45">
        <w:br/>
        <w:t>We agree; we have reframed Proposition 2 as Definition 3.4.</w:t>
      </w:r>
      <w:r w:rsidRPr="00493E45">
        <w:br/>
      </w:r>
      <w:r w:rsidRPr="00493E45">
        <w:br/>
        <w:t xml:space="preserve">It feels like the choice of the "branching node" defines a new multiplication </w:t>
      </w:r>
      <w:r w:rsidRPr="00493E45">
        <w:rPr>
          <w:rFonts w:ascii="Cambria Math" w:hAnsi="Cambria Math" w:cs="Cambria Math"/>
        </w:rPr>
        <w:t>⊠</w:t>
      </w:r>
      <w:r w:rsidRPr="00493E45">
        <w:t>, which is also valid as long as it is a monoid. There might hence be more motivation on the choice of the W generator. (It only gets clearer when we reach the last section)</w:t>
      </w:r>
      <w:r w:rsidRPr="00493E45">
        <w:br/>
        <w:t>Thank you; this is now addressed with Remark 3.</w:t>
      </w:r>
      <w:r w:rsidRPr="00493E45">
        <w:br/>
      </w:r>
      <w:r w:rsidRPr="00493E45">
        <w:br/>
        <w:t>- Section 3: propositions are semantically obvious, so their value is if they can be proven syntactically. All are proven syntactically, except for Prop 5, which is broken down to equivalence of basis elements (which is essentially semantic).</w:t>
      </w:r>
      <w:r w:rsidRPr="00493E45">
        <w:br/>
        <w:t>These were fixed as a result of the reorganization described earlier here: We now define controlled states and matrices axiomatically and incorporate these axioms explicitly into Figure 1. Furthermore, we have added precise justifications in the appendices whenever a semantic "proof-by-plugging" argument is used, ensuring no confusion remains between syntactic diagrammatic proofs and semantic verifications that the interpretations of the calculus are sound.</w:t>
      </w:r>
      <w:r w:rsidRPr="00493E45">
        <w:br/>
      </w:r>
      <w:r w:rsidRPr="00493E45">
        <w:br/>
        <w:t>- Lemma A.1. should be rephrased as a definition first, and then a lemma/prop that it has the appropriate semantics.</w:t>
      </w:r>
      <w:r w:rsidRPr="00493E45">
        <w:br/>
        <w:t>We have restructured this text accordingly. The content is now clearly partitioned into Definition A.1, followed by Lemmas A.1 and A.2 to verify the semantic properties.</w:t>
      </w:r>
      <w:r w:rsidRPr="00493E45">
        <w:br/>
      </w:r>
      <w:r w:rsidRPr="00493E45">
        <w:br/>
        <w:t>- Lemmas 4.1 and 4.2 are proven semantically in the appendices, although the axioms should be enough to prove them syntactically (I assume the authors forgot to remove the appendix proofs). Lemma 4.2 is really just the axiom CMcom, I'm not sure why it's there at all. Lemma 4.3 however uses lemma B.1. which is never proven syntactically. I doubt it can be properly be proven using the axioms from Fig1 (same for Lemma B.2)</w:t>
      </w:r>
      <w:r w:rsidRPr="00493E45">
        <w:br/>
        <w:t>We are thankful for this comment because we realised how it was more natural to define controlled operators syntactically rather than semantically. We now define controlled states and controlled square matrices purely syntactically as any diagrams satisfying the pairs of axioms (CS0, CS1) and (CM0, CM1), which have been added directly to Figure 1. Former semantic proofs for Lemmas 5.1 and 5.2 (formerly 4.1 and 4.2) and Lemma B.2 (formerly B.1), have been replaced by new purely syntactic derivations.</w:t>
      </w:r>
      <w:r w:rsidRPr="00493E45">
        <w:br/>
        <w:t>We recover the matrix interpretations of the former definitions, with these proof-by-plugging proofs now being the semantic proofs in Appendix D.1 to verify soundness of these new axioms. We have ensured that the only places in the paper to use proof-by-plugging are for semantic proofs about the intepretations of the diagrams, namely: these soundness verifications, verifying semantic correctness of the ZW diagram for the AND gate, and proving the matrix interpretation of any arithmetic diagram in polynormal form.</w:t>
      </w:r>
      <w:r w:rsidRPr="00493E45">
        <w:br/>
      </w:r>
      <w:r w:rsidRPr="00493E45">
        <w:lastRenderedPageBreak/>
        <w:br/>
        <w:t>- Lemma 4.4: it would be clearer with a picture, since the \circ operator does not tell you that it's supposed to be applied on the control wire (also the \circ operation on diagram was not defined)</w:t>
      </w:r>
      <w:r w:rsidRPr="00493E45">
        <w:br/>
        <w:t>Agreed. This has been replaced with a diagram, and references to the \circ operator have been removed except for where it unambiguously refers to matrix multiplication.</w:t>
      </w:r>
      <w:r w:rsidRPr="00493E45">
        <w:br/>
      </w:r>
      <w:r w:rsidRPr="00493E45">
        <w:br/>
        <w:t>- p 9: "This fragment of the ZXW-calculus defines a subcategory" -&gt; define it properly: what are its objects and morphisms? Naively, it does not seem to be a subcategory of ZXW diagrams, since for instance id:2-&gt;2 does not seem to be an arithmetic diagram (but I imagine 2 is an object)</w:t>
      </w:r>
      <w:r w:rsidRPr="00493E45">
        <w:br/>
      </w:r>
      <w:r w:rsidRPr="00493E45">
        <w:br/>
        <w:t>We have expanded this remark significantly and moved it to now be a lengthier end to to Section 6. We define the objects, morphisms, and compositions of the subcategory, which restricts to only the ZXW diagrams from 1 -&gt; n generated by the generators in Definition 6.1. This does not conflict with id: 2 -&gt; 2 not being an arithmetic diagram, because two-input morphisms are outside this subcategory.</w:t>
      </w:r>
      <w:r w:rsidRPr="00493E45">
        <w:br/>
      </w:r>
      <w:r w:rsidRPr="00493E45">
        <w:br/>
        <w:t>To conclude, we are highly impressed by the level of care with which both reviewers took the time to thoroughly evaluate this work. We hope we have responded to the comments as best as we could, and believe the work is much better because of the stellar quality of these reviews.</w:t>
      </w:r>
    </w:p>
    <w:sectPr w:rsidR="00330F26" w:rsidRPr="00493E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4356B7"/>
    <w:multiLevelType w:val="multilevel"/>
    <w:tmpl w:val="3F94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3984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F8A"/>
    <w:rsid w:val="00012C63"/>
    <w:rsid w:val="00091495"/>
    <w:rsid w:val="0012042F"/>
    <w:rsid w:val="0022438B"/>
    <w:rsid w:val="00287D56"/>
    <w:rsid w:val="00330E44"/>
    <w:rsid w:val="00330F26"/>
    <w:rsid w:val="00350A2F"/>
    <w:rsid w:val="003517C3"/>
    <w:rsid w:val="0038454C"/>
    <w:rsid w:val="00421F8A"/>
    <w:rsid w:val="0044708E"/>
    <w:rsid w:val="0046008A"/>
    <w:rsid w:val="004938F5"/>
    <w:rsid w:val="00493E45"/>
    <w:rsid w:val="00531038"/>
    <w:rsid w:val="005570E7"/>
    <w:rsid w:val="005A7E35"/>
    <w:rsid w:val="005C5F99"/>
    <w:rsid w:val="005C7DD6"/>
    <w:rsid w:val="0064532F"/>
    <w:rsid w:val="00666B86"/>
    <w:rsid w:val="006B4283"/>
    <w:rsid w:val="006D4600"/>
    <w:rsid w:val="00890BBA"/>
    <w:rsid w:val="008E259D"/>
    <w:rsid w:val="00910DE4"/>
    <w:rsid w:val="009F0572"/>
    <w:rsid w:val="00A41F60"/>
    <w:rsid w:val="00A55813"/>
    <w:rsid w:val="00A77A4A"/>
    <w:rsid w:val="00AB58A9"/>
    <w:rsid w:val="00AC50CA"/>
    <w:rsid w:val="00AE4173"/>
    <w:rsid w:val="00D907FD"/>
    <w:rsid w:val="00D92474"/>
    <w:rsid w:val="00DF2886"/>
    <w:rsid w:val="00E51884"/>
    <w:rsid w:val="00E61B0E"/>
    <w:rsid w:val="00EB1E07"/>
    <w:rsid w:val="00F0528E"/>
    <w:rsid w:val="00F15FD6"/>
    <w:rsid w:val="00F67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B372C7"/>
  <w15:chartTrackingRefBased/>
  <w15:docId w15:val="{DB939B63-1F4C-344D-BD35-1538DE9C8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F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F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F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F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F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F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F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F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F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F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F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F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F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F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F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F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F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F8A"/>
    <w:rPr>
      <w:rFonts w:eastAsiaTheme="majorEastAsia" w:cstheme="majorBidi"/>
      <w:color w:val="272727" w:themeColor="text1" w:themeTint="D8"/>
    </w:rPr>
  </w:style>
  <w:style w:type="paragraph" w:styleId="Title">
    <w:name w:val="Title"/>
    <w:basedOn w:val="Normal"/>
    <w:next w:val="Normal"/>
    <w:link w:val="TitleChar"/>
    <w:uiPriority w:val="10"/>
    <w:qFormat/>
    <w:rsid w:val="00421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F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F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F8A"/>
    <w:pPr>
      <w:spacing w:before="160"/>
      <w:jc w:val="center"/>
    </w:pPr>
    <w:rPr>
      <w:i/>
      <w:iCs/>
      <w:color w:val="404040" w:themeColor="text1" w:themeTint="BF"/>
    </w:rPr>
  </w:style>
  <w:style w:type="character" w:customStyle="1" w:styleId="QuoteChar">
    <w:name w:val="Quote Char"/>
    <w:basedOn w:val="DefaultParagraphFont"/>
    <w:link w:val="Quote"/>
    <w:uiPriority w:val="29"/>
    <w:rsid w:val="00421F8A"/>
    <w:rPr>
      <w:i/>
      <w:iCs/>
      <w:color w:val="404040" w:themeColor="text1" w:themeTint="BF"/>
    </w:rPr>
  </w:style>
  <w:style w:type="paragraph" w:styleId="ListParagraph">
    <w:name w:val="List Paragraph"/>
    <w:basedOn w:val="Normal"/>
    <w:uiPriority w:val="34"/>
    <w:qFormat/>
    <w:rsid w:val="00421F8A"/>
    <w:pPr>
      <w:ind w:left="720"/>
      <w:contextualSpacing/>
    </w:pPr>
  </w:style>
  <w:style w:type="character" w:styleId="IntenseEmphasis">
    <w:name w:val="Intense Emphasis"/>
    <w:basedOn w:val="DefaultParagraphFont"/>
    <w:uiPriority w:val="21"/>
    <w:qFormat/>
    <w:rsid w:val="00421F8A"/>
    <w:rPr>
      <w:i/>
      <w:iCs/>
      <w:color w:val="0F4761" w:themeColor="accent1" w:themeShade="BF"/>
    </w:rPr>
  </w:style>
  <w:style w:type="paragraph" w:styleId="IntenseQuote">
    <w:name w:val="Intense Quote"/>
    <w:basedOn w:val="Normal"/>
    <w:next w:val="Normal"/>
    <w:link w:val="IntenseQuoteChar"/>
    <w:uiPriority w:val="30"/>
    <w:qFormat/>
    <w:rsid w:val="00421F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F8A"/>
    <w:rPr>
      <w:i/>
      <w:iCs/>
      <w:color w:val="0F4761" w:themeColor="accent1" w:themeShade="BF"/>
    </w:rPr>
  </w:style>
  <w:style w:type="character" w:styleId="IntenseReference">
    <w:name w:val="Intense Reference"/>
    <w:basedOn w:val="DefaultParagraphFont"/>
    <w:uiPriority w:val="32"/>
    <w:qFormat/>
    <w:rsid w:val="00421F8A"/>
    <w:rPr>
      <w:b/>
      <w:bCs/>
      <w:smallCaps/>
      <w:color w:val="0F4761" w:themeColor="accent1" w:themeShade="BF"/>
      <w:spacing w:val="5"/>
    </w:rPr>
  </w:style>
  <w:style w:type="paragraph" w:styleId="NormalWeb">
    <w:name w:val="Normal (Web)"/>
    <w:basedOn w:val="Normal"/>
    <w:uiPriority w:val="99"/>
    <w:unhideWhenUsed/>
    <w:rsid w:val="00890BB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E61B0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6</Pages>
  <Words>2165</Words>
  <Characters>12345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 Yeh</dc:creator>
  <cp:keywords/>
  <dc:description/>
  <cp:lastModifiedBy>Lia Yeh</cp:lastModifiedBy>
  <cp:revision>20</cp:revision>
  <dcterms:created xsi:type="dcterms:W3CDTF">2026-07-10T08:06:00Z</dcterms:created>
  <dcterms:modified xsi:type="dcterms:W3CDTF">2026-07-10T15:34:00Z</dcterms:modified>
</cp:coreProperties>
</file>