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74A15" w14:textId="5528AD3B" w:rsidR="00725400" w:rsidRPr="00861438" w:rsidRDefault="007B2BA7" w:rsidP="00725400">
      <w:pPr>
        <w:pStyle w:val="Heading1"/>
        <w:rPr>
          <w:sz w:val="36"/>
          <w:szCs w:val="36"/>
        </w:rPr>
      </w:pPr>
      <w:r w:rsidRPr="007B2BA7">
        <w:rPr>
          <w:sz w:val="36"/>
          <w:szCs w:val="36"/>
        </w:rPr>
        <w:t>Security Incident Communications Policy Template</w:t>
      </w:r>
      <w:r>
        <w:rPr>
          <w:sz w:val="36"/>
          <w:szCs w:val="36"/>
        </w:rPr>
        <w:t xml:space="preserve"> </w:t>
      </w:r>
      <w:bookmarkStart w:id="0" w:name="_GoBack"/>
      <w:bookmarkEnd w:id="0"/>
    </w:p>
    <w:p w14:paraId="1F074A17" w14:textId="5E08DEF0" w:rsidR="00725400" w:rsidRPr="00C8415D" w:rsidRDefault="00725400" w:rsidP="00725400">
      <w:pPr>
        <w:pStyle w:val="Heading1"/>
        <w:rPr>
          <w:color w:val="808080"/>
        </w:rPr>
      </w:pPr>
      <w:r>
        <w:rPr>
          <w:color w:val="808080"/>
        </w:rPr>
        <w:t xml:space="preserve">How to Use This </w:t>
      </w:r>
      <w:r w:rsidR="00524908">
        <w:rPr>
          <w:color w:val="808080"/>
        </w:rPr>
        <w:t xml:space="preserve">Policy </w:t>
      </w:r>
      <w:r w:rsidR="00030158">
        <w:rPr>
          <w:color w:val="808080"/>
        </w:rPr>
        <w:t>Template</w:t>
      </w:r>
    </w:p>
    <w:p w14:paraId="32BF5D85" w14:textId="72739520" w:rsidR="00F92FFD" w:rsidRDefault="00725400" w:rsidP="00F92FFD">
      <w:pPr>
        <w:spacing w:before="120"/>
        <w:rPr>
          <w:color w:val="808080" w:themeColor="background1" w:themeShade="80"/>
        </w:rPr>
      </w:pPr>
      <w:r>
        <w:rPr>
          <w:color w:val="808080" w:themeColor="background1" w:themeShade="80"/>
        </w:rPr>
        <w:t xml:space="preserve">To use this </w:t>
      </w:r>
      <w:r w:rsidR="006B197A">
        <w:rPr>
          <w:color w:val="808080" w:themeColor="background1" w:themeShade="80"/>
        </w:rPr>
        <w:t xml:space="preserve">policy </w:t>
      </w:r>
      <w:r>
        <w:rPr>
          <w:color w:val="808080" w:themeColor="background1" w:themeShade="80"/>
        </w:rPr>
        <w:t>template, simply replace the text in dark grey with information customized to your organization. When complete, delete all introductory or example text and convert all remaining text to black prior to distribution</w:t>
      </w:r>
      <w:r w:rsidR="004042A6">
        <w:rPr>
          <w:color w:val="808080" w:themeColor="background1" w:themeShade="80"/>
        </w:rPr>
        <w:t>.</w:t>
      </w:r>
    </w:p>
    <w:p w14:paraId="572CD659" w14:textId="77777777" w:rsidR="00F92FFD" w:rsidRPr="00F92FFD" w:rsidRDefault="00F92FFD" w:rsidP="00F92FFD">
      <w:pPr>
        <w:spacing w:before="120"/>
        <w:rPr>
          <w:color w:val="808080" w:themeColor="background1"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7670"/>
      </w:tblGrid>
      <w:tr w:rsidR="0088584A" w:rsidRPr="00E8000B" w14:paraId="511E583B" w14:textId="77777777" w:rsidTr="004D00BC">
        <w:tc>
          <w:tcPr>
            <w:tcW w:w="2413" w:type="dxa"/>
            <w:shd w:val="clear" w:color="auto" w:fill="CADAE8" w:themeFill="accent3"/>
          </w:tcPr>
          <w:p w14:paraId="33EB77CD" w14:textId="77777777" w:rsidR="0088584A" w:rsidRPr="00E8000B" w:rsidRDefault="0088584A" w:rsidP="00535802">
            <w:pPr>
              <w:spacing w:after="240"/>
              <w:rPr>
                <w:b/>
              </w:rPr>
            </w:pPr>
            <w:r w:rsidRPr="00E8000B">
              <w:rPr>
                <w:b/>
              </w:rPr>
              <w:t>Policy Title</w:t>
            </w:r>
          </w:p>
        </w:tc>
        <w:tc>
          <w:tcPr>
            <w:tcW w:w="7783" w:type="dxa"/>
          </w:tcPr>
          <w:p w14:paraId="6B5FB136" w14:textId="77777777" w:rsidR="0088584A" w:rsidRPr="00E8000B" w:rsidRDefault="0088584A" w:rsidP="00535802">
            <w:pPr>
              <w:spacing w:after="240"/>
              <w:rPr>
                <w:color w:val="808080"/>
              </w:rPr>
            </w:pPr>
            <w:r w:rsidRPr="00E8000B">
              <w:rPr>
                <w:color w:val="808080"/>
              </w:rPr>
              <w:t xml:space="preserve">Name the formal title of the policy. </w:t>
            </w:r>
          </w:p>
        </w:tc>
      </w:tr>
      <w:tr w:rsidR="0088584A" w:rsidRPr="00E8000B" w14:paraId="5FD10B87" w14:textId="77777777" w:rsidTr="004D00BC">
        <w:tc>
          <w:tcPr>
            <w:tcW w:w="2413" w:type="dxa"/>
            <w:shd w:val="clear" w:color="auto" w:fill="CADAE8" w:themeFill="accent3"/>
          </w:tcPr>
          <w:p w14:paraId="142BB3C4" w14:textId="77777777" w:rsidR="0088584A" w:rsidRPr="00E8000B" w:rsidRDefault="0088584A" w:rsidP="00535802">
            <w:pPr>
              <w:spacing w:after="240"/>
              <w:rPr>
                <w:b/>
              </w:rPr>
            </w:pPr>
            <w:r w:rsidRPr="00E8000B">
              <w:rPr>
                <w:b/>
              </w:rPr>
              <w:t>Policy Owner</w:t>
            </w:r>
          </w:p>
        </w:tc>
        <w:tc>
          <w:tcPr>
            <w:tcW w:w="7783" w:type="dxa"/>
          </w:tcPr>
          <w:p w14:paraId="6B9C21FE" w14:textId="77777777" w:rsidR="0088584A" w:rsidRPr="00E8000B" w:rsidRDefault="0088584A" w:rsidP="00535802">
            <w:pPr>
              <w:spacing w:after="240"/>
              <w:rPr>
                <w:color w:val="808080"/>
              </w:rPr>
            </w:pPr>
            <w:r w:rsidRPr="00E8000B">
              <w:rPr>
                <w:color w:val="808080"/>
              </w:rPr>
              <w:t>Name the person/group responsible for this policy’s management.</w:t>
            </w:r>
          </w:p>
        </w:tc>
      </w:tr>
      <w:tr w:rsidR="0088584A" w:rsidRPr="00E8000B" w14:paraId="73DE1399" w14:textId="77777777" w:rsidTr="004D00BC">
        <w:tc>
          <w:tcPr>
            <w:tcW w:w="2413" w:type="dxa"/>
            <w:shd w:val="clear" w:color="auto" w:fill="CADAE8" w:themeFill="accent3"/>
          </w:tcPr>
          <w:p w14:paraId="71B4166D" w14:textId="77777777" w:rsidR="0088584A" w:rsidRPr="00E8000B" w:rsidRDefault="0088584A" w:rsidP="00535802">
            <w:pPr>
              <w:spacing w:after="240"/>
              <w:rPr>
                <w:b/>
              </w:rPr>
            </w:pPr>
            <w:r w:rsidRPr="00E8000B">
              <w:rPr>
                <w:b/>
              </w:rPr>
              <w:t>Policy Approver(s)</w:t>
            </w:r>
          </w:p>
        </w:tc>
        <w:tc>
          <w:tcPr>
            <w:tcW w:w="7783" w:type="dxa"/>
          </w:tcPr>
          <w:p w14:paraId="24CD5261" w14:textId="77777777" w:rsidR="0088584A" w:rsidRPr="00E8000B" w:rsidRDefault="0088584A" w:rsidP="00535802">
            <w:pPr>
              <w:spacing w:after="240"/>
              <w:rPr>
                <w:color w:val="808080"/>
              </w:rPr>
            </w:pPr>
            <w:r w:rsidRPr="00E8000B">
              <w:rPr>
                <w:color w:val="808080"/>
              </w:rPr>
              <w:t>Name the person/group responsible for implementation approval of this policy.</w:t>
            </w:r>
          </w:p>
        </w:tc>
      </w:tr>
      <w:tr w:rsidR="0088584A" w:rsidRPr="00E8000B" w14:paraId="62E2F7CA" w14:textId="77777777" w:rsidTr="004D00BC">
        <w:tc>
          <w:tcPr>
            <w:tcW w:w="2413" w:type="dxa"/>
            <w:shd w:val="clear" w:color="auto" w:fill="CADAE8" w:themeFill="accent3"/>
          </w:tcPr>
          <w:p w14:paraId="29A2D5E9" w14:textId="77777777" w:rsidR="0088584A" w:rsidRPr="00E8000B" w:rsidRDefault="0088584A" w:rsidP="00535802">
            <w:pPr>
              <w:spacing w:after="240"/>
              <w:rPr>
                <w:b/>
              </w:rPr>
            </w:pPr>
            <w:r w:rsidRPr="00E8000B">
              <w:rPr>
                <w:b/>
              </w:rPr>
              <w:t>Storage Location</w:t>
            </w:r>
          </w:p>
        </w:tc>
        <w:tc>
          <w:tcPr>
            <w:tcW w:w="7783" w:type="dxa"/>
          </w:tcPr>
          <w:p w14:paraId="66F512E6" w14:textId="77777777" w:rsidR="0088584A" w:rsidRPr="00E8000B" w:rsidRDefault="0088584A" w:rsidP="00535802">
            <w:pPr>
              <w:spacing w:after="240"/>
              <w:rPr>
                <w:color w:val="808080"/>
              </w:rPr>
            </w:pPr>
            <w:r w:rsidRPr="00E8000B">
              <w:rPr>
                <w:color w:val="808080"/>
              </w:rPr>
              <w:t>Describe physical or digital location of copies of this policy.</w:t>
            </w:r>
          </w:p>
        </w:tc>
      </w:tr>
      <w:tr w:rsidR="0088584A" w:rsidRPr="00E8000B" w14:paraId="723C296B" w14:textId="77777777" w:rsidTr="004D00BC">
        <w:tc>
          <w:tcPr>
            <w:tcW w:w="2413" w:type="dxa"/>
            <w:shd w:val="clear" w:color="auto" w:fill="CADAE8" w:themeFill="accent3"/>
          </w:tcPr>
          <w:p w14:paraId="3848F259" w14:textId="77777777" w:rsidR="0088584A" w:rsidRPr="00E8000B" w:rsidRDefault="0088584A" w:rsidP="00535802">
            <w:pPr>
              <w:spacing w:after="240"/>
              <w:rPr>
                <w:b/>
              </w:rPr>
            </w:pPr>
            <w:r w:rsidRPr="00E8000B">
              <w:rPr>
                <w:b/>
              </w:rPr>
              <w:t>Effective Date</w:t>
            </w:r>
          </w:p>
        </w:tc>
        <w:tc>
          <w:tcPr>
            <w:tcW w:w="7783" w:type="dxa"/>
          </w:tcPr>
          <w:p w14:paraId="618624BC" w14:textId="77777777" w:rsidR="0088584A" w:rsidRPr="00E8000B" w:rsidRDefault="0088584A" w:rsidP="00535802">
            <w:pPr>
              <w:spacing w:after="240"/>
              <w:rPr>
                <w:color w:val="808080"/>
              </w:rPr>
            </w:pPr>
            <w:r w:rsidRPr="00E8000B">
              <w:rPr>
                <w:color w:val="808080"/>
              </w:rPr>
              <w:t>List the date that this policy went into effect.</w:t>
            </w:r>
          </w:p>
        </w:tc>
      </w:tr>
      <w:tr w:rsidR="0088584A" w:rsidRPr="00E8000B" w14:paraId="5573BF63" w14:textId="77777777" w:rsidTr="004D00BC">
        <w:tc>
          <w:tcPr>
            <w:tcW w:w="2413" w:type="dxa"/>
            <w:shd w:val="clear" w:color="auto" w:fill="CADAE8" w:themeFill="accent3"/>
          </w:tcPr>
          <w:p w14:paraId="090DE802" w14:textId="77777777" w:rsidR="0088584A" w:rsidRPr="00E8000B" w:rsidRDefault="0088584A" w:rsidP="00535802">
            <w:pPr>
              <w:spacing w:after="240"/>
              <w:rPr>
                <w:b/>
              </w:rPr>
            </w:pPr>
            <w:r w:rsidRPr="00E8000B">
              <w:rPr>
                <w:b/>
              </w:rPr>
              <w:t>Next Review Date</w:t>
            </w:r>
          </w:p>
        </w:tc>
        <w:tc>
          <w:tcPr>
            <w:tcW w:w="7783" w:type="dxa"/>
          </w:tcPr>
          <w:p w14:paraId="758A4B32" w14:textId="77777777" w:rsidR="0088584A" w:rsidRPr="00E8000B" w:rsidRDefault="0088584A" w:rsidP="00535802">
            <w:pPr>
              <w:spacing w:after="240"/>
              <w:rPr>
                <w:color w:val="808080"/>
              </w:rPr>
            </w:pPr>
            <w:r w:rsidRPr="00E8000B">
              <w:rPr>
                <w:color w:val="808080"/>
              </w:rPr>
              <w:t>List the date that this policy must undergo review and update.</w:t>
            </w:r>
          </w:p>
        </w:tc>
      </w:tr>
    </w:tbl>
    <w:p w14:paraId="55DE3C36" w14:textId="4E630D85" w:rsidR="00B21A45" w:rsidRDefault="00B21A45" w:rsidP="00B21A45">
      <w:pPr>
        <w:pStyle w:val="Heading1"/>
      </w:pPr>
      <w:r>
        <w:t>Supporting Documents</w:t>
      </w:r>
    </w:p>
    <w:p w14:paraId="64FC79AB" w14:textId="209CDB60" w:rsidR="00B21A45" w:rsidRDefault="00B21A45" w:rsidP="00B21A45">
      <w:pPr>
        <w:pStyle w:val="ListParagraph"/>
        <w:numPr>
          <w:ilvl w:val="0"/>
          <w:numId w:val="22"/>
        </w:numPr>
      </w:pPr>
      <w:r w:rsidRPr="00B21A45">
        <w:t>Security Incident Communications Guidelines and Templates</w:t>
      </w:r>
    </w:p>
    <w:p w14:paraId="087132F9" w14:textId="44D48BE2" w:rsidR="00B21A45" w:rsidRDefault="00B21A45" w:rsidP="00B21A45">
      <w:pPr>
        <w:pStyle w:val="ListParagraph"/>
        <w:numPr>
          <w:ilvl w:val="0"/>
          <w:numId w:val="22"/>
        </w:numPr>
      </w:pPr>
      <w:r>
        <w:t>Information Security Incident Management Policy</w:t>
      </w:r>
    </w:p>
    <w:p w14:paraId="51D8C841" w14:textId="0487594E" w:rsidR="00DC4387" w:rsidRPr="00B21A45" w:rsidRDefault="00DC4387" w:rsidP="00B21A45">
      <w:pPr>
        <w:pStyle w:val="ListParagraph"/>
        <w:numPr>
          <w:ilvl w:val="0"/>
          <w:numId w:val="22"/>
        </w:numPr>
      </w:pPr>
      <w:r>
        <w:t>Incident Management Runbooks</w:t>
      </w:r>
    </w:p>
    <w:p w14:paraId="1F074A22" w14:textId="77777777" w:rsidR="00725400" w:rsidRDefault="00A6785D" w:rsidP="00725400">
      <w:pPr>
        <w:pStyle w:val="Heading1"/>
      </w:pPr>
      <w:r>
        <w:t>Purpose</w:t>
      </w:r>
    </w:p>
    <w:p w14:paraId="279954B5" w14:textId="591F4107" w:rsidR="003D36FE" w:rsidRDefault="00A6785D" w:rsidP="00826781">
      <w:pPr>
        <w:rPr>
          <w:color w:val="808080" w:themeColor="background1" w:themeShade="80"/>
        </w:rPr>
      </w:pPr>
      <w:r w:rsidRPr="00826781">
        <w:rPr>
          <w:color w:val="808080" w:themeColor="background1" w:themeShade="80"/>
        </w:rPr>
        <w:t xml:space="preserve">Describe the factors or circumstances that mandate the existence of the policy. </w:t>
      </w:r>
      <w:r w:rsidR="00F36E53" w:rsidRPr="00826781">
        <w:rPr>
          <w:color w:val="808080" w:themeColor="background1" w:themeShade="80"/>
        </w:rPr>
        <w:t>Also,</w:t>
      </w:r>
      <w:r w:rsidRPr="00826781">
        <w:rPr>
          <w:color w:val="808080" w:themeColor="background1" w:themeShade="80"/>
        </w:rPr>
        <w:t xml:space="preserve"> state the p</w:t>
      </w:r>
      <w:r w:rsidR="00836EC1">
        <w:rPr>
          <w:color w:val="808080" w:themeColor="background1" w:themeShade="80"/>
        </w:rPr>
        <w:t>olicy’s basic objectives</w:t>
      </w:r>
      <w:r w:rsidRPr="00826781">
        <w:rPr>
          <w:color w:val="808080" w:themeColor="background1" w:themeShade="80"/>
        </w:rPr>
        <w:t>.</w:t>
      </w:r>
    </w:p>
    <w:p w14:paraId="5B2622FF" w14:textId="77777777" w:rsidR="003D36FE" w:rsidRDefault="003D36FE" w:rsidP="00826781">
      <w:pPr>
        <w:rPr>
          <w:color w:val="808080" w:themeColor="background1" w:themeShade="80"/>
        </w:rPr>
      </w:pPr>
    </w:p>
    <w:p w14:paraId="05B47285" w14:textId="4E1497DD" w:rsidR="00145649" w:rsidRPr="00145649" w:rsidRDefault="00121643" w:rsidP="00826781">
      <w:r>
        <w:t>T</w:t>
      </w:r>
      <w:r w:rsidR="003D36FE" w:rsidRPr="00145649">
        <w:t xml:space="preserve">his policy is to ensure that </w:t>
      </w:r>
      <w:r w:rsidR="008E533C" w:rsidRPr="00145649">
        <w:t xml:space="preserve">incident response communications, both internal and external, are drafted and delivered according to a formal process designed to maximize the efficiency and effectiveness of statements, memos, press releases, etc. made during the discovery and remediation of a security incident. </w:t>
      </w:r>
    </w:p>
    <w:p w14:paraId="0D0E5014" w14:textId="77777777" w:rsidR="00145649" w:rsidRPr="00145649" w:rsidRDefault="00145649" w:rsidP="00826781"/>
    <w:p w14:paraId="3AC0E09B" w14:textId="3BB4B4EF" w:rsidR="00145649" w:rsidRPr="00B60381" w:rsidRDefault="008E533C" w:rsidP="00E8457E">
      <w:r w:rsidRPr="00145649">
        <w:t>Security incidents are often chaotic</w:t>
      </w:r>
      <w:r w:rsidR="00DD61DB">
        <w:t>,</w:t>
      </w:r>
      <w:r w:rsidRPr="00145649">
        <w:t xml:space="preserve"> and</w:t>
      </w:r>
      <w:r w:rsidR="00145649" w:rsidRPr="00145649">
        <w:t xml:space="preserve"> they pose a significant risk to</w:t>
      </w:r>
      <w:r w:rsidR="00145649">
        <w:rPr>
          <w:color w:val="808080" w:themeColor="background1" w:themeShade="80"/>
        </w:rPr>
        <w:t xml:space="preserve"> [</w:t>
      </w:r>
      <w:r w:rsidR="000857AF">
        <w:rPr>
          <w:color w:val="808080" w:themeColor="background1" w:themeShade="80"/>
        </w:rPr>
        <w:t>Organization’s</w:t>
      </w:r>
      <w:r w:rsidR="00145649">
        <w:rPr>
          <w:color w:val="808080" w:themeColor="background1" w:themeShade="80"/>
        </w:rPr>
        <w:t xml:space="preserve">] </w:t>
      </w:r>
      <w:r w:rsidR="00145649" w:rsidRPr="00145649">
        <w:t xml:space="preserve">reputation and client base. However, </w:t>
      </w:r>
      <w:r w:rsidRPr="00145649">
        <w:t xml:space="preserve">this policy is meant to provide stability by outlining regulatory </w:t>
      </w:r>
      <w:r w:rsidR="00767B6F">
        <w:t>obligations and their</w:t>
      </w:r>
      <w:r w:rsidR="00145649" w:rsidRPr="00145649">
        <w:t xml:space="preserve"> reporting</w:t>
      </w:r>
      <w:r w:rsidR="00767B6F">
        <w:t xml:space="preserve"> procedure</w:t>
      </w:r>
      <w:r w:rsidRPr="00145649">
        <w:t xml:space="preserve"> and</w:t>
      </w:r>
      <w:r w:rsidR="00145649" w:rsidRPr="00145649">
        <w:t xml:space="preserve"> by</w:t>
      </w:r>
      <w:r w:rsidRPr="00145649">
        <w:t xml:space="preserve"> defining proper communications protocols for various groups, such as employees, </w:t>
      </w:r>
      <w:r w:rsidR="00767B6F">
        <w:t xml:space="preserve">external </w:t>
      </w:r>
      <w:r w:rsidRPr="00145649">
        <w:t>stakeholders, and the media</w:t>
      </w:r>
      <w:r w:rsidR="00145649" w:rsidRPr="00145649">
        <w:t>.</w:t>
      </w:r>
    </w:p>
    <w:p w14:paraId="1F074A25" w14:textId="77777777" w:rsidR="00A6785D" w:rsidRDefault="00A6785D" w:rsidP="00A6785D">
      <w:pPr>
        <w:pStyle w:val="Heading1"/>
      </w:pPr>
      <w:r>
        <w:t>Scope</w:t>
      </w:r>
    </w:p>
    <w:p w14:paraId="1F074A26" w14:textId="326114B4" w:rsidR="00A6785D" w:rsidRDefault="00A6785D" w:rsidP="00826781">
      <w:pPr>
        <w:rPr>
          <w:color w:val="808080" w:themeColor="background1" w:themeShade="80"/>
        </w:rPr>
      </w:pPr>
      <w:r w:rsidRPr="00826781">
        <w:rPr>
          <w:color w:val="808080" w:themeColor="background1" w:themeShade="80"/>
        </w:rPr>
        <w:t xml:space="preserve">Define to whom and to what systems this policy applies. List the employees required to comply or simply indicate “all” if </w:t>
      </w:r>
      <w:r w:rsidR="00767B6F">
        <w:rPr>
          <w:color w:val="808080" w:themeColor="background1" w:themeShade="80"/>
        </w:rPr>
        <w:t>everyone</w:t>
      </w:r>
      <w:r w:rsidRPr="00826781">
        <w:rPr>
          <w:color w:val="808080" w:themeColor="background1" w:themeShade="80"/>
        </w:rPr>
        <w:t xml:space="preserve"> must comply. </w:t>
      </w:r>
      <w:r w:rsidR="00F36E53" w:rsidRPr="00826781">
        <w:rPr>
          <w:color w:val="808080" w:themeColor="background1" w:themeShade="80"/>
        </w:rPr>
        <w:t>Also,</w:t>
      </w:r>
      <w:r w:rsidRPr="00826781">
        <w:rPr>
          <w:color w:val="808080" w:themeColor="background1" w:themeShade="80"/>
        </w:rPr>
        <w:t xml:space="preserve"> indicate any exclusions or exceptions (e.g. those people, elements, or situations that are not covered by this policy or where spec</w:t>
      </w:r>
      <w:r w:rsidR="00B60381">
        <w:rPr>
          <w:color w:val="808080" w:themeColor="background1" w:themeShade="80"/>
        </w:rPr>
        <w:t>ial consideration may</w:t>
      </w:r>
      <w:r w:rsidR="00767B6F">
        <w:rPr>
          <w:color w:val="808080" w:themeColor="background1" w:themeShade="80"/>
        </w:rPr>
        <w:t xml:space="preserve"> need to be made</w:t>
      </w:r>
      <w:r w:rsidR="00B60381">
        <w:rPr>
          <w:color w:val="808080" w:themeColor="background1" w:themeShade="80"/>
        </w:rPr>
        <w:t>)</w:t>
      </w:r>
      <w:r w:rsidR="00767B6F">
        <w:rPr>
          <w:color w:val="808080" w:themeColor="background1" w:themeShade="80"/>
        </w:rPr>
        <w:t>.</w:t>
      </w:r>
    </w:p>
    <w:p w14:paraId="2B67832D" w14:textId="77777777" w:rsidR="00B60381" w:rsidRDefault="00B60381" w:rsidP="00826781">
      <w:pPr>
        <w:rPr>
          <w:color w:val="808080" w:themeColor="background1" w:themeShade="80"/>
        </w:rPr>
      </w:pPr>
    </w:p>
    <w:p w14:paraId="0E9C6A4F" w14:textId="716349DC" w:rsidR="00EC7813" w:rsidRDefault="00B60381" w:rsidP="00B60381">
      <w:pPr>
        <w:rPr>
          <w:rFonts w:cs="Arial"/>
          <w:szCs w:val="20"/>
          <w:lang w:val="en-CA"/>
        </w:rPr>
      </w:pPr>
      <w:r>
        <w:rPr>
          <w:rFonts w:cs="Arial"/>
          <w:szCs w:val="20"/>
          <w:lang w:val="en-CA"/>
        </w:rPr>
        <w:t xml:space="preserve">The Security Incident Response </w:t>
      </w:r>
      <w:r w:rsidR="002B0348">
        <w:rPr>
          <w:rFonts w:cs="Arial"/>
          <w:szCs w:val="20"/>
          <w:lang w:val="en-CA"/>
        </w:rPr>
        <w:t xml:space="preserve">Team </w:t>
      </w:r>
      <w:r>
        <w:rPr>
          <w:rFonts w:cs="Arial"/>
          <w:szCs w:val="20"/>
          <w:lang w:val="en-CA"/>
        </w:rPr>
        <w:t>Policy</w:t>
      </w:r>
      <w:r w:rsidRPr="00B60381">
        <w:rPr>
          <w:rFonts w:cs="Arial"/>
          <w:szCs w:val="20"/>
          <w:lang w:val="en-CA"/>
        </w:rPr>
        <w:t xml:space="preserve"> </w:t>
      </w:r>
      <w:r w:rsidR="00EC7813">
        <w:rPr>
          <w:rFonts w:cs="Arial"/>
          <w:szCs w:val="20"/>
          <w:lang w:val="en-CA"/>
        </w:rPr>
        <w:t>applies to</w:t>
      </w:r>
      <w:r w:rsidRPr="00B60381">
        <w:rPr>
          <w:rFonts w:cs="Arial"/>
          <w:szCs w:val="20"/>
          <w:lang w:val="en-CA"/>
        </w:rPr>
        <w:t xml:space="preserve"> members of the Security Incid</w:t>
      </w:r>
      <w:r>
        <w:rPr>
          <w:rFonts w:cs="Arial"/>
          <w:szCs w:val="20"/>
          <w:lang w:val="en-CA"/>
        </w:rPr>
        <w:t>ent Response Team</w:t>
      </w:r>
      <w:r w:rsidR="00A01A38">
        <w:rPr>
          <w:rFonts w:cs="Arial"/>
          <w:szCs w:val="20"/>
          <w:lang w:val="en-CA"/>
        </w:rPr>
        <w:t xml:space="preserve"> (</w:t>
      </w:r>
      <w:r w:rsidR="0069682B">
        <w:rPr>
          <w:rFonts w:cs="Arial"/>
          <w:szCs w:val="20"/>
          <w:lang w:val="en-CA"/>
        </w:rPr>
        <w:t>SIRT</w:t>
      </w:r>
      <w:r w:rsidR="00A01A38">
        <w:rPr>
          <w:rFonts w:cs="Arial"/>
          <w:szCs w:val="20"/>
          <w:lang w:val="en-CA"/>
        </w:rPr>
        <w:t>)</w:t>
      </w:r>
      <w:r>
        <w:rPr>
          <w:rFonts w:cs="Arial"/>
          <w:szCs w:val="20"/>
          <w:lang w:val="en-CA"/>
        </w:rPr>
        <w:t>.</w:t>
      </w:r>
      <w:r w:rsidR="00EC7813">
        <w:rPr>
          <w:rFonts w:cs="Arial"/>
          <w:szCs w:val="20"/>
          <w:lang w:val="en-CA"/>
        </w:rPr>
        <w:t xml:space="preserve"> </w:t>
      </w:r>
      <w:r>
        <w:rPr>
          <w:rFonts w:cs="Arial"/>
          <w:szCs w:val="20"/>
          <w:lang w:val="en-CA"/>
        </w:rPr>
        <w:t xml:space="preserve">Because </w:t>
      </w:r>
      <w:r w:rsidR="00767B6F">
        <w:rPr>
          <w:rFonts w:cs="Arial"/>
          <w:szCs w:val="20"/>
          <w:lang w:val="en-CA"/>
        </w:rPr>
        <w:t>this policy</w:t>
      </w:r>
      <w:r>
        <w:rPr>
          <w:rFonts w:cs="Arial"/>
          <w:szCs w:val="20"/>
          <w:lang w:val="en-CA"/>
        </w:rPr>
        <w:t xml:space="preserve"> contains sensitive information regarding incident handling</w:t>
      </w:r>
      <w:r w:rsidR="002B6813">
        <w:rPr>
          <w:rFonts w:cs="Arial"/>
          <w:szCs w:val="20"/>
          <w:lang w:val="en-CA"/>
        </w:rPr>
        <w:t xml:space="preserve"> and reporting, </w:t>
      </w:r>
      <w:r w:rsidR="00767B6F">
        <w:rPr>
          <w:rFonts w:cs="Arial"/>
          <w:szCs w:val="20"/>
          <w:lang w:val="en-CA"/>
        </w:rPr>
        <w:t>it</w:t>
      </w:r>
      <w:r w:rsidR="00EC7813">
        <w:rPr>
          <w:rFonts w:cs="Arial"/>
          <w:szCs w:val="20"/>
          <w:lang w:val="en-CA"/>
        </w:rPr>
        <w:t xml:space="preserve"> shall not be distributed to all employees for review.</w:t>
      </w:r>
      <w:r w:rsidR="002B6813">
        <w:rPr>
          <w:rFonts w:cs="Arial"/>
          <w:szCs w:val="20"/>
          <w:lang w:val="en-CA"/>
        </w:rPr>
        <w:t xml:space="preserve"> Rather, this policy</w:t>
      </w:r>
      <w:r w:rsidR="00DD61DB">
        <w:rPr>
          <w:rFonts w:cs="Arial"/>
          <w:szCs w:val="20"/>
          <w:lang w:val="en-CA"/>
        </w:rPr>
        <w:t xml:space="preserve"> will be kept confidential and only shown to new persons or parties on a need-to-know basis.</w:t>
      </w:r>
    </w:p>
    <w:p w14:paraId="21A72042" w14:textId="238D495D" w:rsidR="00EC7813" w:rsidRPr="00EC7813" w:rsidRDefault="00EC7813" w:rsidP="00EC7813">
      <w:pPr>
        <w:pStyle w:val="Heading1"/>
        <w:rPr>
          <w:lang w:val="en-CA"/>
        </w:rPr>
      </w:pPr>
      <w:r>
        <w:rPr>
          <w:lang w:val="en-CA"/>
        </w:rPr>
        <w:lastRenderedPageBreak/>
        <w:t>Audience</w:t>
      </w:r>
    </w:p>
    <w:p w14:paraId="1F074A27" w14:textId="6EF49943" w:rsidR="00A6785D" w:rsidRDefault="0051772F" w:rsidP="0051772F">
      <w:pPr>
        <w:spacing w:after="240"/>
      </w:pPr>
      <w:r>
        <w:t xml:space="preserve">The </w:t>
      </w:r>
      <w:r w:rsidR="000B6816">
        <w:rPr>
          <w:lang w:val="en-CA"/>
        </w:rPr>
        <w:t>SIR</w:t>
      </w:r>
      <w:r w:rsidR="00836EC1" w:rsidRPr="00836EC1">
        <w:rPr>
          <w:lang w:val="en-CA"/>
        </w:rPr>
        <w:t>T</w:t>
      </w:r>
      <w:r w:rsidR="00836EC1">
        <w:t xml:space="preserve"> </w:t>
      </w:r>
      <w:r>
        <w:t>shall contain the following members:</w:t>
      </w:r>
    </w:p>
    <w:p w14:paraId="2ED21D43" w14:textId="7543ADE0" w:rsidR="0051772F" w:rsidRDefault="0051772F" w:rsidP="0051772F">
      <w:pPr>
        <w:pStyle w:val="ListParagraph"/>
        <w:numPr>
          <w:ilvl w:val="0"/>
          <w:numId w:val="13"/>
        </w:numPr>
      </w:pPr>
      <w:r>
        <w:t xml:space="preserve">IT Advisor </w:t>
      </w:r>
      <w:r w:rsidRPr="00A01A38">
        <w:rPr>
          <w:color w:val="808080" w:themeColor="background1" w:themeShade="80"/>
        </w:rPr>
        <w:t>[</w:t>
      </w:r>
      <w:r w:rsidR="00A01A38">
        <w:rPr>
          <w:color w:val="808080" w:themeColor="background1" w:themeShade="80"/>
        </w:rPr>
        <w:t xml:space="preserve">e.g. </w:t>
      </w:r>
      <w:r w:rsidRPr="00A01A38">
        <w:rPr>
          <w:color w:val="808080" w:themeColor="background1" w:themeShade="80"/>
        </w:rPr>
        <w:t>CSO, CISO</w:t>
      </w:r>
      <w:r w:rsidR="00A01A38">
        <w:rPr>
          <w:color w:val="808080" w:themeColor="background1" w:themeShade="80"/>
        </w:rPr>
        <w:t>,</w:t>
      </w:r>
      <w:r w:rsidRPr="00A01A38">
        <w:rPr>
          <w:color w:val="808080" w:themeColor="background1" w:themeShade="80"/>
        </w:rPr>
        <w:t xml:space="preserve"> or similar role]</w:t>
      </w:r>
    </w:p>
    <w:p w14:paraId="36E28550" w14:textId="66CCE655" w:rsidR="0051772F" w:rsidRDefault="0051772F" w:rsidP="0051772F">
      <w:pPr>
        <w:pStyle w:val="ListParagraph"/>
        <w:numPr>
          <w:ilvl w:val="0"/>
          <w:numId w:val="13"/>
        </w:numPr>
      </w:pPr>
      <w:r>
        <w:t>IT Deputy</w:t>
      </w:r>
      <w:r w:rsidR="00A01A38">
        <w:t xml:space="preserve"> </w:t>
      </w:r>
      <w:r w:rsidR="00A01A38" w:rsidRPr="00A01A38">
        <w:rPr>
          <w:color w:val="808080" w:themeColor="background1" w:themeShade="80"/>
        </w:rPr>
        <w:t>[e.g. Senior IT professional]</w:t>
      </w:r>
    </w:p>
    <w:p w14:paraId="37466747" w14:textId="70DC038F" w:rsidR="0051772F" w:rsidRDefault="0051772F" w:rsidP="0051772F">
      <w:pPr>
        <w:pStyle w:val="ListParagraph"/>
        <w:numPr>
          <w:ilvl w:val="0"/>
          <w:numId w:val="13"/>
        </w:numPr>
      </w:pPr>
      <w:r>
        <w:t>Legal Counsel</w:t>
      </w:r>
    </w:p>
    <w:p w14:paraId="69AEDD61" w14:textId="43816F59" w:rsidR="0051772F" w:rsidRDefault="0051772F" w:rsidP="0051772F">
      <w:pPr>
        <w:pStyle w:val="ListParagraph"/>
        <w:numPr>
          <w:ilvl w:val="0"/>
          <w:numId w:val="13"/>
        </w:numPr>
      </w:pPr>
      <w:r>
        <w:t>HR Representative</w:t>
      </w:r>
    </w:p>
    <w:p w14:paraId="7B93A826" w14:textId="0E482010" w:rsidR="0051772F" w:rsidRDefault="0051772F" w:rsidP="0051772F">
      <w:pPr>
        <w:pStyle w:val="ListParagraph"/>
        <w:numPr>
          <w:ilvl w:val="0"/>
          <w:numId w:val="13"/>
        </w:numPr>
      </w:pPr>
      <w:r>
        <w:t>Communications/PR Coordinator</w:t>
      </w:r>
      <w:r w:rsidR="00A01A38">
        <w:t xml:space="preserve"> </w:t>
      </w:r>
      <w:r w:rsidR="00A01A38" w:rsidRPr="00A01A38">
        <w:rPr>
          <w:color w:val="808080" w:themeColor="background1" w:themeShade="80"/>
        </w:rPr>
        <w:t>[e.g. Communications Director]</w:t>
      </w:r>
    </w:p>
    <w:p w14:paraId="1951AF71" w14:textId="47009E79" w:rsidR="0051772F" w:rsidRPr="00A01A38" w:rsidRDefault="0051772F" w:rsidP="0051772F">
      <w:pPr>
        <w:pStyle w:val="ListParagraph"/>
        <w:numPr>
          <w:ilvl w:val="0"/>
          <w:numId w:val="13"/>
        </w:numPr>
      </w:pPr>
      <w:r>
        <w:t>Communications/PR Deputy</w:t>
      </w:r>
      <w:r w:rsidR="00A01A38">
        <w:t xml:space="preserve"> </w:t>
      </w:r>
      <w:r w:rsidR="00623291">
        <w:rPr>
          <w:color w:val="808080" w:themeColor="background1" w:themeShade="80"/>
        </w:rPr>
        <w:t>[e.g. Senior Communications P</w:t>
      </w:r>
      <w:r w:rsidR="00A01A38" w:rsidRPr="00A01A38">
        <w:rPr>
          <w:color w:val="808080" w:themeColor="background1" w:themeShade="80"/>
        </w:rPr>
        <w:t>rofessional]</w:t>
      </w:r>
    </w:p>
    <w:p w14:paraId="7E8E9822" w14:textId="77777777" w:rsidR="00A01A38" w:rsidRDefault="00A01A38" w:rsidP="00A01A38"/>
    <w:p w14:paraId="3F6F46AA" w14:textId="723BB69B" w:rsidR="00A01A38" w:rsidRPr="00A01A38" w:rsidRDefault="00A01A38" w:rsidP="00A01A38">
      <w:pPr>
        <w:rPr>
          <w:color w:val="808080" w:themeColor="background1" w:themeShade="80"/>
        </w:rPr>
      </w:pPr>
      <w:r w:rsidRPr="00A01A38">
        <w:rPr>
          <w:color w:val="808080" w:themeColor="background1" w:themeShade="80"/>
        </w:rPr>
        <w:t>Roles can be added, subtracted, or modified as needed</w:t>
      </w:r>
      <w:r w:rsidR="00623291">
        <w:rPr>
          <w:color w:val="808080" w:themeColor="background1" w:themeShade="80"/>
        </w:rPr>
        <w:t>, but avoid having more than six to eight</w:t>
      </w:r>
      <w:r w:rsidRPr="00A01A38">
        <w:rPr>
          <w:color w:val="808080" w:themeColor="background1" w:themeShade="80"/>
        </w:rPr>
        <w:t xml:space="preserve"> members to ensure decisions can be made</w:t>
      </w:r>
      <w:r w:rsidR="009A7EBC">
        <w:rPr>
          <w:color w:val="808080" w:themeColor="background1" w:themeShade="80"/>
        </w:rPr>
        <w:t xml:space="preserve"> in a timely fashion</w:t>
      </w:r>
      <w:r w:rsidRPr="00A01A38">
        <w:rPr>
          <w:color w:val="808080" w:themeColor="background1" w:themeShade="80"/>
        </w:rPr>
        <w:t xml:space="preserve">. The </w:t>
      </w:r>
      <w:r w:rsidR="0069682B">
        <w:rPr>
          <w:color w:val="808080" w:themeColor="background1" w:themeShade="80"/>
        </w:rPr>
        <w:t>SIRT</w:t>
      </w:r>
      <w:r w:rsidRPr="00A01A38">
        <w:rPr>
          <w:color w:val="808080" w:themeColor="background1" w:themeShade="80"/>
        </w:rPr>
        <w:t xml:space="preserve"> team should be assembled with an eye towards balancing senior leadership and people with hands-on experience – keep this information in mind when deciding who will be on your team.</w:t>
      </w:r>
      <w:r w:rsidR="008D478E">
        <w:rPr>
          <w:color w:val="808080" w:themeColor="background1" w:themeShade="80"/>
        </w:rPr>
        <w:t xml:space="preserve"> It is also a good idea to establish alternates for each role in case someone is unavailable during an incident or crisis.</w:t>
      </w:r>
    </w:p>
    <w:p w14:paraId="1F074A28" w14:textId="77777777" w:rsidR="00A6785D" w:rsidRDefault="00A6785D" w:rsidP="00A6785D">
      <w:pPr>
        <w:pStyle w:val="Heading1"/>
      </w:pPr>
      <w:r>
        <w:t>Definitions</w:t>
      </w:r>
    </w:p>
    <w:p w14:paraId="1F074A2A" w14:textId="5166F833" w:rsidR="00826781" w:rsidRDefault="00A6785D" w:rsidP="00A6785D">
      <w:pPr>
        <w:rPr>
          <w:color w:val="808080" w:themeColor="background1" w:themeShade="80"/>
        </w:rPr>
      </w:pPr>
      <w:r w:rsidRPr="004042A6">
        <w:rPr>
          <w:color w:val="808080" w:themeColor="background1" w:themeShade="80"/>
        </w:rPr>
        <w:t>Define any key terms, acronyms</w:t>
      </w:r>
      <w:r>
        <w:rPr>
          <w:color w:val="808080" w:themeColor="background1" w:themeShade="80"/>
        </w:rPr>
        <w:t>,</w:t>
      </w:r>
      <w:r w:rsidR="00767B6F">
        <w:rPr>
          <w:color w:val="808080" w:themeColor="background1" w:themeShade="80"/>
        </w:rPr>
        <w:t xml:space="preserve"> or concepts that </w:t>
      </w:r>
      <w:r w:rsidR="00623291">
        <w:rPr>
          <w:color w:val="808080" w:themeColor="background1" w:themeShade="80"/>
        </w:rPr>
        <w:t xml:space="preserve">are </w:t>
      </w:r>
      <w:r w:rsidRPr="004042A6">
        <w:rPr>
          <w:color w:val="808080" w:themeColor="background1" w:themeShade="80"/>
        </w:rPr>
        <w:t>used in the policy. A standard glossary approach is sufficient.</w:t>
      </w:r>
    </w:p>
    <w:p w14:paraId="34A02ED5" w14:textId="77777777" w:rsidR="000F1010" w:rsidRDefault="000F1010" w:rsidP="00A6785D">
      <w:pPr>
        <w:rPr>
          <w:color w:val="808080" w:themeColor="background1" w:themeShade="80"/>
        </w:rPr>
      </w:pPr>
    </w:p>
    <w:p w14:paraId="7ACE280E" w14:textId="35E4AEBE" w:rsidR="000F1010" w:rsidRDefault="000F1010" w:rsidP="000F1010">
      <w:r>
        <w:rPr>
          <w:b/>
        </w:rPr>
        <w:t>Information security event:</w:t>
      </w:r>
      <w:r>
        <w:t xml:space="preserve"> Identified occurrence of a system, service, or network state indicating a possible breach of information security policy or failure of controls, including false alarms.</w:t>
      </w:r>
      <w:r>
        <w:br/>
      </w:r>
    </w:p>
    <w:p w14:paraId="51E39C58" w14:textId="77777777" w:rsidR="000F1010" w:rsidRDefault="000F1010" w:rsidP="000F1010">
      <w:r>
        <w:rPr>
          <w:b/>
        </w:rPr>
        <w:t>Information security incident:</w:t>
      </w:r>
      <w:r>
        <w:t xml:space="preserve"> Single or series of unwanted or unexpected information security events that have a significant probability of compromising business operations and threatening information security. </w:t>
      </w:r>
    </w:p>
    <w:p w14:paraId="3324514E" w14:textId="77777777" w:rsidR="002D3999" w:rsidRDefault="002D3999" w:rsidP="00F30626">
      <w:pPr>
        <w:rPr>
          <w:color w:val="808080" w:themeColor="background1" w:themeShade="80"/>
        </w:rPr>
      </w:pPr>
    </w:p>
    <w:p w14:paraId="134FF2AF" w14:textId="261CFF1E" w:rsidR="002D3999" w:rsidRPr="002D3999" w:rsidRDefault="002D3999" w:rsidP="00F30626">
      <w:pPr>
        <w:rPr>
          <w:color w:val="808080" w:themeColor="background1" w:themeShade="80"/>
        </w:rPr>
      </w:pPr>
      <w:r>
        <w:rPr>
          <w:color w:val="808080" w:themeColor="background1" w:themeShade="80"/>
        </w:rPr>
        <w:t>Exactly</w:t>
      </w:r>
      <w:r w:rsidR="00C609FD">
        <w:rPr>
          <w:color w:val="808080" w:themeColor="background1" w:themeShade="80"/>
        </w:rPr>
        <w:t xml:space="preserve"> what</w:t>
      </w:r>
      <w:r w:rsidR="00623291">
        <w:rPr>
          <w:color w:val="808080" w:themeColor="background1" w:themeShade="80"/>
        </w:rPr>
        <w:t xml:space="preserve"> constitutes an</w:t>
      </w:r>
      <w:r w:rsidR="00BE5B4D">
        <w:rPr>
          <w:color w:val="808080" w:themeColor="background1" w:themeShade="80"/>
        </w:rPr>
        <w:t xml:space="preserve"> event or incident</w:t>
      </w:r>
      <w:r>
        <w:rPr>
          <w:color w:val="808080" w:themeColor="background1" w:themeShade="80"/>
        </w:rPr>
        <w:t xml:space="preserve"> will vary from organization to organization. Be sure to modify these definitions so that they agree with your organization</w:t>
      </w:r>
      <w:r w:rsidR="00C609FD">
        <w:rPr>
          <w:color w:val="808080" w:themeColor="background1" w:themeShade="80"/>
        </w:rPr>
        <w:t>’</w:t>
      </w:r>
      <w:r>
        <w:rPr>
          <w:color w:val="808080" w:themeColor="background1" w:themeShade="80"/>
        </w:rPr>
        <w:t>s threat escalation chart.</w:t>
      </w:r>
    </w:p>
    <w:p w14:paraId="1F074A2B" w14:textId="77777777" w:rsidR="00A6785D" w:rsidRDefault="00A6785D" w:rsidP="00A6785D">
      <w:pPr>
        <w:pStyle w:val="Heading1"/>
      </w:pPr>
      <w:r>
        <w:t>Policy Statements</w:t>
      </w:r>
    </w:p>
    <w:p w14:paraId="130FA24C" w14:textId="578DB5C0" w:rsidR="003320A2" w:rsidRDefault="00A6785D" w:rsidP="00A6785D">
      <w:pPr>
        <w:rPr>
          <w:color w:val="808080" w:themeColor="background1" w:themeShade="80"/>
        </w:rPr>
      </w:pPr>
      <w:r w:rsidRPr="004042A6">
        <w:rPr>
          <w:color w:val="808080" w:themeColor="background1" w:themeShade="80"/>
        </w:rPr>
        <w:t xml:space="preserve">Describe the rules that comprise the policy. This typically takes the form of a series of short prescriptive and proscriptive statements. </w:t>
      </w:r>
      <w:r>
        <w:rPr>
          <w:color w:val="808080" w:themeColor="background1" w:themeShade="80"/>
        </w:rPr>
        <w:t>D</w:t>
      </w:r>
      <w:r w:rsidRPr="004042A6">
        <w:rPr>
          <w:color w:val="808080" w:themeColor="background1" w:themeShade="80"/>
        </w:rPr>
        <w:t>ividing this section into sub-sections may be required depending on the length or complexity of the policy</w:t>
      </w:r>
      <w:r w:rsidR="009A7EBC">
        <w:rPr>
          <w:color w:val="808080" w:themeColor="background1" w:themeShade="80"/>
        </w:rPr>
        <w:t>.</w:t>
      </w:r>
    </w:p>
    <w:p w14:paraId="74C8D484" w14:textId="77777777" w:rsidR="009A7EBC" w:rsidRDefault="009A7EBC" w:rsidP="00A6785D">
      <w:pPr>
        <w:rPr>
          <w:color w:val="808080" w:themeColor="background1" w:themeShade="80"/>
        </w:rPr>
      </w:pPr>
    </w:p>
    <w:p w14:paraId="436647C4" w14:textId="67CF2F37" w:rsidR="009A7EBC" w:rsidRPr="00766FAD" w:rsidRDefault="0069682B" w:rsidP="00ED2C4C">
      <w:pPr>
        <w:spacing w:after="240"/>
        <w:rPr>
          <w:b/>
        </w:rPr>
      </w:pPr>
      <w:r>
        <w:rPr>
          <w:b/>
        </w:rPr>
        <w:t>SIRT</w:t>
      </w:r>
      <w:r w:rsidR="009A7EBC" w:rsidRPr="00766FAD">
        <w:rPr>
          <w:b/>
        </w:rPr>
        <w:t xml:space="preserve"> Communication Program</w:t>
      </w:r>
    </w:p>
    <w:p w14:paraId="4DC2DF66" w14:textId="140FB293" w:rsidR="009A7EBC" w:rsidRPr="00766FAD" w:rsidRDefault="0069682B" w:rsidP="00FE41EE">
      <w:pPr>
        <w:pStyle w:val="ListParagraph"/>
        <w:numPr>
          <w:ilvl w:val="0"/>
          <w:numId w:val="15"/>
        </w:numPr>
        <w:spacing w:after="120"/>
        <w:contextualSpacing w:val="0"/>
        <w:rPr>
          <w:b/>
        </w:rPr>
      </w:pPr>
      <w:r>
        <w:t>SIR</w:t>
      </w:r>
      <w:r w:rsidR="00915645">
        <w:t>T members shall provide</w:t>
      </w:r>
      <w:r w:rsidR="009A7EBC" w:rsidRPr="00766FAD">
        <w:t xml:space="preserve"> primary and secondary contact information, so that they can be reached in</w:t>
      </w:r>
      <w:r w:rsidR="002D3999" w:rsidRPr="00766FAD">
        <w:t xml:space="preserve"> the event that</w:t>
      </w:r>
      <w:r w:rsidR="009A7EBC" w:rsidRPr="00766FAD">
        <w:t xml:space="preserve"> a security </w:t>
      </w:r>
      <w:r w:rsidR="002D3999" w:rsidRPr="00766FAD">
        <w:t>incident</w:t>
      </w:r>
      <w:r w:rsidR="00766FAD">
        <w:t xml:space="preserve"> reaches </w:t>
      </w:r>
      <w:r w:rsidR="00766FAD" w:rsidRPr="00766FAD">
        <w:rPr>
          <w:color w:val="808080" w:themeColor="background1" w:themeShade="80"/>
        </w:rPr>
        <w:t>[T</w:t>
      </w:r>
      <w:r w:rsidR="00BE5B4D">
        <w:rPr>
          <w:color w:val="808080" w:themeColor="background1" w:themeShade="80"/>
        </w:rPr>
        <w:t>ier-</w:t>
      </w:r>
      <w:r w:rsidR="002D3999" w:rsidRPr="00766FAD">
        <w:rPr>
          <w:color w:val="808080" w:themeColor="background1" w:themeShade="80"/>
        </w:rPr>
        <w:t>2]</w:t>
      </w:r>
      <w:r w:rsidR="002D3999" w:rsidRPr="00766FAD">
        <w:t xml:space="preserve"> status, or stands to reach crisis status </w:t>
      </w:r>
      <w:r w:rsidR="00766FAD">
        <w:t>rapidly if not addressed immediately.</w:t>
      </w:r>
    </w:p>
    <w:p w14:paraId="3C7A4D23" w14:textId="68F2969B" w:rsidR="008D478E" w:rsidRPr="00766FAD" w:rsidRDefault="0069682B" w:rsidP="00FE41EE">
      <w:pPr>
        <w:pStyle w:val="ListParagraph"/>
        <w:numPr>
          <w:ilvl w:val="0"/>
          <w:numId w:val="15"/>
        </w:numPr>
        <w:spacing w:after="120"/>
        <w:contextualSpacing w:val="0"/>
        <w:rPr>
          <w:b/>
        </w:rPr>
      </w:pPr>
      <w:r>
        <w:t>If a primary SIR</w:t>
      </w:r>
      <w:r w:rsidR="008D478E" w:rsidRPr="00766FAD">
        <w:t xml:space="preserve">T member cannot be reached after </w:t>
      </w:r>
      <w:r w:rsidR="008D478E" w:rsidRPr="00766FAD">
        <w:rPr>
          <w:color w:val="808080" w:themeColor="background1" w:themeShade="80"/>
        </w:rPr>
        <w:t xml:space="preserve">[4] </w:t>
      </w:r>
      <w:r w:rsidR="008D478E" w:rsidRPr="00766FAD">
        <w:t>hours and the situat</w:t>
      </w:r>
      <w:r w:rsidR="00EF6D6F">
        <w:t>ion demands immediate attention</w:t>
      </w:r>
      <w:r w:rsidR="008D478E" w:rsidRPr="00766FAD">
        <w:t xml:space="preserve"> that member’s alternate shall assume the required role for as long as necessary. </w:t>
      </w:r>
    </w:p>
    <w:p w14:paraId="42E6C666" w14:textId="529A1B2C" w:rsidR="008D478E" w:rsidRPr="00766FAD" w:rsidRDefault="0069682B" w:rsidP="00FE41EE">
      <w:pPr>
        <w:pStyle w:val="ListParagraph"/>
        <w:numPr>
          <w:ilvl w:val="0"/>
          <w:numId w:val="15"/>
        </w:numPr>
        <w:spacing w:after="120"/>
        <w:contextualSpacing w:val="0"/>
        <w:rPr>
          <w:b/>
        </w:rPr>
      </w:pPr>
      <w:r>
        <w:t>SIRT</w:t>
      </w:r>
      <w:r w:rsidR="008D478E" w:rsidRPr="00766FAD">
        <w:t xml:space="preserve"> members will report updates to each other</w:t>
      </w:r>
      <w:r w:rsidR="00C609FD">
        <w:t xml:space="preserve"> via the interdepartmental communications template</w:t>
      </w:r>
      <w:r w:rsidR="008D478E" w:rsidRPr="00766FAD">
        <w:t xml:space="preserve"> on an as-needed </w:t>
      </w:r>
      <w:r w:rsidR="00766FAD">
        <w:t xml:space="preserve">basis, but </w:t>
      </w:r>
      <w:r w:rsidR="00C609FD">
        <w:t>not less than</w:t>
      </w:r>
      <w:r w:rsidR="00766FAD">
        <w:t xml:space="preserve"> once every </w:t>
      </w:r>
      <w:r w:rsidR="00766FAD" w:rsidRPr="00766FAD">
        <w:rPr>
          <w:color w:val="808080" w:themeColor="background1" w:themeShade="80"/>
        </w:rPr>
        <w:t>[24 hours]</w:t>
      </w:r>
      <w:r w:rsidR="008D478E" w:rsidRPr="00766FAD">
        <w:t xml:space="preserve"> </w:t>
      </w:r>
      <w:r w:rsidR="00C609FD">
        <w:t>until the incident is contained.</w:t>
      </w:r>
    </w:p>
    <w:p w14:paraId="71534107" w14:textId="461E9B24" w:rsidR="009A7EBC" w:rsidRPr="00766FAD" w:rsidRDefault="0069682B" w:rsidP="00FE41EE">
      <w:pPr>
        <w:pStyle w:val="ListParagraph"/>
        <w:numPr>
          <w:ilvl w:val="0"/>
          <w:numId w:val="15"/>
        </w:numPr>
        <w:spacing w:after="120"/>
        <w:contextualSpacing w:val="0"/>
        <w:rPr>
          <w:b/>
        </w:rPr>
      </w:pPr>
      <w:r>
        <w:t>SIRT</w:t>
      </w:r>
      <w:r w:rsidR="008D478E" w:rsidRPr="00766FAD">
        <w:t xml:space="preserve"> members will establish a method of communication alternative to the primary method that is to be used in the event that the primary communication method is affected by</w:t>
      </w:r>
      <w:r w:rsidR="00BE5B4D">
        <w:t>,</w:t>
      </w:r>
      <w:r w:rsidR="008D478E" w:rsidRPr="00766FAD">
        <w:t xml:space="preserve"> or is otherwise unavailabl</w:t>
      </w:r>
      <w:r w:rsidR="00766FAD">
        <w:t>e during</w:t>
      </w:r>
      <w:r w:rsidR="00BE5B4D">
        <w:t>,</w:t>
      </w:r>
      <w:r w:rsidR="00766FAD">
        <w:t xml:space="preserve"> the security incident </w:t>
      </w:r>
      <w:r w:rsidR="00C609FD">
        <w:rPr>
          <w:color w:val="808080" w:themeColor="background1" w:themeShade="80"/>
        </w:rPr>
        <w:t>[</w:t>
      </w:r>
      <w:r w:rsidR="008D478E" w:rsidRPr="00C609FD">
        <w:rPr>
          <w:color w:val="808080" w:themeColor="background1" w:themeShade="80"/>
        </w:rPr>
        <w:t>e.g. alternate non-organizational email or instant messaging platform</w:t>
      </w:r>
      <w:r w:rsidR="00C609FD" w:rsidRPr="00C609FD">
        <w:rPr>
          <w:color w:val="808080" w:themeColor="background1" w:themeShade="80"/>
        </w:rPr>
        <w:t>]</w:t>
      </w:r>
      <w:r w:rsidR="00C609FD">
        <w:t>.</w:t>
      </w:r>
    </w:p>
    <w:p w14:paraId="481C5C78" w14:textId="332EB1E6" w:rsidR="002D3999" w:rsidRPr="00766FAD" w:rsidRDefault="002D3999" w:rsidP="00FE41EE">
      <w:pPr>
        <w:pStyle w:val="ListParagraph"/>
        <w:numPr>
          <w:ilvl w:val="0"/>
          <w:numId w:val="15"/>
        </w:numPr>
        <w:spacing w:after="120"/>
        <w:contextualSpacing w:val="0"/>
        <w:rPr>
          <w:b/>
        </w:rPr>
      </w:pPr>
      <w:r w:rsidRPr="00766FAD">
        <w:t xml:space="preserve">All </w:t>
      </w:r>
      <w:r w:rsidR="0069682B">
        <w:t>SIRT</w:t>
      </w:r>
      <w:r w:rsidRPr="00766FAD">
        <w:t xml:space="preserve"> members will collaborate on all statements, memos, press releases, holding statements, etc. but the </w:t>
      </w:r>
      <w:r w:rsidRPr="00766FAD">
        <w:rPr>
          <w:color w:val="808080" w:themeColor="background1" w:themeShade="80"/>
        </w:rPr>
        <w:t xml:space="preserve">[IT Advisor] </w:t>
      </w:r>
      <w:r w:rsidRPr="00766FAD">
        <w:t xml:space="preserve">will have final authority </w:t>
      </w:r>
      <w:r w:rsidR="00854FD7" w:rsidRPr="00766FAD">
        <w:t>to approve</w:t>
      </w:r>
      <w:r w:rsidRPr="00766FAD">
        <w:t xml:space="preserve"> </w:t>
      </w:r>
      <w:r w:rsidRPr="00766FAD">
        <w:rPr>
          <w:color w:val="808080" w:themeColor="background1" w:themeShade="80"/>
        </w:rPr>
        <w:t xml:space="preserve">[Organization’s] </w:t>
      </w:r>
      <w:r w:rsidRPr="00766FAD">
        <w:t xml:space="preserve">message to ensure that providing such information will not further increase the </w:t>
      </w:r>
      <w:r w:rsidR="00BE0D6E" w:rsidRPr="00766FAD">
        <w:t>severity or risk associated with the incident.</w:t>
      </w:r>
    </w:p>
    <w:p w14:paraId="1E2ED60F" w14:textId="1F327B90" w:rsidR="00BE0D6E" w:rsidRPr="00AB1A82" w:rsidRDefault="00BE0D6E" w:rsidP="00FE41EE">
      <w:pPr>
        <w:pStyle w:val="ListParagraph"/>
        <w:numPr>
          <w:ilvl w:val="0"/>
          <w:numId w:val="15"/>
        </w:numPr>
        <w:spacing w:after="120"/>
        <w:contextualSpacing w:val="0"/>
        <w:rPr>
          <w:b/>
        </w:rPr>
      </w:pPr>
      <w:r w:rsidRPr="00766FAD">
        <w:lastRenderedPageBreak/>
        <w:t xml:space="preserve">In the event of a crisis with significant impact on </w:t>
      </w:r>
      <w:r w:rsidR="00BE5B4D">
        <w:t xml:space="preserve">external </w:t>
      </w:r>
      <w:r w:rsidRPr="00766FAD">
        <w:t xml:space="preserve">stakeholders, the </w:t>
      </w:r>
      <w:r w:rsidR="0069682B">
        <w:t>SIRT</w:t>
      </w:r>
      <w:r w:rsidRPr="00766FAD">
        <w:t xml:space="preserve"> will vote on whether </w:t>
      </w:r>
      <w:r w:rsidRPr="00766FAD">
        <w:rPr>
          <w:color w:val="808080" w:themeColor="background1" w:themeShade="80"/>
        </w:rPr>
        <w:t xml:space="preserve">[Organization’s] </w:t>
      </w:r>
      <w:r w:rsidRPr="00766FAD">
        <w:t>CEO needs to be included in decision making or needs to make a public statement</w:t>
      </w:r>
      <w:r w:rsidR="00C609FD">
        <w:t>.</w:t>
      </w:r>
    </w:p>
    <w:p w14:paraId="151EBA0A" w14:textId="77777777" w:rsidR="00AB1A82" w:rsidRDefault="00AB1A82" w:rsidP="00AB1A82">
      <w:pPr>
        <w:spacing w:after="120"/>
        <w:rPr>
          <w:b/>
        </w:rPr>
      </w:pPr>
    </w:p>
    <w:p w14:paraId="080788D3" w14:textId="47C549B7" w:rsidR="00AB1A82" w:rsidRDefault="00AB1A82" w:rsidP="00AB1A82">
      <w:pPr>
        <w:spacing w:after="120"/>
        <w:rPr>
          <w:b/>
        </w:rPr>
      </w:pPr>
      <w:r w:rsidRPr="00AB1A82">
        <w:rPr>
          <w:b/>
        </w:rPr>
        <w:t>Communications</w:t>
      </w:r>
      <w:r w:rsidR="004F3C5A">
        <w:rPr>
          <w:b/>
        </w:rPr>
        <w:t xml:space="preserve"> Schedule and</w:t>
      </w:r>
      <w:r w:rsidRPr="00AB1A82">
        <w:rPr>
          <w:b/>
        </w:rPr>
        <w:t xml:space="preserve"> </w:t>
      </w:r>
      <w:r w:rsidR="00217103">
        <w:rPr>
          <w:b/>
        </w:rPr>
        <w:t>Sequence</w:t>
      </w:r>
    </w:p>
    <w:p w14:paraId="24B7979E" w14:textId="173E222D" w:rsidR="002D3999" w:rsidRPr="00AB1A82" w:rsidRDefault="00AB1A82" w:rsidP="004F6423">
      <w:pPr>
        <w:pStyle w:val="ListParagraph"/>
        <w:numPr>
          <w:ilvl w:val="0"/>
          <w:numId w:val="20"/>
        </w:numPr>
        <w:spacing w:after="240"/>
        <w:rPr>
          <w:b/>
        </w:rPr>
      </w:pPr>
      <w:r>
        <w:t xml:space="preserve">As much as possible, incident response communications </w:t>
      </w:r>
      <w:r w:rsidR="00BE5B4D">
        <w:t>should</w:t>
      </w:r>
      <w:r>
        <w:t xml:space="preserve"> be issued</w:t>
      </w:r>
      <w:r w:rsidR="00217103">
        <w:t xml:space="preserve"> to affected stakeholders</w:t>
      </w:r>
      <w:r>
        <w:t xml:space="preserve"> as the SIRT advances through the six remediation stages</w:t>
      </w:r>
      <w:r w:rsidR="00217103">
        <w:t>:</w:t>
      </w:r>
    </w:p>
    <w:p w14:paraId="75DC3482" w14:textId="20372765" w:rsidR="00AB1A82" w:rsidRPr="00217103" w:rsidRDefault="00AB1A82" w:rsidP="00AB1A82">
      <w:pPr>
        <w:pStyle w:val="ListParagraph"/>
        <w:numPr>
          <w:ilvl w:val="1"/>
          <w:numId w:val="20"/>
        </w:numPr>
        <w:spacing w:after="240"/>
        <w:rPr>
          <w:b/>
        </w:rPr>
      </w:pPr>
      <w:r>
        <w:t>Detection</w:t>
      </w:r>
    </w:p>
    <w:p w14:paraId="1DEDBC22" w14:textId="00A0AA11" w:rsidR="00217103" w:rsidRPr="00AB1A82" w:rsidRDefault="00217103" w:rsidP="00EF6D6F">
      <w:pPr>
        <w:pStyle w:val="ListParagraph"/>
        <w:numPr>
          <w:ilvl w:val="2"/>
          <w:numId w:val="23"/>
        </w:numPr>
        <w:spacing w:after="240"/>
        <w:rPr>
          <w:b/>
        </w:rPr>
      </w:pPr>
      <w:r>
        <w:t>Communication 1 – holding statement</w:t>
      </w:r>
    </w:p>
    <w:p w14:paraId="301E9497" w14:textId="33C18CA3" w:rsidR="00AB1A82" w:rsidRPr="00217103" w:rsidRDefault="00AB1A82" w:rsidP="00AB1A82">
      <w:pPr>
        <w:pStyle w:val="ListParagraph"/>
        <w:numPr>
          <w:ilvl w:val="1"/>
          <w:numId w:val="20"/>
        </w:numPr>
        <w:spacing w:after="240"/>
        <w:rPr>
          <w:b/>
        </w:rPr>
      </w:pPr>
      <w:r>
        <w:t>Analysis</w:t>
      </w:r>
    </w:p>
    <w:p w14:paraId="2EA8FC68" w14:textId="21D6EC49" w:rsidR="00217103" w:rsidRPr="00AB1A82" w:rsidRDefault="00217103" w:rsidP="001E70AF">
      <w:pPr>
        <w:pStyle w:val="ListParagraph"/>
        <w:numPr>
          <w:ilvl w:val="2"/>
          <w:numId w:val="24"/>
        </w:numPr>
        <w:spacing w:after="240"/>
        <w:rPr>
          <w:b/>
        </w:rPr>
      </w:pPr>
      <w:r>
        <w:t>Communication 2 – press release</w:t>
      </w:r>
    </w:p>
    <w:p w14:paraId="7EEF0C8D" w14:textId="79883800" w:rsidR="00AB1A82" w:rsidRPr="00217103" w:rsidRDefault="00AB1A82" w:rsidP="00AB1A82">
      <w:pPr>
        <w:pStyle w:val="ListParagraph"/>
        <w:numPr>
          <w:ilvl w:val="1"/>
          <w:numId w:val="20"/>
        </w:numPr>
        <w:spacing w:after="240"/>
        <w:rPr>
          <w:b/>
        </w:rPr>
      </w:pPr>
      <w:r>
        <w:t>Containment</w:t>
      </w:r>
    </w:p>
    <w:p w14:paraId="4D3379D8" w14:textId="29078530" w:rsidR="00217103" w:rsidRPr="00AB1A82" w:rsidRDefault="00217103" w:rsidP="001E70AF">
      <w:pPr>
        <w:pStyle w:val="ListParagraph"/>
        <w:numPr>
          <w:ilvl w:val="2"/>
          <w:numId w:val="25"/>
        </w:numPr>
        <w:spacing w:after="240"/>
        <w:rPr>
          <w:b/>
        </w:rPr>
      </w:pPr>
      <w:r>
        <w:t>Communication 3 – dark site</w:t>
      </w:r>
    </w:p>
    <w:p w14:paraId="233D162B" w14:textId="1F05F813" w:rsidR="00AB1A82" w:rsidRPr="00217103" w:rsidRDefault="00AB1A82" w:rsidP="00AB1A82">
      <w:pPr>
        <w:pStyle w:val="ListParagraph"/>
        <w:numPr>
          <w:ilvl w:val="1"/>
          <w:numId w:val="20"/>
        </w:numPr>
        <w:spacing w:after="240"/>
        <w:rPr>
          <w:b/>
        </w:rPr>
      </w:pPr>
      <w:r>
        <w:t xml:space="preserve">Eradication </w:t>
      </w:r>
    </w:p>
    <w:p w14:paraId="208D42CE" w14:textId="13DB5323" w:rsidR="00217103" w:rsidRPr="00AB1A82" w:rsidRDefault="00217103" w:rsidP="001E70AF">
      <w:pPr>
        <w:pStyle w:val="ListParagraph"/>
        <w:numPr>
          <w:ilvl w:val="2"/>
          <w:numId w:val="26"/>
        </w:numPr>
        <w:spacing w:after="240"/>
        <w:rPr>
          <w:b/>
        </w:rPr>
      </w:pPr>
      <w:r>
        <w:t>Communication 4 – dark site update</w:t>
      </w:r>
    </w:p>
    <w:p w14:paraId="79D943AB" w14:textId="0DCC06D3" w:rsidR="00AB1A82" w:rsidRPr="00217103" w:rsidRDefault="00AB1A82" w:rsidP="00AB1A82">
      <w:pPr>
        <w:pStyle w:val="ListParagraph"/>
        <w:numPr>
          <w:ilvl w:val="1"/>
          <w:numId w:val="20"/>
        </w:numPr>
        <w:spacing w:after="240"/>
        <w:rPr>
          <w:b/>
        </w:rPr>
      </w:pPr>
      <w:r>
        <w:t>Recovery</w:t>
      </w:r>
    </w:p>
    <w:p w14:paraId="60113164" w14:textId="5F99BFEB" w:rsidR="00217103" w:rsidRPr="00AB1A82" w:rsidRDefault="00217103" w:rsidP="001E70AF">
      <w:pPr>
        <w:pStyle w:val="ListParagraph"/>
        <w:numPr>
          <w:ilvl w:val="2"/>
          <w:numId w:val="27"/>
        </w:numPr>
        <w:spacing w:after="240"/>
        <w:rPr>
          <w:b/>
        </w:rPr>
      </w:pPr>
      <w:r>
        <w:t>Communication 5 – press release or dark site update</w:t>
      </w:r>
    </w:p>
    <w:p w14:paraId="43E6D32C" w14:textId="77777777" w:rsidR="00217103" w:rsidRPr="00217103" w:rsidRDefault="00217103" w:rsidP="00217103">
      <w:pPr>
        <w:pStyle w:val="ListParagraph"/>
        <w:numPr>
          <w:ilvl w:val="1"/>
          <w:numId w:val="20"/>
        </w:numPr>
        <w:spacing w:after="240"/>
        <w:rPr>
          <w:b/>
        </w:rPr>
      </w:pPr>
      <w:r>
        <w:t>Post-Incident Activities</w:t>
      </w:r>
    </w:p>
    <w:p w14:paraId="6F0DCF3F" w14:textId="366C06D4" w:rsidR="00217103" w:rsidRPr="00217103" w:rsidRDefault="00217103" w:rsidP="001E70AF">
      <w:pPr>
        <w:pStyle w:val="ListParagraph"/>
        <w:numPr>
          <w:ilvl w:val="2"/>
          <w:numId w:val="28"/>
        </w:numPr>
        <w:spacing w:after="240"/>
        <w:rPr>
          <w:b/>
        </w:rPr>
      </w:pPr>
      <w:r>
        <w:t>Communication 6+ – appropriate statements, release</w:t>
      </w:r>
      <w:r w:rsidR="001E70AF">
        <w:t>s, or updates as needed.</w:t>
      </w:r>
      <w:r w:rsidR="004F3C5A">
        <w:br/>
      </w:r>
    </w:p>
    <w:p w14:paraId="50FC373C" w14:textId="45B1D783" w:rsidR="00B21A45" w:rsidRPr="00B21A45" w:rsidRDefault="00B21A45" w:rsidP="00B21A45">
      <w:pPr>
        <w:pStyle w:val="ListParagraph"/>
        <w:numPr>
          <w:ilvl w:val="0"/>
          <w:numId w:val="20"/>
        </w:numPr>
        <w:spacing w:after="240"/>
        <w:rPr>
          <w:b/>
        </w:rPr>
      </w:pPr>
      <w:r>
        <w:t xml:space="preserve">These communications should be modelled according </w:t>
      </w:r>
      <w:r w:rsidR="00BE5B4D">
        <w:t xml:space="preserve">to </w:t>
      </w:r>
      <w:r>
        <w:t xml:space="preserve">the examples provided in the </w:t>
      </w:r>
      <w:r w:rsidRPr="00B21A45">
        <w:t>Security Incident Communications Guidelines and Templates</w:t>
      </w:r>
      <w:r>
        <w:t xml:space="preserve"> document.</w:t>
      </w:r>
      <w:r>
        <w:br/>
      </w:r>
    </w:p>
    <w:p w14:paraId="3CCF8816" w14:textId="52A59B26" w:rsidR="004F3C5A" w:rsidRPr="004F3C5A" w:rsidRDefault="004F3C5A" w:rsidP="006E7C40">
      <w:pPr>
        <w:pStyle w:val="ListParagraph"/>
        <w:numPr>
          <w:ilvl w:val="0"/>
          <w:numId w:val="20"/>
        </w:numPr>
        <w:spacing w:after="240"/>
        <w:rPr>
          <w:b/>
        </w:rPr>
      </w:pPr>
      <w:r>
        <w:t>The above communication sequence is designed in the interest of transparency. However, the SIRT is permitted to alter this sequence if a majority of SIRT members agree that doing so is in the best interest of the remediation effort and</w:t>
      </w:r>
      <w:r w:rsidR="00BE5B4D">
        <w:t>/or</w:t>
      </w:r>
      <w:r>
        <w:t xml:space="preserve"> </w:t>
      </w:r>
      <w:r w:rsidRPr="004F3C5A">
        <w:rPr>
          <w:color w:val="808080" w:themeColor="background1" w:themeShade="80"/>
        </w:rPr>
        <w:t>[Organization]</w:t>
      </w:r>
      <w:r>
        <w:t>.</w:t>
      </w:r>
      <w:r>
        <w:br/>
      </w:r>
    </w:p>
    <w:p w14:paraId="764EB73A" w14:textId="648A183F" w:rsidR="00DC4387" w:rsidRPr="00DC4387" w:rsidRDefault="004F3C5A" w:rsidP="006E7C40">
      <w:pPr>
        <w:pStyle w:val="ListParagraph"/>
        <w:numPr>
          <w:ilvl w:val="0"/>
          <w:numId w:val="20"/>
        </w:numPr>
        <w:spacing w:after="240"/>
        <w:rPr>
          <w:b/>
        </w:rPr>
      </w:pPr>
      <w:r>
        <w:t xml:space="preserve">However, </w:t>
      </w:r>
      <w:r w:rsidRPr="004F3C5A">
        <w:rPr>
          <w:color w:val="808080" w:themeColor="background1" w:themeShade="80"/>
        </w:rPr>
        <w:t>[Organization’s]</w:t>
      </w:r>
      <w:r w:rsidR="001474EC">
        <w:rPr>
          <w:color w:val="808080" w:themeColor="background1" w:themeShade="80"/>
        </w:rPr>
        <w:t xml:space="preserve"> </w:t>
      </w:r>
      <w:r w:rsidR="00DC4387">
        <w:t>Incident Management R</w:t>
      </w:r>
      <w:r>
        <w:t>unbooks prescribe communications at certain times</w:t>
      </w:r>
      <w:r w:rsidR="001474EC">
        <w:t xml:space="preserve"> during the remediation process</w:t>
      </w:r>
      <w:r>
        <w:t xml:space="preserve">, and the schedule contained therein is </w:t>
      </w:r>
      <w:r w:rsidR="001474EC">
        <w:t xml:space="preserve">to be observed by the SIRT. Any </w:t>
      </w:r>
      <w:r>
        <w:t xml:space="preserve">deviations from the runbook’s communications </w:t>
      </w:r>
      <w:r w:rsidR="001474EC">
        <w:t>schedule</w:t>
      </w:r>
      <w:r>
        <w:t xml:space="preserve"> must be approved by </w:t>
      </w:r>
      <w:r w:rsidR="001474EC">
        <w:t>both the Communications/PR Coordinator and the IT Advisor</w:t>
      </w:r>
      <w:r w:rsidR="00DC4387">
        <w:t>.</w:t>
      </w:r>
    </w:p>
    <w:p w14:paraId="2329A89C" w14:textId="03398350" w:rsidR="00217103" w:rsidRPr="00DC4387" w:rsidRDefault="00DC4387" w:rsidP="00DC4387">
      <w:pPr>
        <w:spacing w:after="240"/>
        <w:ind w:left="360"/>
        <w:rPr>
          <w:b/>
        </w:rPr>
      </w:pPr>
      <w:r>
        <w:rPr>
          <w:color w:val="808080" w:themeColor="background1" w:themeShade="80"/>
        </w:rPr>
        <w:t xml:space="preserve">For more information on Incident Management Runbooks, see Info-Tech’s </w:t>
      </w:r>
      <w:hyperlink r:id="rId9" w:history="1">
        <w:r w:rsidRPr="00DC4387">
          <w:rPr>
            <w:rStyle w:val="Hyperlink"/>
            <w:i/>
            <w:color w:val="123B5B" w:themeColor="hyperlink" w:themeShade="80"/>
          </w:rPr>
          <w:t>Develop and Implement a Security Incident Management Program</w:t>
        </w:r>
      </w:hyperlink>
      <w:r>
        <w:rPr>
          <w:color w:val="808080" w:themeColor="background1" w:themeShade="80"/>
        </w:rPr>
        <w:t xml:space="preserve"> blueprint.</w:t>
      </w:r>
      <w:r w:rsidR="00217103">
        <w:br/>
      </w:r>
    </w:p>
    <w:p w14:paraId="34633697" w14:textId="66463232" w:rsidR="002D3999" w:rsidRPr="00766FAD" w:rsidRDefault="002D3999" w:rsidP="00ED2C4C">
      <w:pPr>
        <w:spacing w:after="240"/>
        <w:rPr>
          <w:b/>
        </w:rPr>
      </w:pPr>
      <w:r w:rsidRPr="00766FAD">
        <w:rPr>
          <w:b/>
        </w:rPr>
        <w:t>Internal and External Communications Protocol</w:t>
      </w:r>
    </w:p>
    <w:p w14:paraId="5D321B17" w14:textId="1DE331D7" w:rsidR="002D3999" w:rsidRPr="00766FAD" w:rsidRDefault="00BE0D6E" w:rsidP="00FE41EE">
      <w:pPr>
        <w:pStyle w:val="ListParagraph"/>
        <w:numPr>
          <w:ilvl w:val="0"/>
          <w:numId w:val="16"/>
        </w:numPr>
        <w:spacing w:before="120" w:after="120"/>
        <w:contextualSpacing w:val="0"/>
      </w:pPr>
      <w:r w:rsidRPr="00766FAD">
        <w:t>In the interest of transparency and trust within the organization</w:t>
      </w:r>
      <w:r w:rsidR="00766FAD">
        <w:t>,</w:t>
      </w:r>
      <w:r w:rsidRPr="00766FAD">
        <w:t xml:space="preserve"> </w:t>
      </w:r>
      <w:r w:rsidR="0069682B">
        <w:t>affected parties (as necessary)</w:t>
      </w:r>
      <w:r w:rsidRPr="00766FAD">
        <w:t xml:space="preserve"> will be provided with </w:t>
      </w:r>
      <w:r w:rsidR="002B6813">
        <w:t>a memo o</w:t>
      </w:r>
      <w:r w:rsidR="00BC0F97">
        <w:t>utlining the basic details</w:t>
      </w:r>
      <w:r w:rsidR="00C609FD">
        <w:t xml:space="preserve"> of</w:t>
      </w:r>
      <w:r w:rsidR="00BC0F97">
        <w:t xml:space="preserve"> each</w:t>
      </w:r>
      <w:r w:rsidR="00C609FD">
        <w:t xml:space="preserve"> </w:t>
      </w:r>
      <w:r w:rsidR="00E146A8">
        <w:t>security</w:t>
      </w:r>
      <w:r w:rsidRPr="00766FAD">
        <w:t xml:space="preserve"> incident</w:t>
      </w:r>
      <w:r w:rsidR="00E146A8">
        <w:t xml:space="preserve"> (but not</w:t>
      </w:r>
      <w:r w:rsidR="00C609FD">
        <w:t xml:space="preserve"> events</w:t>
      </w:r>
      <w:r w:rsidR="00E146A8">
        <w:t>)</w:t>
      </w:r>
      <w:r w:rsidR="00C609FD">
        <w:t xml:space="preserve"> and </w:t>
      </w:r>
      <w:r w:rsidR="00BC0F97">
        <w:t>its remediation once the incident is sufficiently contained</w:t>
      </w:r>
      <w:r w:rsidR="00E146A8">
        <w:t>. However, such memos will be release</w:t>
      </w:r>
      <w:r w:rsidR="00C609FD">
        <w:t>d</w:t>
      </w:r>
      <w:r w:rsidR="00E146A8">
        <w:t xml:space="preserve"> at</w:t>
      </w:r>
      <w:r w:rsidRPr="00766FAD">
        <w:t xml:space="preserve"> the discretion of the </w:t>
      </w:r>
      <w:r w:rsidR="0069682B">
        <w:t>SIRT</w:t>
      </w:r>
      <w:r w:rsidRPr="00766FAD">
        <w:t xml:space="preserve">, who may withhold such information if </w:t>
      </w:r>
      <w:r w:rsidR="00C609FD">
        <w:t>the incident</w:t>
      </w:r>
      <w:r w:rsidR="00E146A8">
        <w:t xml:space="preserve"> is </w:t>
      </w:r>
      <w:r w:rsidRPr="00766FAD">
        <w:t>deemed insignificant</w:t>
      </w:r>
      <w:r w:rsidR="00E146A8">
        <w:t>,</w:t>
      </w:r>
      <w:r w:rsidRPr="00766FAD">
        <w:t xml:space="preserve"> or if </w:t>
      </w:r>
      <w:r w:rsidR="00C609FD">
        <w:t xml:space="preserve">informing </w:t>
      </w:r>
      <w:r w:rsidR="00BC0F97">
        <w:t>employees</w:t>
      </w:r>
      <w:r w:rsidRPr="00766FAD">
        <w:t xml:space="preserve"> presents a </w:t>
      </w:r>
      <w:r w:rsidRPr="00C609FD">
        <w:rPr>
          <w:b/>
        </w:rPr>
        <w:t>reasonable risk</w:t>
      </w:r>
      <w:r w:rsidR="00E146A8">
        <w:t xml:space="preserve"> to </w:t>
      </w:r>
      <w:r w:rsidR="00E146A8" w:rsidRPr="00E146A8">
        <w:rPr>
          <w:color w:val="808080" w:themeColor="background1" w:themeShade="80"/>
        </w:rPr>
        <w:t>[Organization</w:t>
      </w:r>
      <w:r w:rsidR="00E146A8">
        <w:rPr>
          <w:color w:val="808080" w:themeColor="background1" w:themeShade="80"/>
        </w:rPr>
        <w:t>’s</w:t>
      </w:r>
      <w:r w:rsidR="00E146A8" w:rsidRPr="00E146A8">
        <w:rPr>
          <w:color w:val="808080" w:themeColor="background1" w:themeShade="80"/>
        </w:rPr>
        <w:t>]</w:t>
      </w:r>
      <w:r w:rsidR="00E146A8">
        <w:rPr>
          <w:color w:val="808080" w:themeColor="background1" w:themeShade="80"/>
        </w:rPr>
        <w:t xml:space="preserve"> </w:t>
      </w:r>
      <w:r w:rsidR="00E146A8" w:rsidRPr="00E146A8">
        <w:t>security</w:t>
      </w:r>
      <w:r w:rsidR="00E146A8">
        <w:t>. I</w:t>
      </w:r>
      <w:r w:rsidRPr="00766FAD">
        <w:t xml:space="preserve">f the risk level drops to a tolerable level, the </w:t>
      </w:r>
      <w:r w:rsidR="0069682B">
        <w:t>SIRT</w:t>
      </w:r>
      <w:r w:rsidRPr="00766FAD">
        <w:t xml:space="preserve"> will, if possible, issue a memo explaining the incident and why </w:t>
      </w:r>
      <w:r w:rsidR="00E146A8">
        <w:t>employees</w:t>
      </w:r>
      <w:r w:rsidRPr="00766FAD">
        <w:t xml:space="preserve"> </w:t>
      </w:r>
      <w:r w:rsidR="00C609FD">
        <w:t>were not able to be</w:t>
      </w:r>
      <w:r w:rsidRPr="00766FAD">
        <w:t xml:space="preserve"> immediately informed</w:t>
      </w:r>
      <w:r w:rsidR="00E146A8">
        <w:t xml:space="preserve"> of the incident</w:t>
      </w:r>
      <w:r w:rsidRPr="00766FAD">
        <w:t>.</w:t>
      </w:r>
    </w:p>
    <w:p w14:paraId="4EB97199" w14:textId="59FE14F3" w:rsidR="006E3E48" w:rsidRPr="00766FAD" w:rsidRDefault="006E3E48" w:rsidP="00FE41EE">
      <w:pPr>
        <w:pStyle w:val="ListParagraph"/>
        <w:numPr>
          <w:ilvl w:val="0"/>
          <w:numId w:val="16"/>
        </w:numPr>
        <w:spacing w:after="120"/>
        <w:contextualSpacing w:val="0"/>
      </w:pPr>
      <w:r w:rsidRPr="00766FAD">
        <w:t>External communicati</w:t>
      </w:r>
      <w:r w:rsidR="00854FD7" w:rsidRPr="00766FAD">
        <w:t xml:space="preserve">ons are to be supervised </w:t>
      </w:r>
      <w:r w:rsidR="00D80342">
        <w:t xml:space="preserve">and coordinated </w:t>
      </w:r>
      <w:r w:rsidR="00854FD7" w:rsidRPr="00766FAD">
        <w:t xml:space="preserve">by </w:t>
      </w:r>
      <w:r w:rsidR="00854FD7" w:rsidRPr="00ED2C4C">
        <w:rPr>
          <w:color w:val="808080" w:themeColor="background1" w:themeShade="80"/>
        </w:rPr>
        <w:t xml:space="preserve">[Organization’s] </w:t>
      </w:r>
      <w:r w:rsidR="00854FD7" w:rsidRPr="00766FAD">
        <w:t xml:space="preserve">spokesperson. The </w:t>
      </w:r>
      <w:r w:rsidR="0069682B">
        <w:t>SIRT</w:t>
      </w:r>
      <w:r w:rsidR="00854FD7" w:rsidRPr="00766FAD">
        <w:t xml:space="preserve"> </w:t>
      </w:r>
      <w:r w:rsidR="00D80342">
        <w:t>PR/</w:t>
      </w:r>
      <w:r w:rsidR="00854FD7" w:rsidRPr="00766FAD">
        <w:t>Communications Coordinator will be responsible for this job unless another member is deemed more appropriate</w:t>
      </w:r>
      <w:r w:rsidR="00DC4387">
        <w:t xml:space="preserve"> for a particular incident</w:t>
      </w:r>
      <w:r w:rsidR="00854FD7" w:rsidRPr="00766FAD">
        <w:t>, such a</w:t>
      </w:r>
      <w:r w:rsidR="00D80342">
        <w:t>s a</w:t>
      </w:r>
      <w:r w:rsidR="00854FD7" w:rsidRPr="00766FAD">
        <w:t xml:space="preserve"> crisis </w:t>
      </w:r>
      <w:r w:rsidR="0069682B">
        <w:t xml:space="preserve">requiring a public statement from the </w:t>
      </w:r>
      <w:r w:rsidR="00854FD7" w:rsidRPr="00766FAD">
        <w:t>CEO</w:t>
      </w:r>
      <w:r w:rsidR="0069682B">
        <w:t>.</w:t>
      </w:r>
    </w:p>
    <w:p w14:paraId="6912F17D" w14:textId="3408DD35" w:rsidR="006E3E48" w:rsidRPr="00766FAD" w:rsidRDefault="006E3E48" w:rsidP="00FE41EE">
      <w:pPr>
        <w:pStyle w:val="ListParagraph"/>
        <w:numPr>
          <w:ilvl w:val="0"/>
          <w:numId w:val="16"/>
        </w:numPr>
        <w:spacing w:after="120"/>
        <w:contextualSpacing w:val="0"/>
      </w:pPr>
      <w:r w:rsidRPr="00766FAD">
        <w:t>External communications are to be as honest and transparent as possible, but specific details will be issued on a need-to-know basis. External communications, such as press releases, holding statements, media interviews, etc., shall be crafted in a way that does not increase [Organization’s] security risks or legal exposure (e.g. statements shall not identify security vulnerabilities that have not yet been secured).</w:t>
      </w:r>
      <w:r w:rsidR="00D80342">
        <w:t xml:space="preserve"> </w:t>
      </w:r>
      <w:r w:rsidR="00D80342" w:rsidRPr="00D80342">
        <w:rPr>
          <w:b/>
        </w:rPr>
        <w:t xml:space="preserve">All </w:t>
      </w:r>
      <w:r w:rsidR="0069682B">
        <w:rPr>
          <w:b/>
        </w:rPr>
        <w:t>SIRT</w:t>
      </w:r>
      <w:r w:rsidR="00D80342" w:rsidRPr="00D80342">
        <w:rPr>
          <w:b/>
        </w:rPr>
        <w:t xml:space="preserve"> members have a duty to ensure communications do not </w:t>
      </w:r>
      <w:r w:rsidR="00D80342">
        <w:rPr>
          <w:b/>
        </w:rPr>
        <w:t>create</w:t>
      </w:r>
      <w:r w:rsidR="00D80342" w:rsidRPr="00D80342">
        <w:rPr>
          <w:b/>
        </w:rPr>
        <w:t xml:space="preserve"> additional security risks.</w:t>
      </w:r>
    </w:p>
    <w:p w14:paraId="015A5449" w14:textId="32A4EFD7" w:rsidR="00BE0D6E" w:rsidRPr="00766FAD" w:rsidRDefault="006E3E48" w:rsidP="00FE41EE">
      <w:pPr>
        <w:pStyle w:val="ListParagraph"/>
        <w:numPr>
          <w:ilvl w:val="0"/>
          <w:numId w:val="16"/>
        </w:numPr>
        <w:spacing w:after="120"/>
        <w:contextualSpacing w:val="0"/>
      </w:pPr>
      <w:r w:rsidRPr="00766FAD">
        <w:lastRenderedPageBreak/>
        <w:t>While investigation/remediation efforts are still on going, all written external communications shall include a date when the next update is expected. If an update cannot be released on the named date, the spokesperson will issue a revised timeline for the next update.</w:t>
      </w:r>
    </w:p>
    <w:p w14:paraId="39D4A236" w14:textId="7FFE0826" w:rsidR="00854FD7" w:rsidRDefault="0069682B" w:rsidP="00AB1A82">
      <w:pPr>
        <w:pStyle w:val="ListParagraph"/>
        <w:numPr>
          <w:ilvl w:val="0"/>
          <w:numId w:val="16"/>
        </w:numPr>
        <w:spacing w:after="120"/>
        <w:contextualSpacing w:val="0"/>
      </w:pPr>
      <w:r>
        <w:t>SIRT</w:t>
      </w:r>
      <w:r w:rsidR="00854FD7" w:rsidRPr="00766FAD">
        <w:t xml:space="preserve"> members shall work to ensure that external communications contain only information that is known for certain in order to prevent having to change </w:t>
      </w:r>
      <w:r w:rsidR="00854FD7" w:rsidRPr="00ED2C4C">
        <w:rPr>
          <w:color w:val="808080" w:themeColor="background1" w:themeShade="80"/>
        </w:rPr>
        <w:t xml:space="preserve">[Organization’s] </w:t>
      </w:r>
      <w:r w:rsidR="00854FD7" w:rsidRPr="00766FAD">
        <w:t xml:space="preserve">message with each information update (i.e. external communications </w:t>
      </w:r>
      <w:r w:rsidR="00D80342">
        <w:t>shall</w:t>
      </w:r>
      <w:r w:rsidR="00854FD7" w:rsidRPr="00766FAD">
        <w:t xml:space="preserve"> </w:t>
      </w:r>
      <w:r w:rsidR="00D80342">
        <w:t>update</w:t>
      </w:r>
      <w:r w:rsidR="00854FD7" w:rsidRPr="00766FAD">
        <w:t xml:space="preserve"> the story as new information becomes available rather than change the story with each statement).</w:t>
      </w:r>
    </w:p>
    <w:p w14:paraId="552204CB" w14:textId="77777777" w:rsidR="00AB1A82" w:rsidRPr="00766FAD" w:rsidRDefault="00AB1A82" w:rsidP="00AB1A82">
      <w:pPr>
        <w:spacing w:after="120"/>
      </w:pPr>
    </w:p>
    <w:p w14:paraId="508BF655" w14:textId="2567B7DA" w:rsidR="00854FD7" w:rsidRPr="00766FAD" w:rsidRDefault="00854FD7" w:rsidP="00ED2C4C">
      <w:pPr>
        <w:spacing w:after="240"/>
        <w:rPr>
          <w:b/>
        </w:rPr>
      </w:pPr>
      <w:r w:rsidRPr="00766FAD">
        <w:rPr>
          <w:b/>
        </w:rPr>
        <w:t>Media Interactions</w:t>
      </w:r>
    </w:p>
    <w:p w14:paraId="1704E3A4" w14:textId="7E6F5755" w:rsidR="00854FD7" w:rsidRPr="00766FAD" w:rsidRDefault="00B5232D" w:rsidP="00FE41EE">
      <w:pPr>
        <w:pStyle w:val="ListParagraph"/>
        <w:numPr>
          <w:ilvl w:val="0"/>
          <w:numId w:val="17"/>
        </w:numPr>
        <w:spacing w:after="120"/>
        <w:contextualSpacing w:val="0"/>
      </w:pPr>
      <w:r w:rsidRPr="00766FAD">
        <w:t>Unless otherwise stated, only the spokesperson will address the media.</w:t>
      </w:r>
    </w:p>
    <w:p w14:paraId="2148BC5F" w14:textId="6434228E" w:rsidR="00B5232D" w:rsidRPr="00766FAD" w:rsidRDefault="00B5232D" w:rsidP="00FE41EE">
      <w:pPr>
        <w:pStyle w:val="ListParagraph"/>
        <w:numPr>
          <w:ilvl w:val="0"/>
          <w:numId w:val="17"/>
        </w:numPr>
        <w:spacing w:after="120"/>
        <w:contextualSpacing w:val="0"/>
      </w:pPr>
      <w:r w:rsidRPr="00766FAD">
        <w:t>In the event that others need to speak to the media, guidelines for what can and cannot be stated m</w:t>
      </w:r>
      <w:r w:rsidR="002B6813">
        <w:t xml:space="preserve">ust be provided not less than </w:t>
      </w:r>
      <w:r w:rsidR="002B6813" w:rsidRPr="002B6813">
        <w:rPr>
          <w:color w:val="808080" w:themeColor="background1" w:themeShade="80"/>
        </w:rPr>
        <w:t>[72</w:t>
      </w:r>
      <w:r w:rsidRPr="002B6813">
        <w:rPr>
          <w:color w:val="808080" w:themeColor="background1" w:themeShade="80"/>
        </w:rPr>
        <w:t xml:space="preserve"> hours</w:t>
      </w:r>
      <w:r w:rsidR="002B6813" w:rsidRPr="002B6813">
        <w:rPr>
          <w:color w:val="808080" w:themeColor="background1" w:themeShade="80"/>
        </w:rPr>
        <w:t>]</w:t>
      </w:r>
      <w:r w:rsidRPr="002B6813">
        <w:rPr>
          <w:color w:val="808080" w:themeColor="background1" w:themeShade="80"/>
        </w:rPr>
        <w:t xml:space="preserve"> </w:t>
      </w:r>
      <w:r w:rsidRPr="00766FAD">
        <w:t>before the</w:t>
      </w:r>
      <w:r w:rsidR="002B6813">
        <w:t xml:space="preserve"> scheduled</w:t>
      </w:r>
      <w:r w:rsidRPr="00766FAD">
        <w:t xml:space="preserve"> media interaction</w:t>
      </w:r>
      <w:r w:rsidR="002B6813">
        <w:t>.</w:t>
      </w:r>
    </w:p>
    <w:p w14:paraId="5A73FF48" w14:textId="0E106CFA" w:rsidR="00B5232D" w:rsidRPr="00766FAD" w:rsidRDefault="00B5232D" w:rsidP="00FE41EE">
      <w:pPr>
        <w:pStyle w:val="ListParagraph"/>
        <w:numPr>
          <w:ilvl w:val="0"/>
          <w:numId w:val="17"/>
        </w:numPr>
        <w:spacing w:after="120"/>
        <w:contextualSpacing w:val="0"/>
      </w:pPr>
      <w:r w:rsidRPr="00766FAD">
        <w:t xml:space="preserve">In the interest of limiting the media’s requests to speak directly to general employees, the </w:t>
      </w:r>
      <w:r w:rsidR="0069682B">
        <w:t>SIRT</w:t>
      </w:r>
      <w:r w:rsidRPr="00766FAD">
        <w:t xml:space="preserve"> will work to ensure that a holding statement or press release is available to the public as soon as possible.</w:t>
      </w:r>
      <w:r w:rsidR="002B6813">
        <w:t xml:space="preserve"> Also, the spokesperson will make themselves available for interviews, etc. as a means to promote transparency and a positive corporate image. All statements shall be made with due dil</w:t>
      </w:r>
      <w:r w:rsidR="00387257">
        <w:t xml:space="preserve">igence to honesty, transparency, </w:t>
      </w:r>
      <w:r w:rsidR="002B6813">
        <w:t>respect</w:t>
      </w:r>
      <w:r w:rsidR="00387257">
        <w:t xml:space="preserve">, empathy, </w:t>
      </w:r>
      <w:r w:rsidR="002B6813">
        <w:t>restoring public trust</w:t>
      </w:r>
      <w:r w:rsidR="00387257">
        <w:t>,</w:t>
      </w:r>
      <w:r w:rsidR="002B6813">
        <w:t xml:space="preserve"> and limiting reputational damage.</w:t>
      </w:r>
    </w:p>
    <w:p w14:paraId="22F08A33" w14:textId="77777777" w:rsidR="00B5232D" w:rsidRPr="00766FAD" w:rsidRDefault="00B5232D" w:rsidP="00ED2C4C">
      <w:pPr>
        <w:spacing w:after="240"/>
      </w:pPr>
    </w:p>
    <w:p w14:paraId="7EDA3BD3" w14:textId="153600BF" w:rsidR="00B5232D" w:rsidRPr="00766FAD" w:rsidRDefault="00B5232D" w:rsidP="00ED2C4C">
      <w:pPr>
        <w:spacing w:after="240"/>
        <w:rPr>
          <w:b/>
        </w:rPr>
      </w:pPr>
      <w:r w:rsidRPr="00766FAD">
        <w:rPr>
          <w:b/>
        </w:rPr>
        <w:t>Post-Incident Review</w:t>
      </w:r>
    </w:p>
    <w:p w14:paraId="53C752DD" w14:textId="37FFFF0C" w:rsidR="00B5232D" w:rsidRDefault="00B5232D" w:rsidP="00FE41EE">
      <w:pPr>
        <w:pStyle w:val="ListParagraph"/>
        <w:numPr>
          <w:ilvl w:val="0"/>
          <w:numId w:val="18"/>
        </w:numPr>
        <w:spacing w:after="120"/>
        <w:contextualSpacing w:val="0"/>
      </w:pPr>
      <w:r w:rsidRPr="00766FAD">
        <w:t xml:space="preserve">After all incidents requiring external communications, the </w:t>
      </w:r>
      <w:r w:rsidR="0069682B">
        <w:t>SIRT</w:t>
      </w:r>
      <w:r w:rsidRPr="00766FAD">
        <w:t xml:space="preserve"> will conduct a post-incident review in order to discuss what elements of the Security Incident Response Plan were well executed and what areas need to</w:t>
      </w:r>
      <w:r w:rsidR="00B21A45">
        <w:t xml:space="preserve"> be</w:t>
      </w:r>
      <w:r w:rsidRPr="00766FAD">
        <w:t xml:space="preserve"> </w:t>
      </w:r>
      <w:r w:rsidR="002B6813">
        <w:t>improved</w:t>
      </w:r>
      <w:r w:rsidRPr="00766FAD">
        <w:t xml:space="preserve"> or otherwise changed to promote</w:t>
      </w:r>
      <w:r w:rsidR="002B6813">
        <w:t xml:space="preserve"> the development of</w:t>
      </w:r>
      <w:r w:rsidRPr="00766FAD">
        <w:t xml:space="preserve"> a more effective communications plan</w:t>
      </w:r>
      <w:r w:rsidR="002B6813">
        <w:t xml:space="preserve"> </w:t>
      </w:r>
      <w:r w:rsidR="00B21A45">
        <w:t>for future use</w:t>
      </w:r>
      <w:r w:rsidR="002B6813">
        <w:t>.</w:t>
      </w:r>
    </w:p>
    <w:p w14:paraId="72E1AB78" w14:textId="06EE02C2" w:rsidR="00582D6E" w:rsidRDefault="00582D6E" w:rsidP="00FE41EE">
      <w:pPr>
        <w:pStyle w:val="ListParagraph"/>
        <w:numPr>
          <w:ilvl w:val="0"/>
          <w:numId w:val="18"/>
        </w:numPr>
        <w:spacing w:after="120"/>
        <w:contextualSpacing w:val="0"/>
      </w:pPr>
      <w:r>
        <w:t xml:space="preserve">When appropriate, the </w:t>
      </w:r>
      <w:r w:rsidR="0069682B">
        <w:t>SIRT</w:t>
      </w:r>
      <w:r>
        <w:t xml:space="preserve"> will put together a report of the incident to be shared with industry peers as a means of increasing the all-around security </w:t>
      </w:r>
      <w:r w:rsidR="002B6813">
        <w:t>within</w:t>
      </w:r>
      <w:r>
        <w:t xml:space="preserve"> the industry and improving peer relations.</w:t>
      </w:r>
    </w:p>
    <w:p w14:paraId="6E9692D5" w14:textId="77777777" w:rsidR="00B21A45" w:rsidRDefault="00B21A45" w:rsidP="00B21A45">
      <w:pPr>
        <w:spacing w:after="120"/>
      </w:pPr>
    </w:p>
    <w:p w14:paraId="2CCD28B6" w14:textId="68405C14" w:rsidR="00B21A45" w:rsidRPr="00B21A45" w:rsidRDefault="00B21A45" w:rsidP="00B21A45">
      <w:pPr>
        <w:spacing w:after="120"/>
        <w:rPr>
          <w:b/>
        </w:rPr>
      </w:pPr>
      <w:r w:rsidRPr="00B21A45">
        <w:rPr>
          <w:b/>
        </w:rPr>
        <w:t>Alignment of Communications and General Incident Response Policies</w:t>
      </w:r>
    </w:p>
    <w:p w14:paraId="3C98A401" w14:textId="2BD8D5B5" w:rsidR="00B21A45" w:rsidRDefault="00B21A45" w:rsidP="00B21A45">
      <w:pPr>
        <w:pStyle w:val="ListParagraph"/>
        <w:numPr>
          <w:ilvl w:val="0"/>
          <w:numId w:val="21"/>
        </w:numPr>
        <w:spacing w:after="120"/>
      </w:pPr>
      <w:r>
        <w:t>This incident response communications policy is to be used in conjunction with the Information Security Incident Management Policy</w:t>
      </w:r>
      <w:r w:rsidR="00E86B95">
        <w:t xml:space="preserve">, which outlines </w:t>
      </w:r>
      <w:r w:rsidR="00E86B95" w:rsidRPr="00E86B95">
        <w:rPr>
          <w:color w:val="808080" w:themeColor="background1" w:themeShade="80"/>
        </w:rPr>
        <w:t>[Organization’s]</w:t>
      </w:r>
      <w:r w:rsidR="00267FCE">
        <w:t xml:space="preserve"> incident-</w:t>
      </w:r>
      <w:r w:rsidR="00E86B95">
        <w:t xml:space="preserve">response </w:t>
      </w:r>
      <w:r w:rsidR="00267FCE">
        <w:t>procedures</w:t>
      </w:r>
      <w:r w:rsidR="00E86B95">
        <w:t xml:space="preserve"> more generally.</w:t>
      </w:r>
    </w:p>
    <w:p w14:paraId="702DB653" w14:textId="31BD13DE" w:rsidR="003320A2" w:rsidRDefault="003320A2" w:rsidP="003320A2">
      <w:pPr>
        <w:pStyle w:val="Heading1"/>
      </w:pPr>
      <w:r>
        <w:t>Exceptions</w:t>
      </w:r>
    </w:p>
    <w:p w14:paraId="574BF112" w14:textId="22D9C357" w:rsidR="003320A2" w:rsidRPr="00A6785D" w:rsidRDefault="003320A2" w:rsidP="00A6785D">
      <w:pPr>
        <w:rPr>
          <w:color w:val="808080" w:themeColor="background1" w:themeShade="80"/>
        </w:rPr>
      </w:pPr>
      <w:r w:rsidRPr="004042A6">
        <w:rPr>
          <w:color w:val="808080" w:themeColor="background1" w:themeShade="80"/>
        </w:rPr>
        <w:t xml:space="preserve">Define any </w:t>
      </w:r>
      <w:r>
        <w:rPr>
          <w:color w:val="808080" w:themeColor="background1" w:themeShade="80"/>
        </w:rPr>
        <w:t>exceptions to the above policy statements.</w:t>
      </w:r>
    </w:p>
    <w:p w14:paraId="1F074A2E" w14:textId="77777777" w:rsidR="00A6785D" w:rsidRDefault="00A6785D" w:rsidP="00A6785D">
      <w:pPr>
        <w:pStyle w:val="Heading1"/>
      </w:pPr>
      <w:r>
        <w:t>Governing Laws and Regulations</w:t>
      </w:r>
    </w:p>
    <w:p w14:paraId="1F074A30" w14:textId="4452CBA5" w:rsidR="00826781" w:rsidRDefault="00A6785D" w:rsidP="00A6785D">
      <w:pPr>
        <w:rPr>
          <w:color w:val="808080" w:themeColor="background1" w:themeShade="80"/>
        </w:rPr>
      </w:pPr>
      <w:r w:rsidRPr="002E5BC9">
        <w:rPr>
          <w:color w:val="808080" w:themeColor="background1" w:themeShade="80"/>
        </w:rPr>
        <w:t>If applicable, list any laws or regulations that govern the policy or with which the policy must comply. Confirm with the legal department that the list is full and accurate.</w:t>
      </w:r>
      <w:r w:rsidR="00766FAD">
        <w:rPr>
          <w:color w:val="808080" w:themeColor="background1" w:themeShade="80"/>
        </w:rPr>
        <w:t xml:space="preserve"> Use this section to summarize the ways that each regulation or law may affect your organization’s communications effort.</w:t>
      </w:r>
    </w:p>
    <w:p w14:paraId="79762B81" w14:textId="77777777" w:rsidR="00B5232D" w:rsidRDefault="00B5232D" w:rsidP="00A6785D">
      <w:pPr>
        <w:rPr>
          <w:color w:val="808080" w:themeColor="background1" w:themeShade="80"/>
        </w:rPr>
      </w:pPr>
    </w:p>
    <w:p w14:paraId="4CD020A3" w14:textId="5487F649" w:rsidR="00766FAD" w:rsidRDefault="00B5232D" w:rsidP="00A6785D">
      <w:r>
        <w:rPr>
          <w:color w:val="808080" w:themeColor="background1" w:themeShade="80"/>
        </w:rPr>
        <w:t xml:space="preserve">[Organization] </w:t>
      </w:r>
      <w:r w:rsidRPr="00B5232D">
        <w:t>is required to comply with th</w:t>
      </w:r>
      <w:r w:rsidR="00766FAD">
        <w:t>e following laws and regulations:</w:t>
      </w:r>
    </w:p>
    <w:p w14:paraId="6780E5C7" w14:textId="77777777" w:rsidR="00766FAD" w:rsidRDefault="00766FAD" w:rsidP="00A6785D"/>
    <w:p w14:paraId="1E6475D3" w14:textId="4EC33FCC" w:rsidR="00B5232D" w:rsidRPr="00B5232D" w:rsidRDefault="00B5232D" w:rsidP="00A6785D">
      <w:pPr>
        <w:rPr>
          <w:color w:val="808080" w:themeColor="background1" w:themeShade="80"/>
        </w:rPr>
      </w:pPr>
      <w:r>
        <w:rPr>
          <w:color w:val="808080" w:themeColor="background1" w:themeShade="80"/>
        </w:rPr>
        <w:t>E.g. GDPR</w:t>
      </w:r>
      <w:r w:rsidR="00766FAD">
        <w:rPr>
          <w:color w:val="808080" w:themeColor="background1" w:themeShade="80"/>
        </w:rPr>
        <w:t xml:space="preserve"> – supervisory agency must be notified of a data breach within 72</w:t>
      </w:r>
      <w:r w:rsidR="00387257">
        <w:rPr>
          <w:color w:val="808080" w:themeColor="background1" w:themeShade="80"/>
        </w:rPr>
        <w:t xml:space="preserve"> hours</w:t>
      </w:r>
      <w:r w:rsidR="00766FAD">
        <w:rPr>
          <w:color w:val="808080" w:themeColor="background1" w:themeShade="80"/>
        </w:rPr>
        <w:t>; stakeholders must also be informed in plain language without undue delay.</w:t>
      </w:r>
    </w:p>
    <w:p w14:paraId="1F074A31" w14:textId="77777777" w:rsidR="00A6785D" w:rsidRDefault="00826781" w:rsidP="00CE78E3">
      <w:pPr>
        <w:pStyle w:val="Heading1"/>
      </w:pPr>
      <w:r>
        <w:lastRenderedPageBreak/>
        <w:t>Non-Compliance</w:t>
      </w:r>
    </w:p>
    <w:p w14:paraId="1F074A33" w14:textId="0A4DA81D" w:rsidR="00826781" w:rsidRDefault="00826781" w:rsidP="00826781">
      <w:pPr>
        <w:rPr>
          <w:color w:val="808080" w:themeColor="background1" w:themeShade="80"/>
        </w:rPr>
      </w:pPr>
      <w:r w:rsidRPr="004042A6">
        <w:rPr>
          <w:color w:val="808080" w:themeColor="background1" w:themeShade="80"/>
        </w:rPr>
        <w:t>Clearly describe consequences (legal and/or disciplinary) for employee non-compliance with the policy. It may be pertinent to describe the escalation process for repeated non-compliance.</w:t>
      </w:r>
    </w:p>
    <w:p w14:paraId="7073FD18" w14:textId="77777777" w:rsidR="00CE78E3" w:rsidRDefault="00CE78E3" w:rsidP="00826781">
      <w:pPr>
        <w:rPr>
          <w:color w:val="808080" w:themeColor="background1" w:themeShade="80"/>
        </w:rPr>
      </w:pPr>
    </w:p>
    <w:p w14:paraId="123B3F2E" w14:textId="1B6EDB9C" w:rsidR="00CE78E3" w:rsidRPr="00A04749" w:rsidRDefault="00CE78E3" w:rsidP="00CE78E3">
      <w:pPr>
        <w:rPr>
          <w:rFonts w:cs="Arial"/>
          <w:color w:val="333333" w:themeColor="text1"/>
        </w:rPr>
      </w:pPr>
      <w:r w:rsidRPr="00A04749">
        <w:rPr>
          <w:rFonts w:cs="Arial"/>
          <w:color w:val="333333" w:themeColor="text1"/>
        </w:rPr>
        <w:t xml:space="preserve">Violations of this policy will be treated like other allegations of wrongdoing at </w:t>
      </w:r>
      <w:r w:rsidRPr="007D5695">
        <w:rPr>
          <w:rFonts w:cs="Arial"/>
          <w:color w:val="808080" w:themeColor="background1" w:themeShade="80"/>
        </w:rPr>
        <w:t>[</w:t>
      </w:r>
      <w:r>
        <w:rPr>
          <w:rFonts w:cs="Arial"/>
          <w:color w:val="808080" w:themeColor="background1" w:themeShade="80"/>
        </w:rPr>
        <w:t>Organization</w:t>
      </w:r>
      <w:r w:rsidRPr="007D5695">
        <w:rPr>
          <w:rFonts w:cs="Arial"/>
          <w:color w:val="808080" w:themeColor="background1" w:themeShade="80"/>
        </w:rPr>
        <w:t>]</w:t>
      </w:r>
      <w:r w:rsidRPr="00A04749">
        <w:rPr>
          <w:rFonts w:cs="Arial"/>
          <w:color w:val="333333" w:themeColor="text1"/>
        </w:rPr>
        <w:t>. Allegations of misconduct will be adjudicated according to established procedures. Sanctions for non-compliance may include, but are not limited to, one or more of the following:</w:t>
      </w:r>
    </w:p>
    <w:p w14:paraId="05F385E8" w14:textId="77777777" w:rsidR="00CE78E3" w:rsidRPr="00A04749" w:rsidRDefault="00CE78E3" w:rsidP="00CE78E3">
      <w:pPr>
        <w:rPr>
          <w:rFonts w:cs="Arial"/>
          <w:color w:val="333333" w:themeColor="text1"/>
        </w:rPr>
      </w:pPr>
    </w:p>
    <w:p w14:paraId="6A64BF9D" w14:textId="3DCC342A" w:rsidR="00CE78E3" w:rsidRPr="00A04749" w:rsidRDefault="00CE78E3" w:rsidP="00CE78E3">
      <w:pPr>
        <w:pStyle w:val="ListNumber2"/>
        <w:rPr>
          <w:rFonts w:cs="Arial"/>
          <w:color w:val="333333" w:themeColor="text1"/>
        </w:rPr>
      </w:pPr>
      <w:r w:rsidRPr="00A04749">
        <w:rPr>
          <w:rFonts w:cs="Arial"/>
          <w:color w:val="333333" w:themeColor="text1"/>
        </w:rPr>
        <w:t xml:space="preserve">Disciplinary action according to applicable </w:t>
      </w:r>
      <w:r w:rsidRPr="007D5695">
        <w:rPr>
          <w:rFonts w:cs="Arial"/>
          <w:color w:val="808080" w:themeColor="background1" w:themeShade="80"/>
        </w:rPr>
        <w:t>[</w:t>
      </w:r>
      <w:r>
        <w:rPr>
          <w:rFonts w:cs="Arial"/>
          <w:color w:val="808080" w:themeColor="background1" w:themeShade="80"/>
        </w:rPr>
        <w:t>Organization’s</w:t>
      </w:r>
      <w:r w:rsidRPr="007D5695">
        <w:rPr>
          <w:rFonts w:cs="Arial"/>
          <w:color w:val="808080" w:themeColor="background1" w:themeShade="80"/>
        </w:rPr>
        <w:t xml:space="preserve">] </w:t>
      </w:r>
      <w:r w:rsidRPr="00A04749">
        <w:rPr>
          <w:rFonts w:cs="Arial"/>
          <w:color w:val="333333" w:themeColor="text1"/>
        </w:rPr>
        <w:t>policies</w:t>
      </w:r>
      <w:r>
        <w:rPr>
          <w:rFonts w:cs="Arial"/>
          <w:color w:val="333333" w:themeColor="text1"/>
        </w:rPr>
        <w:t>.</w:t>
      </w:r>
      <w:r w:rsidRPr="00A04749">
        <w:rPr>
          <w:rFonts w:cs="Arial"/>
          <w:color w:val="333333" w:themeColor="text1"/>
        </w:rPr>
        <w:t xml:space="preserve"> </w:t>
      </w:r>
    </w:p>
    <w:p w14:paraId="3617DBED" w14:textId="77777777" w:rsidR="00CE78E3" w:rsidRPr="00A04749" w:rsidRDefault="00CE78E3" w:rsidP="00CE78E3">
      <w:pPr>
        <w:pStyle w:val="ListNumber2"/>
        <w:rPr>
          <w:rFonts w:cs="Arial"/>
          <w:color w:val="333333" w:themeColor="text1"/>
        </w:rPr>
      </w:pPr>
      <w:r w:rsidRPr="00A04749">
        <w:rPr>
          <w:rFonts w:cs="Arial"/>
          <w:color w:val="333333" w:themeColor="text1"/>
        </w:rPr>
        <w:t>T</w:t>
      </w:r>
      <w:r>
        <w:rPr>
          <w:rFonts w:cs="Arial"/>
          <w:color w:val="333333" w:themeColor="text1"/>
        </w:rPr>
        <w:t>ermination of employment.</w:t>
      </w:r>
    </w:p>
    <w:p w14:paraId="4C5CF088" w14:textId="77777777" w:rsidR="00CE78E3" w:rsidRPr="00A04749" w:rsidRDefault="00CE78E3" w:rsidP="00CE78E3">
      <w:pPr>
        <w:pStyle w:val="ListNumber2"/>
        <w:rPr>
          <w:rFonts w:cs="Arial"/>
          <w:color w:val="333333" w:themeColor="text1"/>
        </w:rPr>
      </w:pPr>
      <w:r w:rsidRPr="00A04749">
        <w:rPr>
          <w:rFonts w:cs="Arial"/>
          <w:color w:val="333333" w:themeColor="text1"/>
        </w:rPr>
        <w:t>Legal action according to applicable laws and contractual agreements.</w:t>
      </w:r>
    </w:p>
    <w:p w14:paraId="2CC1648D" w14:textId="77777777" w:rsidR="00CE78E3" w:rsidRDefault="00CE78E3" w:rsidP="00826781">
      <w:pPr>
        <w:rPr>
          <w:color w:val="808080" w:themeColor="background1" w:themeShade="80"/>
        </w:rPr>
      </w:pPr>
    </w:p>
    <w:p w14:paraId="13D6A1ED" w14:textId="5CC9ED72" w:rsidR="003320A2" w:rsidRPr="00E2245B" w:rsidRDefault="003320A2" w:rsidP="00CE78E3">
      <w:pPr>
        <w:pStyle w:val="Heading3"/>
        <w:rPr>
          <w:kern w:val="32"/>
          <w:sz w:val="32"/>
          <w:szCs w:val="32"/>
        </w:rPr>
      </w:pPr>
      <w:r w:rsidRPr="00E2245B">
        <w:rPr>
          <w:kern w:val="32"/>
          <w:sz w:val="32"/>
          <w:szCs w:val="32"/>
        </w:rPr>
        <w:t>Relevant Procedures, Standards,</w:t>
      </w:r>
      <w:r w:rsidR="00CE78E3">
        <w:rPr>
          <w:kern w:val="32"/>
          <w:sz w:val="32"/>
          <w:szCs w:val="32"/>
        </w:rPr>
        <w:t xml:space="preserve"> Policies,</w:t>
      </w:r>
      <w:r w:rsidRPr="00E2245B">
        <w:rPr>
          <w:kern w:val="32"/>
          <w:sz w:val="32"/>
          <w:szCs w:val="32"/>
        </w:rPr>
        <w:t xml:space="preserve"> and Processes</w:t>
      </w:r>
    </w:p>
    <w:p w14:paraId="5CD70EC5" w14:textId="77777777" w:rsidR="00CE78E3" w:rsidRPr="00C1155D" w:rsidRDefault="00CE78E3" w:rsidP="00CE78E3">
      <w:pPr>
        <w:rPr>
          <w:rFonts w:cs="Arial"/>
          <w:color w:val="808080" w:themeColor="background1" w:themeShade="80"/>
          <w:szCs w:val="20"/>
        </w:rPr>
      </w:pPr>
      <w:r w:rsidRPr="00C1155D">
        <w:rPr>
          <w:rFonts w:cs="Arial"/>
          <w:color w:val="808080" w:themeColor="background1" w:themeShade="80"/>
          <w:szCs w:val="20"/>
        </w:rPr>
        <w:t>Consider creating formal procedure documents that reinforce and support the policy statements above. Note, it is best practice to house policies and procedures in separate documents to keep the content focused and reduce the number of times the policy must be reapproved by senior management.</w:t>
      </w:r>
    </w:p>
    <w:p w14:paraId="2C0EC01D" w14:textId="77777777" w:rsidR="003320A2" w:rsidRPr="00E2245B" w:rsidRDefault="003320A2" w:rsidP="003320A2">
      <w:pPr>
        <w:rPr>
          <w:rFonts w:cs="Arial"/>
        </w:rPr>
      </w:pPr>
    </w:p>
    <w:p w14:paraId="68F79B62" w14:textId="77777777" w:rsidR="00630C7D" w:rsidRDefault="00630C7D" w:rsidP="00630C7D">
      <w:pPr>
        <w:pStyle w:val="Heading1"/>
      </w:pPr>
      <w:r>
        <w:t>Agreement</w:t>
      </w:r>
    </w:p>
    <w:p w14:paraId="7E10FD3A" w14:textId="77777777" w:rsidR="00630C7D" w:rsidRDefault="00630C7D" w:rsidP="00630C7D">
      <w:pPr>
        <w:rPr>
          <w:rFonts w:cs="Arial"/>
        </w:rPr>
      </w:pPr>
    </w:p>
    <w:p w14:paraId="6CCF9939" w14:textId="77777777" w:rsidR="00630C7D" w:rsidRDefault="00630C7D" w:rsidP="00630C7D">
      <w:pPr>
        <w:rPr>
          <w:rFonts w:cs="Arial"/>
          <w:color w:val="808080" w:themeColor="background1" w:themeShade="80"/>
        </w:rPr>
      </w:pPr>
      <w:r>
        <w:rPr>
          <w:rFonts w:cs="Arial"/>
          <w:color w:val="808080" w:themeColor="background1" w:themeShade="80"/>
        </w:rPr>
        <w:t xml:space="preserve">Include a section that confirms understanding and agreement to comply with the policy. Both signatures and dates are required. A sample statement is provided below. </w:t>
      </w:r>
    </w:p>
    <w:p w14:paraId="733602FC" w14:textId="77777777" w:rsidR="00630C7D" w:rsidRDefault="00630C7D" w:rsidP="00630C7D">
      <w:pPr>
        <w:rPr>
          <w:rFonts w:cs="Arial"/>
          <w:color w:val="808080"/>
        </w:rPr>
      </w:pPr>
    </w:p>
    <w:p w14:paraId="7A1D714F" w14:textId="175FD288" w:rsidR="00630C7D" w:rsidRDefault="00CE78E3" w:rsidP="00630C7D">
      <w:pPr>
        <w:rPr>
          <w:rFonts w:cs="Arial"/>
        </w:rPr>
      </w:pPr>
      <w:r>
        <w:rPr>
          <w:rFonts w:cs="Arial"/>
        </w:rPr>
        <w:t>I have read and understoo</w:t>
      </w:r>
      <w:r w:rsidR="00630C7D">
        <w:rPr>
          <w:rFonts w:cs="Arial"/>
        </w:rPr>
        <w:t>d the</w:t>
      </w:r>
      <w:r>
        <w:rPr>
          <w:rFonts w:cs="Arial"/>
        </w:rPr>
        <w:t xml:space="preserve"> Security </w:t>
      </w:r>
      <w:r w:rsidR="002B0348">
        <w:rPr>
          <w:rFonts w:cs="Arial"/>
        </w:rPr>
        <w:t>Incident Response Team</w:t>
      </w:r>
      <w:r>
        <w:rPr>
          <w:rFonts w:cs="Arial"/>
        </w:rPr>
        <w:t xml:space="preserve"> Policy</w:t>
      </w:r>
      <w:r w:rsidR="00630C7D">
        <w:rPr>
          <w:rFonts w:cs="Arial"/>
        </w:rPr>
        <w:t>. I understand that if I vio</w:t>
      </w:r>
      <w:r w:rsidR="00F119A6">
        <w:rPr>
          <w:rFonts w:cs="Arial"/>
        </w:rPr>
        <w:t>late the rules explained herein</w:t>
      </w:r>
      <w:r w:rsidR="00630C7D">
        <w:rPr>
          <w:rFonts w:cs="Arial"/>
        </w:rPr>
        <w:t xml:space="preserve"> I may face legal or disciplinary action according to applicable laws or company policy.</w:t>
      </w:r>
    </w:p>
    <w:p w14:paraId="5690D5F7" w14:textId="77777777" w:rsidR="00630C7D" w:rsidRDefault="00630C7D" w:rsidP="00630C7D">
      <w:pPr>
        <w:rPr>
          <w:rFonts w:cs="Arial"/>
        </w:rPr>
      </w:pPr>
    </w:p>
    <w:p w14:paraId="0D6D3EB9" w14:textId="77777777" w:rsidR="00630C7D" w:rsidRDefault="00630C7D" w:rsidP="00630C7D">
      <w:pPr>
        <w:rPr>
          <w:rFonts w:cs="Arial"/>
        </w:rPr>
      </w:pPr>
    </w:p>
    <w:p w14:paraId="330BF874" w14:textId="77777777" w:rsidR="00630C7D" w:rsidRDefault="00630C7D" w:rsidP="00630C7D">
      <w:pPr>
        <w:rPr>
          <w:rFonts w:cs="Arial"/>
        </w:rPr>
      </w:pPr>
      <w:r>
        <w:rPr>
          <w:rFonts w:cs="Arial"/>
        </w:rPr>
        <w:t>___________________________________________</w:t>
      </w:r>
    </w:p>
    <w:p w14:paraId="6D474B49" w14:textId="77777777" w:rsidR="00630C7D" w:rsidRDefault="00630C7D" w:rsidP="00630C7D">
      <w:pPr>
        <w:rPr>
          <w:rFonts w:cs="Arial"/>
        </w:rPr>
      </w:pPr>
      <w:r>
        <w:rPr>
          <w:rFonts w:cs="Arial"/>
        </w:rPr>
        <w:t>Employee Name</w:t>
      </w:r>
    </w:p>
    <w:p w14:paraId="632024DB" w14:textId="77777777" w:rsidR="00630C7D" w:rsidRDefault="00630C7D" w:rsidP="00630C7D">
      <w:pPr>
        <w:rPr>
          <w:rFonts w:cs="Arial"/>
        </w:rPr>
      </w:pPr>
    </w:p>
    <w:p w14:paraId="6332D0C7" w14:textId="77777777" w:rsidR="00630C7D" w:rsidRDefault="00630C7D" w:rsidP="00630C7D">
      <w:pPr>
        <w:rPr>
          <w:rFonts w:cs="Arial"/>
        </w:rPr>
      </w:pPr>
    </w:p>
    <w:p w14:paraId="2F805FB9" w14:textId="77777777" w:rsidR="00630C7D" w:rsidRDefault="00630C7D" w:rsidP="00630C7D">
      <w:pPr>
        <w:rPr>
          <w:rFonts w:cs="Arial"/>
        </w:rPr>
      </w:pPr>
      <w:r>
        <w:rPr>
          <w:rFonts w:cs="Arial"/>
        </w:rPr>
        <w:t>___________________________________________</w:t>
      </w:r>
      <w:r>
        <w:rPr>
          <w:rFonts w:cs="Arial"/>
        </w:rPr>
        <w:tab/>
        <w:t>_______________________________________</w:t>
      </w:r>
    </w:p>
    <w:p w14:paraId="6AE51897" w14:textId="77777777" w:rsidR="00630C7D" w:rsidRDefault="00630C7D" w:rsidP="00630C7D">
      <w:pPr>
        <w:rPr>
          <w:rFonts w:cs="Arial"/>
        </w:rPr>
      </w:pPr>
      <w:r>
        <w:rPr>
          <w:rFonts w:cs="Arial"/>
        </w:rPr>
        <w:t>Employee Signature</w:t>
      </w:r>
      <w:r>
        <w:rPr>
          <w:rFonts w:cs="Arial"/>
        </w:rPr>
        <w:tab/>
      </w:r>
      <w:r>
        <w:rPr>
          <w:rFonts w:cs="Arial"/>
        </w:rPr>
        <w:tab/>
      </w:r>
      <w:r>
        <w:rPr>
          <w:rFonts w:cs="Arial"/>
        </w:rPr>
        <w:tab/>
      </w:r>
      <w:r>
        <w:rPr>
          <w:rFonts w:cs="Arial"/>
        </w:rPr>
        <w:tab/>
      </w:r>
      <w:r>
        <w:rPr>
          <w:rFonts w:cs="Arial"/>
        </w:rPr>
        <w:tab/>
        <w:t>Date</w:t>
      </w:r>
    </w:p>
    <w:p w14:paraId="1F074A36" w14:textId="77777777" w:rsidR="00826781" w:rsidRPr="00826781" w:rsidRDefault="00826781" w:rsidP="00826781">
      <w:pPr>
        <w:rPr>
          <w:color w:val="808080" w:themeColor="background1" w:themeShade="80"/>
        </w:rPr>
      </w:pPr>
    </w:p>
    <w:p w14:paraId="19C2A994" w14:textId="77777777" w:rsidR="008B3B2C" w:rsidRPr="008B3B2C" w:rsidRDefault="008B3B2C" w:rsidP="008B3B2C">
      <w:pPr>
        <w:pStyle w:val="Heading1"/>
      </w:pPr>
      <w:r w:rsidRPr="008B3B2C">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2517"/>
        <w:gridCol w:w="2513"/>
        <w:gridCol w:w="2518"/>
      </w:tblGrid>
      <w:tr w:rsidR="008B3B2C" w14:paraId="58783FBB" w14:textId="77777777" w:rsidTr="004D00BC">
        <w:trPr>
          <w:trHeight w:val="314"/>
          <w:jc w:val="center"/>
        </w:trPr>
        <w:tc>
          <w:tcPr>
            <w:tcW w:w="2574" w:type="dxa"/>
            <w:tcBorders>
              <w:top w:val="single" w:sz="4" w:space="0" w:color="auto"/>
              <w:left w:val="single" w:sz="4" w:space="0" w:color="auto"/>
              <w:bottom w:val="single" w:sz="4" w:space="0" w:color="auto"/>
              <w:right w:val="single" w:sz="4" w:space="0" w:color="auto"/>
            </w:tcBorders>
            <w:shd w:val="clear" w:color="auto" w:fill="CADAE8" w:themeFill="accent3"/>
            <w:vAlign w:val="center"/>
            <w:hideMark/>
          </w:tcPr>
          <w:p w14:paraId="5BF03FCC" w14:textId="77777777" w:rsidR="008B3B2C" w:rsidRDefault="008B3B2C">
            <w:pPr>
              <w:rPr>
                <w:b/>
                <w:szCs w:val="20"/>
              </w:rPr>
            </w:pPr>
            <w:r>
              <w:rPr>
                <w:b/>
                <w:szCs w:val="20"/>
              </w:rPr>
              <w:t>Version</w:t>
            </w:r>
          </w:p>
        </w:tc>
        <w:tc>
          <w:tcPr>
            <w:tcW w:w="2574" w:type="dxa"/>
            <w:tcBorders>
              <w:top w:val="single" w:sz="4" w:space="0" w:color="auto"/>
              <w:left w:val="single" w:sz="4" w:space="0" w:color="auto"/>
              <w:bottom w:val="single" w:sz="4" w:space="0" w:color="auto"/>
              <w:right w:val="single" w:sz="4" w:space="0" w:color="auto"/>
            </w:tcBorders>
            <w:shd w:val="clear" w:color="auto" w:fill="CADAE8" w:themeFill="accent3"/>
            <w:vAlign w:val="center"/>
            <w:hideMark/>
          </w:tcPr>
          <w:p w14:paraId="2ACC5552" w14:textId="77777777" w:rsidR="008B3B2C" w:rsidRDefault="008B3B2C">
            <w:pPr>
              <w:rPr>
                <w:b/>
                <w:szCs w:val="20"/>
              </w:rPr>
            </w:pPr>
            <w:r>
              <w:rPr>
                <w:b/>
                <w:szCs w:val="20"/>
              </w:rPr>
              <w:t>Change</w:t>
            </w:r>
          </w:p>
        </w:tc>
        <w:tc>
          <w:tcPr>
            <w:tcW w:w="2573" w:type="dxa"/>
            <w:tcBorders>
              <w:top w:val="single" w:sz="4" w:space="0" w:color="auto"/>
              <w:left w:val="single" w:sz="4" w:space="0" w:color="auto"/>
              <w:bottom w:val="single" w:sz="4" w:space="0" w:color="auto"/>
              <w:right w:val="single" w:sz="4" w:space="0" w:color="auto"/>
            </w:tcBorders>
            <w:shd w:val="clear" w:color="auto" w:fill="CADAE8" w:themeFill="accent3"/>
            <w:vAlign w:val="center"/>
            <w:hideMark/>
          </w:tcPr>
          <w:p w14:paraId="7BF1E6F4" w14:textId="77777777" w:rsidR="008B3B2C" w:rsidRDefault="008B3B2C">
            <w:pPr>
              <w:rPr>
                <w:b/>
                <w:szCs w:val="20"/>
              </w:rPr>
            </w:pPr>
            <w:r>
              <w:rPr>
                <w:b/>
                <w:szCs w:val="20"/>
              </w:rPr>
              <w:t>Author</w:t>
            </w:r>
          </w:p>
        </w:tc>
        <w:tc>
          <w:tcPr>
            <w:tcW w:w="2575" w:type="dxa"/>
            <w:tcBorders>
              <w:top w:val="single" w:sz="4" w:space="0" w:color="auto"/>
              <w:left w:val="single" w:sz="4" w:space="0" w:color="auto"/>
              <w:bottom w:val="single" w:sz="4" w:space="0" w:color="auto"/>
              <w:right w:val="single" w:sz="4" w:space="0" w:color="auto"/>
            </w:tcBorders>
            <w:shd w:val="clear" w:color="auto" w:fill="CADAE8" w:themeFill="accent3"/>
            <w:vAlign w:val="center"/>
            <w:hideMark/>
          </w:tcPr>
          <w:p w14:paraId="0A361960" w14:textId="77777777" w:rsidR="008B3B2C" w:rsidRDefault="008B3B2C">
            <w:pPr>
              <w:rPr>
                <w:b/>
                <w:szCs w:val="20"/>
              </w:rPr>
            </w:pPr>
            <w:r>
              <w:rPr>
                <w:b/>
                <w:szCs w:val="20"/>
              </w:rPr>
              <w:t>Date of Change</w:t>
            </w:r>
          </w:p>
        </w:tc>
      </w:tr>
      <w:tr w:rsidR="008B3B2C" w14:paraId="424545E1" w14:textId="77777777" w:rsidTr="008B3B2C">
        <w:trPr>
          <w:jc w:val="center"/>
        </w:trPr>
        <w:tc>
          <w:tcPr>
            <w:tcW w:w="2574" w:type="dxa"/>
            <w:tcBorders>
              <w:top w:val="single" w:sz="4" w:space="0" w:color="auto"/>
              <w:left w:val="single" w:sz="4" w:space="0" w:color="auto"/>
              <w:bottom w:val="single" w:sz="4" w:space="0" w:color="auto"/>
              <w:right w:val="single" w:sz="4" w:space="0" w:color="auto"/>
            </w:tcBorders>
          </w:tcPr>
          <w:p w14:paraId="1831CA31" w14:textId="77777777" w:rsidR="008B3B2C" w:rsidRDefault="008B3B2C"/>
        </w:tc>
        <w:tc>
          <w:tcPr>
            <w:tcW w:w="2574" w:type="dxa"/>
            <w:tcBorders>
              <w:top w:val="single" w:sz="4" w:space="0" w:color="auto"/>
              <w:left w:val="single" w:sz="4" w:space="0" w:color="auto"/>
              <w:bottom w:val="single" w:sz="4" w:space="0" w:color="auto"/>
              <w:right w:val="single" w:sz="4" w:space="0" w:color="auto"/>
            </w:tcBorders>
          </w:tcPr>
          <w:p w14:paraId="49268ACC" w14:textId="77777777" w:rsidR="008B3B2C" w:rsidRDefault="008B3B2C"/>
        </w:tc>
        <w:tc>
          <w:tcPr>
            <w:tcW w:w="2573" w:type="dxa"/>
            <w:tcBorders>
              <w:top w:val="single" w:sz="4" w:space="0" w:color="auto"/>
              <w:left w:val="single" w:sz="4" w:space="0" w:color="auto"/>
              <w:bottom w:val="single" w:sz="4" w:space="0" w:color="auto"/>
              <w:right w:val="single" w:sz="4" w:space="0" w:color="auto"/>
            </w:tcBorders>
          </w:tcPr>
          <w:p w14:paraId="66A79B82" w14:textId="77777777" w:rsidR="008B3B2C" w:rsidRDefault="008B3B2C"/>
        </w:tc>
        <w:tc>
          <w:tcPr>
            <w:tcW w:w="2575" w:type="dxa"/>
            <w:tcBorders>
              <w:top w:val="single" w:sz="4" w:space="0" w:color="auto"/>
              <w:left w:val="single" w:sz="4" w:space="0" w:color="auto"/>
              <w:bottom w:val="single" w:sz="4" w:space="0" w:color="auto"/>
              <w:right w:val="single" w:sz="4" w:space="0" w:color="auto"/>
            </w:tcBorders>
          </w:tcPr>
          <w:p w14:paraId="4705BD8B" w14:textId="77777777" w:rsidR="008B3B2C" w:rsidRDefault="008B3B2C"/>
        </w:tc>
      </w:tr>
      <w:tr w:rsidR="008B3B2C" w14:paraId="7112126B" w14:textId="77777777" w:rsidTr="008B3B2C">
        <w:trPr>
          <w:jc w:val="center"/>
        </w:trPr>
        <w:tc>
          <w:tcPr>
            <w:tcW w:w="2574" w:type="dxa"/>
            <w:tcBorders>
              <w:top w:val="single" w:sz="4" w:space="0" w:color="auto"/>
              <w:left w:val="single" w:sz="4" w:space="0" w:color="auto"/>
              <w:bottom w:val="single" w:sz="4" w:space="0" w:color="auto"/>
              <w:right w:val="single" w:sz="4" w:space="0" w:color="auto"/>
            </w:tcBorders>
          </w:tcPr>
          <w:p w14:paraId="76968E0B" w14:textId="77777777" w:rsidR="008B3B2C" w:rsidRDefault="008B3B2C"/>
        </w:tc>
        <w:tc>
          <w:tcPr>
            <w:tcW w:w="2574" w:type="dxa"/>
            <w:tcBorders>
              <w:top w:val="single" w:sz="4" w:space="0" w:color="auto"/>
              <w:left w:val="single" w:sz="4" w:space="0" w:color="auto"/>
              <w:bottom w:val="single" w:sz="4" w:space="0" w:color="auto"/>
              <w:right w:val="single" w:sz="4" w:space="0" w:color="auto"/>
            </w:tcBorders>
          </w:tcPr>
          <w:p w14:paraId="08D43CE0" w14:textId="77777777" w:rsidR="008B3B2C" w:rsidRDefault="008B3B2C"/>
        </w:tc>
        <w:tc>
          <w:tcPr>
            <w:tcW w:w="2573" w:type="dxa"/>
            <w:tcBorders>
              <w:top w:val="single" w:sz="4" w:space="0" w:color="auto"/>
              <w:left w:val="single" w:sz="4" w:space="0" w:color="auto"/>
              <w:bottom w:val="single" w:sz="4" w:space="0" w:color="auto"/>
              <w:right w:val="single" w:sz="4" w:space="0" w:color="auto"/>
            </w:tcBorders>
          </w:tcPr>
          <w:p w14:paraId="51302109" w14:textId="77777777" w:rsidR="008B3B2C" w:rsidRDefault="008B3B2C"/>
        </w:tc>
        <w:tc>
          <w:tcPr>
            <w:tcW w:w="2575" w:type="dxa"/>
            <w:tcBorders>
              <w:top w:val="single" w:sz="4" w:space="0" w:color="auto"/>
              <w:left w:val="single" w:sz="4" w:space="0" w:color="auto"/>
              <w:bottom w:val="single" w:sz="4" w:space="0" w:color="auto"/>
              <w:right w:val="single" w:sz="4" w:space="0" w:color="auto"/>
            </w:tcBorders>
          </w:tcPr>
          <w:p w14:paraId="3E7030EF" w14:textId="77777777" w:rsidR="008B3B2C" w:rsidRDefault="008B3B2C"/>
        </w:tc>
      </w:tr>
      <w:tr w:rsidR="008B3B2C" w14:paraId="044EBCAF" w14:textId="77777777" w:rsidTr="008B3B2C">
        <w:trPr>
          <w:jc w:val="center"/>
        </w:trPr>
        <w:tc>
          <w:tcPr>
            <w:tcW w:w="2574" w:type="dxa"/>
            <w:tcBorders>
              <w:top w:val="single" w:sz="4" w:space="0" w:color="auto"/>
              <w:left w:val="single" w:sz="4" w:space="0" w:color="auto"/>
              <w:bottom w:val="single" w:sz="4" w:space="0" w:color="auto"/>
              <w:right w:val="single" w:sz="4" w:space="0" w:color="auto"/>
            </w:tcBorders>
          </w:tcPr>
          <w:p w14:paraId="5D598BA7" w14:textId="77777777" w:rsidR="008B3B2C" w:rsidRDefault="008B3B2C"/>
        </w:tc>
        <w:tc>
          <w:tcPr>
            <w:tcW w:w="2574" w:type="dxa"/>
            <w:tcBorders>
              <w:top w:val="single" w:sz="4" w:space="0" w:color="auto"/>
              <w:left w:val="single" w:sz="4" w:space="0" w:color="auto"/>
              <w:bottom w:val="single" w:sz="4" w:space="0" w:color="auto"/>
              <w:right w:val="single" w:sz="4" w:space="0" w:color="auto"/>
            </w:tcBorders>
          </w:tcPr>
          <w:p w14:paraId="4F4F7E60" w14:textId="77777777" w:rsidR="008B3B2C" w:rsidRDefault="008B3B2C"/>
        </w:tc>
        <w:tc>
          <w:tcPr>
            <w:tcW w:w="2573" w:type="dxa"/>
            <w:tcBorders>
              <w:top w:val="single" w:sz="4" w:space="0" w:color="auto"/>
              <w:left w:val="single" w:sz="4" w:space="0" w:color="auto"/>
              <w:bottom w:val="single" w:sz="4" w:space="0" w:color="auto"/>
              <w:right w:val="single" w:sz="4" w:space="0" w:color="auto"/>
            </w:tcBorders>
          </w:tcPr>
          <w:p w14:paraId="37B01A9E" w14:textId="77777777" w:rsidR="008B3B2C" w:rsidRDefault="008B3B2C"/>
        </w:tc>
        <w:tc>
          <w:tcPr>
            <w:tcW w:w="2575" w:type="dxa"/>
            <w:tcBorders>
              <w:top w:val="single" w:sz="4" w:space="0" w:color="auto"/>
              <w:left w:val="single" w:sz="4" w:space="0" w:color="auto"/>
              <w:bottom w:val="single" w:sz="4" w:space="0" w:color="auto"/>
              <w:right w:val="single" w:sz="4" w:space="0" w:color="auto"/>
            </w:tcBorders>
          </w:tcPr>
          <w:p w14:paraId="79F9EEE5" w14:textId="77777777" w:rsidR="008B3B2C" w:rsidRDefault="008B3B2C"/>
        </w:tc>
      </w:tr>
      <w:tr w:rsidR="008B3B2C" w14:paraId="6F3F59E3" w14:textId="77777777" w:rsidTr="008B3B2C">
        <w:trPr>
          <w:jc w:val="center"/>
        </w:trPr>
        <w:tc>
          <w:tcPr>
            <w:tcW w:w="2574" w:type="dxa"/>
            <w:tcBorders>
              <w:top w:val="single" w:sz="4" w:space="0" w:color="auto"/>
              <w:left w:val="single" w:sz="4" w:space="0" w:color="auto"/>
              <w:bottom w:val="single" w:sz="4" w:space="0" w:color="auto"/>
              <w:right w:val="single" w:sz="4" w:space="0" w:color="auto"/>
            </w:tcBorders>
          </w:tcPr>
          <w:p w14:paraId="5BA931DB" w14:textId="77777777" w:rsidR="008B3B2C" w:rsidRDefault="008B3B2C"/>
        </w:tc>
        <w:tc>
          <w:tcPr>
            <w:tcW w:w="2574" w:type="dxa"/>
            <w:tcBorders>
              <w:top w:val="single" w:sz="4" w:space="0" w:color="auto"/>
              <w:left w:val="single" w:sz="4" w:space="0" w:color="auto"/>
              <w:bottom w:val="single" w:sz="4" w:space="0" w:color="auto"/>
              <w:right w:val="single" w:sz="4" w:space="0" w:color="auto"/>
            </w:tcBorders>
          </w:tcPr>
          <w:p w14:paraId="04EA85D0" w14:textId="77777777" w:rsidR="008B3B2C" w:rsidRDefault="008B3B2C"/>
        </w:tc>
        <w:tc>
          <w:tcPr>
            <w:tcW w:w="2573" w:type="dxa"/>
            <w:tcBorders>
              <w:top w:val="single" w:sz="4" w:space="0" w:color="auto"/>
              <w:left w:val="single" w:sz="4" w:space="0" w:color="auto"/>
              <w:bottom w:val="single" w:sz="4" w:space="0" w:color="auto"/>
              <w:right w:val="single" w:sz="4" w:space="0" w:color="auto"/>
            </w:tcBorders>
          </w:tcPr>
          <w:p w14:paraId="341C3B94" w14:textId="77777777" w:rsidR="008B3B2C" w:rsidRDefault="008B3B2C"/>
        </w:tc>
        <w:tc>
          <w:tcPr>
            <w:tcW w:w="2575" w:type="dxa"/>
            <w:tcBorders>
              <w:top w:val="single" w:sz="4" w:space="0" w:color="auto"/>
              <w:left w:val="single" w:sz="4" w:space="0" w:color="auto"/>
              <w:bottom w:val="single" w:sz="4" w:space="0" w:color="auto"/>
              <w:right w:val="single" w:sz="4" w:space="0" w:color="auto"/>
            </w:tcBorders>
          </w:tcPr>
          <w:p w14:paraId="3A266D64" w14:textId="77777777" w:rsidR="008B3B2C" w:rsidRDefault="008B3B2C"/>
        </w:tc>
      </w:tr>
    </w:tbl>
    <w:p w14:paraId="1F074A59" w14:textId="77777777" w:rsidR="00725400" w:rsidRDefault="00725400" w:rsidP="00725400">
      <w:pPr>
        <w:tabs>
          <w:tab w:val="left" w:pos="2865"/>
        </w:tabs>
      </w:pPr>
    </w:p>
    <w:p w14:paraId="1F074A5B" w14:textId="77777777" w:rsidR="00725400" w:rsidRDefault="00725400" w:rsidP="00725400">
      <w:pPr>
        <w:tabs>
          <w:tab w:val="left" w:pos="2865"/>
        </w:tabs>
      </w:pPr>
    </w:p>
    <w:p w14:paraId="1F074A5C" w14:textId="77777777" w:rsidR="00725400" w:rsidRDefault="00725400" w:rsidP="00725400">
      <w:pPr>
        <w:jc w:val="center"/>
      </w:pPr>
      <w:r>
        <w:t>_____________________________________________________</w:t>
      </w:r>
    </w:p>
    <w:p w14:paraId="1F074A5D" w14:textId="77777777" w:rsidR="00725400" w:rsidRDefault="00725400" w:rsidP="00725400">
      <w:pPr>
        <w:jc w:val="center"/>
      </w:pPr>
    </w:p>
    <w:p w14:paraId="1F074A5F" w14:textId="71E28BDE" w:rsidR="00725400" w:rsidRPr="00212E88" w:rsidRDefault="00725400" w:rsidP="00B246EB">
      <w:pPr>
        <w:jc w:val="center"/>
        <w:rPr>
          <w:rFonts w:cs="Arial"/>
          <w:szCs w:val="20"/>
        </w:rPr>
      </w:pPr>
      <w:r w:rsidRPr="002C7EBA">
        <w:rPr>
          <w:rFonts w:cs="Arial"/>
          <w:szCs w:val="20"/>
        </w:rPr>
        <w:t xml:space="preserve">For acceptable use of this template, refer to Info-Tech's </w:t>
      </w:r>
      <w:hyperlink r:id="rId10"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725400" w:rsidRPr="00212E88" w:rsidSect="004D00BC">
      <w:headerReference w:type="default" r:id="rId11"/>
      <w:footerReference w:type="default" r:id="rId12"/>
      <w:pgSz w:w="12240" w:h="15840"/>
      <w:pgMar w:top="1620" w:right="1083" w:bottom="1440" w:left="1083" w:header="578" w:footer="3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54EEC" w14:textId="77777777" w:rsidR="0061022A" w:rsidRDefault="0061022A">
      <w:r>
        <w:separator/>
      </w:r>
    </w:p>
  </w:endnote>
  <w:endnote w:type="continuationSeparator" w:id="0">
    <w:p w14:paraId="62EA7AAF" w14:textId="77777777" w:rsidR="0061022A" w:rsidRDefault="0061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4A66" w14:textId="77777777" w:rsidR="00352A14" w:rsidRDefault="003404E3">
    <w:pPr>
      <w:pStyle w:val="Footer"/>
      <w:jc w:val="center"/>
    </w:pPr>
    <w:r>
      <w:fldChar w:fldCharType="begin"/>
    </w:r>
    <w:r w:rsidR="00352A14">
      <w:instrText xml:space="preserve"> PAGE   \* MERGEFORMAT </w:instrText>
    </w:r>
    <w:r>
      <w:fldChar w:fldCharType="separate"/>
    </w:r>
    <w:r w:rsidR="007B2BA7">
      <w:rPr>
        <w:noProof/>
      </w:rPr>
      <w:t>1</w:t>
    </w:r>
    <w:r>
      <w:fldChar w:fldCharType="end"/>
    </w:r>
  </w:p>
  <w:p w14:paraId="1F074A67" w14:textId="77777777" w:rsidR="00352A14" w:rsidRDefault="00352A14">
    <w:pPr>
      <w:pStyle w:val="Footer"/>
      <w:jc w:val="center"/>
    </w:pPr>
    <w:r>
      <w:t>Info-Tech Research Group</w:t>
    </w:r>
  </w:p>
  <w:p w14:paraId="1F074A68" w14:textId="77777777" w:rsidR="00C24557" w:rsidRDefault="00C24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49B21" w14:textId="77777777" w:rsidR="0061022A" w:rsidRDefault="0061022A">
      <w:r>
        <w:separator/>
      </w:r>
    </w:p>
  </w:footnote>
  <w:footnote w:type="continuationSeparator" w:id="0">
    <w:p w14:paraId="2331EB3D" w14:textId="77777777" w:rsidR="0061022A" w:rsidRDefault="006102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4A65" w14:textId="77777777" w:rsidR="003331A9" w:rsidRDefault="00212E88" w:rsidP="006D629B">
    <w:pPr>
      <w:pStyle w:val="Header"/>
      <w:tabs>
        <w:tab w:val="clear" w:pos="4320"/>
        <w:tab w:val="clear" w:pos="8640"/>
        <w:tab w:val="left" w:pos="3080"/>
      </w:tabs>
    </w:pPr>
    <w:r>
      <w:rPr>
        <w:noProof/>
        <w:lang w:val="en-CA" w:eastAsia="en-CA"/>
      </w:rPr>
      <w:drawing>
        <wp:anchor distT="0" distB="0" distL="114300" distR="114300" simplePos="0" relativeHeight="251660288" behindDoc="1" locked="0" layoutInCell="1" allowOverlap="1" wp14:anchorId="1F074A69" wp14:editId="1F074A6A">
          <wp:simplePos x="0" y="0"/>
          <wp:positionH relativeFrom="margin">
            <wp:align>center</wp:align>
          </wp:positionH>
          <wp:positionV relativeFrom="paragraph">
            <wp:posOffset>-365125</wp:posOffset>
          </wp:positionV>
          <wp:extent cx="7798435" cy="951865"/>
          <wp:effectExtent l="0" t="0" r="0" b="0"/>
          <wp:wrapNone/>
          <wp:docPr id="5" name="Picture 5"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rsidR="006D629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B3ABA80"/>
    <w:lvl w:ilvl="0">
      <w:start w:val="1"/>
      <w:numFmt w:val="decimal"/>
      <w:pStyle w:val="ListNumber2"/>
      <w:lvlText w:val="%1."/>
      <w:lvlJc w:val="left"/>
      <w:pPr>
        <w:tabs>
          <w:tab w:val="num" w:pos="720"/>
        </w:tabs>
        <w:ind w:left="720" w:hanging="360"/>
      </w:pPr>
    </w:lvl>
  </w:abstractNum>
  <w:abstractNum w:abstractNumId="1" w15:restartNumberingAfterBreak="0">
    <w:nsid w:val="06AA6495"/>
    <w:multiLevelType w:val="hybridMultilevel"/>
    <w:tmpl w:val="C4AC74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195210"/>
    <w:multiLevelType w:val="hybridMultilevel"/>
    <w:tmpl w:val="0D12B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8E7BE8"/>
    <w:multiLevelType w:val="hybridMultilevel"/>
    <w:tmpl w:val="B2747F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C26963"/>
    <w:multiLevelType w:val="hybridMultilevel"/>
    <w:tmpl w:val="B3E87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B02884"/>
    <w:multiLevelType w:val="hybridMultilevel"/>
    <w:tmpl w:val="215AF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0067B1"/>
    <w:multiLevelType w:val="hybridMultilevel"/>
    <w:tmpl w:val="A308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9D0B40"/>
    <w:multiLevelType w:val="hybridMultilevel"/>
    <w:tmpl w:val="857AF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362112"/>
    <w:multiLevelType w:val="hybridMultilevel"/>
    <w:tmpl w:val="D58CEE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1636F"/>
    <w:multiLevelType w:val="hybridMultilevel"/>
    <w:tmpl w:val="E76A89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00707E"/>
    <w:multiLevelType w:val="hybridMultilevel"/>
    <w:tmpl w:val="9DE26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0A3661"/>
    <w:multiLevelType w:val="hybridMultilevel"/>
    <w:tmpl w:val="E6784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DB85DC5"/>
    <w:multiLevelType w:val="hybridMultilevel"/>
    <w:tmpl w:val="4A6216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2F27A1"/>
    <w:multiLevelType w:val="hybridMultilevel"/>
    <w:tmpl w:val="057A6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ED278F"/>
    <w:multiLevelType w:val="hybridMultilevel"/>
    <w:tmpl w:val="9AE24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053124"/>
    <w:multiLevelType w:val="hybridMultilevel"/>
    <w:tmpl w:val="E946B0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9C0BF5"/>
    <w:multiLevelType w:val="hybridMultilevel"/>
    <w:tmpl w:val="BA6A17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D6783078">
      <w:start w:val="1"/>
      <w:numFmt w:val="bullet"/>
      <w:lvlText w:val="-"/>
      <w:lvlJc w:val="left"/>
      <w:pPr>
        <w:ind w:left="2160" w:hanging="360"/>
      </w:pPr>
      <w:rPr>
        <w:rFonts w:ascii="Arial" w:hAnsi="Aria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8"/>
  </w:num>
  <w:num w:numId="4">
    <w:abstractNumId w:val="8"/>
  </w:num>
  <w:num w:numId="5">
    <w:abstractNumId w:val="12"/>
  </w:num>
  <w:num w:numId="6">
    <w:abstractNumId w:val="4"/>
  </w:num>
  <w:num w:numId="7">
    <w:abstractNumId w:val="26"/>
  </w:num>
  <w:num w:numId="8">
    <w:abstractNumId w:val="19"/>
  </w:num>
  <w:num w:numId="9">
    <w:abstractNumId w:val="21"/>
  </w:num>
  <w:num w:numId="10">
    <w:abstractNumId w:val="5"/>
  </w:num>
  <w:num w:numId="11">
    <w:abstractNumId w:val="15"/>
  </w:num>
  <w:num w:numId="12">
    <w:abstractNumId w:val="22"/>
  </w:num>
  <w:num w:numId="13">
    <w:abstractNumId w:val="20"/>
  </w:num>
  <w:num w:numId="14">
    <w:abstractNumId w:val="7"/>
  </w:num>
  <w:num w:numId="15">
    <w:abstractNumId w:val="16"/>
  </w:num>
  <w:num w:numId="16">
    <w:abstractNumId w:val="9"/>
  </w:num>
  <w:num w:numId="17">
    <w:abstractNumId w:val="10"/>
  </w:num>
  <w:num w:numId="18">
    <w:abstractNumId w:val="6"/>
  </w:num>
  <w:num w:numId="19">
    <w:abstractNumId w:val="0"/>
  </w:num>
  <w:num w:numId="20">
    <w:abstractNumId w:val="1"/>
  </w:num>
  <w:num w:numId="21">
    <w:abstractNumId w:val="2"/>
  </w:num>
  <w:num w:numId="22">
    <w:abstractNumId w:val="17"/>
  </w:num>
  <w:num w:numId="23">
    <w:abstractNumId w:val="25"/>
  </w:num>
  <w:num w:numId="24">
    <w:abstractNumId w:val="27"/>
  </w:num>
  <w:num w:numId="25">
    <w:abstractNumId w:val="23"/>
  </w:num>
  <w:num w:numId="26">
    <w:abstractNumId w:val="3"/>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26ACB"/>
    <w:rsid w:val="00030158"/>
    <w:rsid w:val="00085551"/>
    <w:rsid w:val="000857AF"/>
    <w:rsid w:val="000B48DB"/>
    <w:rsid w:val="000B6816"/>
    <w:rsid w:val="000F1010"/>
    <w:rsid w:val="00101A2D"/>
    <w:rsid w:val="001123D5"/>
    <w:rsid w:val="001175F1"/>
    <w:rsid w:val="00121643"/>
    <w:rsid w:val="00131908"/>
    <w:rsid w:val="00134035"/>
    <w:rsid w:val="00145649"/>
    <w:rsid w:val="00145681"/>
    <w:rsid w:val="001474EC"/>
    <w:rsid w:val="0016330A"/>
    <w:rsid w:val="00171A7E"/>
    <w:rsid w:val="00172E6E"/>
    <w:rsid w:val="00177546"/>
    <w:rsid w:val="00186D07"/>
    <w:rsid w:val="00187962"/>
    <w:rsid w:val="00194E67"/>
    <w:rsid w:val="001B0F58"/>
    <w:rsid w:val="001C398D"/>
    <w:rsid w:val="001D0C57"/>
    <w:rsid w:val="001D5C1E"/>
    <w:rsid w:val="001E70AF"/>
    <w:rsid w:val="001F7F8D"/>
    <w:rsid w:val="00212E88"/>
    <w:rsid w:val="00217103"/>
    <w:rsid w:val="00222174"/>
    <w:rsid w:val="00233BC7"/>
    <w:rsid w:val="00237CA2"/>
    <w:rsid w:val="002507FF"/>
    <w:rsid w:val="00257D35"/>
    <w:rsid w:val="00267FCE"/>
    <w:rsid w:val="002835F1"/>
    <w:rsid w:val="002B0348"/>
    <w:rsid w:val="002B1B13"/>
    <w:rsid w:val="002B5E4F"/>
    <w:rsid w:val="002B6813"/>
    <w:rsid w:val="002C7319"/>
    <w:rsid w:val="002D034A"/>
    <w:rsid w:val="002D3999"/>
    <w:rsid w:val="002D47F6"/>
    <w:rsid w:val="002E5BC9"/>
    <w:rsid w:val="003018D3"/>
    <w:rsid w:val="00303D6C"/>
    <w:rsid w:val="003320A2"/>
    <w:rsid w:val="003331A9"/>
    <w:rsid w:val="003404E3"/>
    <w:rsid w:val="00352A14"/>
    <w:rsid w:val="00387257"/>
    <w:rsid w:val="003B5023"/>
    <w:rsid w:val="003C29CD"/>
    <w:rsid w:val="003D187A"/>
    <w:rsid w:val="003D36FE"/>
    <w:rsid w:val="003D568D"/>
    <w:rsid w:val="003F2C8F"/>
    <w:rsid w:val="004042A6"/>
    <w:rsid w:val="00424644"/>
    <w:rsid w:val="004307CB"/>
    <w:rsid w:val="00432006"/>
    <w:rsid w:val="004371F3"/>
    <w:rsid w:val="004376E6"/>
    <w:rsid w:val="0044200A"/>
    <w:rsid w:val="00497823"/>
    <w:rsid w:val="004D00BC"/>
    <w:rsid w:val="004D269E"/>
    <w:rsid w:val="004D32EB"/>
    <w:rsid w:val="004F3C5A"/>
    <w:rsid w:val="0051772F"/>
    <w:rsid w:val="00524908"/>
    <w:rsid w:val="005266E7"/>
    <w:rsid w:val="0054288B"/>
    <w:rsid w:val="00560205"/>
    <w:rsid w:val="00564E59"/>
    <w:rsid w:val="00565E8C"/>
    <w:rsid w:val="00572EAF"/>
    <w:rsid w:val="00582D6E"/>
    <w:rsid w:val="005B0008"/>
    <w:rsid w:val="005B073C"/>
    <w:rsid w:val="005F5ED7"/>
    <w:rsid w:val="00607555"/>
    <w:rsid w:val="0061022A"/>
    <w:rsid w:val="00611CAC"/>
    <w:rsid w:val="00623291"/>
    <w:rsid w:val="00625F64"/>
    <w:rsid w:val="00630C7D"/>
    <w:rsid w:val="00636CD4"/>
    <w:rsid w:val="00641C8B"/>
    <w:rsid w:val="0066015D"/>
    <w:rsid w:val="0066050C"/>
    <w:rsid w:val="00687F8E"/>
    <w:rsid w:val="0069682B"/>
    <w:rsid w:val="006B197A"/>
    <w:rsid w:val="006B66A1"/>
    <w:rsid w:val="006C19C9"/>
    <w:rsid w:val="006D629B"/>
    <w:rsid w:val="006E288D"/>
    <w:rsid w:val="006E3E48"/>
    <w:rsid w:val="00701BB0"/>
    <w:rsid w:val="0072444D"/>
    <w:rsid w:val="00725400"/>
    <w:rsid w:val="007521AB"/>
    <w:rsid w:val="007547E6"/>
    <w:rsid w:val="007624CE"/>
    <w:rsid w:val="007669DA"/>
    <w:rsid w:val="00766FAD"/>
    <w:rsid w:val="00767B6F"/>
    <w:rsid w:val="00797D60"/>
    <w:rsid w:val="007A6042"/>
    <w:rsid w:val="007A6EC1"/>
    <w:rsid w:val="007B2855"/>
    <w:rsid w:val="007B2BA7"/>
    <w:rsid w:val="007B4ACB"/>
    <w:rsid w:val="007D03A1"/>
    <w:rsid w:val="007D06EE"/>
    <w:rsid w:val="007F767E"/>
    <w:rsid w:val="00804A11"/>
    <w:rsid w:val="0081572D"/>
    <w:rsid w:val="00826781"/>
    <w:rsid w:val="008331E3"/>
    <w:rsid w:val="00836EC1"/>
    <w:rsid w:val="00851AF0"/>
    <w:rsid w:val="00854FD7"/>
    <w:rsid w:val="00861438"/>
    <w:rsid w:val="00866FC1"/>
    <w:rsid w:val="0088584A"/>
    <w:rsid w:val="0089163A"/>
    <w:rsid w:val="00895DF6"/>
    <w:rsid w:val="008B3B2C"/>
    <w:rsid w:val="008B4684"/>
    <w:rsid w:val="008C5E54"/>
    <w:rsid w:val="008D0C7B"/>
    <w:rsid w:val="008D478E"/>
    <w:rsid w:val="008E533C"/>
    <w:rsid w:val="008E775A"/>
    <w:rsid w:val="008F3CD7"/>
    <w:rsid w:val="009113E0"/>
    <w:rsid w:val="00914BC7"/>
    <w:rsid w:val="00915645"/>
    <w:rsid w:val="009324E3"/>
    <w:rsid w:val="009420A3"/>
    <w:rsid w:val="00992779"/>
    <w:rsid w:val="00993C28"/>
    <w:rsid w:val="009A7EBC"/>
    <w:rsid w:val="009E43CD"/>
    <w:rsid w:val="00A01A38"/>
    <w:rsid w:val="00A25DB1"/>
    <w:rsid w:val="00A3715F"/>
    <w:rsid w:val="00A56794"/>
    <w:rsid w:val="00A6785D"/>
    <w:rsid w:val="00A83E66"/>
    <w:rsid w:val="00A85103"/>
    <w:rsid w:val="00AA35CF"/>
    <w:rsid w:val="00AB1A82"/>
    <w:rsid w:val="00AE32EB"/>
    <w:rsid w:val="00B21A45"/>
    <w:rsid w:val="00B246EB"/>
    <w:rsid w:val="00B5232D"/>
    <w:rsid w:val="00B60381"/>
    <w:rsid w:val="00B93EF7"/>
    <w:rsid w:val="00BA3307"/>
    <w:rsid w:val="00BA5493"/>
    <w:rsid w:val="00BC0F97"/>
    <w:rsid w:val="00BC1B91"/>
    <w:rsid w:val="00BE0D6E"/>
    <w:rsid w:val="00BE5B4D"/>
    <w:rsid w:val="00C24557"/>
    <w:rsid w:val="00C53B14"/>
    <w:rsid w:val="00C609FD"/>
    <w:rsid w:val="00C81438"/>
    <w:rsid w:val="00C8415D"/>
    <w:rsid w:val="00C91CF1"/>
    <w:rsid w:val="00CA08B6"/>
    <w:rsid w:val="00CB51A4"/>
    <w:rsid w:val="00CE78E3"/>
    <w:rsid w:val="00D020A7"/>
    <w:rsid w:val="00D16E19"/>
    <w:rsid w:val="00D206DA"/>
    <w:rsid w:val="00D2496C"/>
    <w:rsid w:val="00D27D32"/>
    <w:rsid w:val="00D36D20"/>
    <w:rsid w:val="00D80342"/>
    <w:rsid w:val="00D905D8"/>
    <w:rsid w:val="00D921B4"/>
    <w:rsid w:val="00D92581"/>
    <w:rsid w:val="00DC143E"/>
    <w:rsid w:val="00DC4387"/>
    <w:rsid w:val="00DC7917"/>
    <w:rsid w:val="00DD068A"/>
    <w:rsid w:val="00DD61DB"/>
    <w:rsid w:val="00DD758B"/>
    <w:rsid w:val="00DE2AF1"/>
    <w:rsid w:val="00E13DA6"/>
    <w:rsid w:val="00E146A8"/>
    <w:rsid w:val="00E72B5D"/>
    <w:rsid w:val="00E83C56"/>
    <w:rsid w:val="00E8457E"/>
    <w:rsid w:val="00E86B95"/>
    <w:rsid w:val="00EC7813"/>
    <w:rsid w:val="00ED2C4C"/>
    <w:rsid w:val="00EF6D6F"/>
    <w:rsid w:val="00F119A6"/>
    <w:rsid w:val="00F30626"/>
    <w:rsid w:val="00F36E53"/>
    <w:rsid w:val="00F3751B"/>
    <w:rsid w:val="00F71622"/>
    <w:rsid w:val="00F92FFD"/>
    <w:rsid w:val="00FA1FAE"/>
    <w:rsid w:val="00FC0A49"/>
    <w:rsid w:val="00FE41EE"/>
    <w:rsid w:val="00FF0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7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link w:val="Heading1Char"/>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qFormat/>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character" w:customStyle="1" w:styleId="Heading1Char">
    <w:name w:val="Heading 1 Char"/>
    <w:basedOn w:val="DefaultParagraphFont"/>
    <w:link w:val="Heading1"/>
    <w:rsid w:val="00630C7D"/>
    <w:rPr>
      <w:rFonts w:ascii="Arial" w:hAnsi="Arial" w:cs="Arial"/>
      <w:b/>
      <w:bCs/>
      <w:kern w:val="32"/>
      <w:sz w:val="32"/>
      <w:szCs w:val="32"/>
    </w:rPr>
  </w:style>
  <w:style w:type="paragraph" w:styleId="ListNumber2">
    <w:name w:val="List Number 2"/>
    <w:basedOn w:val="Normal"/>
    <w:rsid w:val="00CE78E3"/>
    <w:pPr>
      <w:numPr>
        <w:numId w:val="19"/>
      </w:numPr>
    </w:pPr>
  </w:style>
  <w:style w:type="paragraph" w:styleId="TOCHeading">
    <w:name w:val="TOC Heading"/>
    <w:basedOn w:val="Heading1"/>
    <w:next w:val="Normal"/>
    <w:uiPriority w:val="39"/>
    <w:semiHidden/>
    <w:unhideWhenUsed/>
    <w:qFormat/>
    <w:rsid w:val="00B21A45"/>
    <w:pPr>
      <w:keepLines/>
      <w:spacing w:after="0"/>
      <w:outlineLvl w:val="9"/>
    </w:pPr>
    <w:rPr>
      <w:rFonts w:asciiTheme="majorHAnsi" w:eastAsiaTheme="majorEastAsia" w:hAnsiTheme="majorHAnsi" w:cstheme="majorBidi"/>
      <w:b w:val="0"/>
      <w:bCs w:val="0"/>
      <w:color w:val="1E3447" w:themeColor="accent1" w:themeShade="BF"/>
      <w:kern w:val="0"/>
    </w:rPr>
  </w:style>
  <w:style w:type="character" w:styleId="FollowedHyperlink">
    <w:name w:val="FollowedHyperlink"/>
    <w:basedOn w:val="DefaultParagraphFont"/>
    <w:semiHidden/>
    <w:unhideWhenUsed/>
    <w:rsid w:val="001E70AF"/>
    <w:rPr>
      <w:color w:val="C7770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83563">
      <w:bodyDiv w:val="1"/>
      <w:marLeft w:val="0"/>
      <w:marRight w:val="0"/>
      <w:marTop w:val="0"/>
      <w:marBottom w:val="0"/>
      <w:divBdr>
        <w:top w:val="none" w:sz="0" w:space="0" w:color="auto"/>
        <w:left w:val="none" w:sz="0" w:space="0" w:color="auto"/>
        <w:bottom w:val="none" w:sz="0" w:space="0" w:color="auto"/>
        <w:right w:val="none" w:sz="0" w:space="0" w:color="auto"/>
      </w:divBdr>
    </w:div>
    <w:div w:id="1216160536">
      <w:bodyDiv w:val="1"/>
      <w:marLeft w:val="0"/>
      <w:marRight w:val="0"/>
      <w:marTop w:val="0"/>
      <w:marBottom w:val="0"/>
      <w:divBdr>
        <w:top w:val="none" w:sz="0" w:space="0" w:color="auto"/>
        <w:left w:val="none" w:sz="0" w:space="0" w:color="auto"/>
        <w:bottom w:val="none" w:sz="0" w:space="0" w:color="auto"/>
        <w:right w:val="none" w:sz="0" w:space="0" w:color="auto"/>
      </w:divBdr>
    </w:div>
    <w:div w:id="1248539574">
      <w:bodyDiv w:val="1"/>
      <w:marLeft w:val="0"/>
      <w:marRight w:val="0"/>
      <w:marTop w:val="0"/>
      <w:marBottom w:val="0"/>
      <w:divBdr>
        <w:top w:val="none" w:sz="0" w:space="0" w:color="auto"/>
        <w:left w:val="none" w:sz="0" w:space="0" w:color="auto"/>
        <w:bottom w:val="none" w:sz="0" w:space="0" w:color="auto"/>
        <w:right w:val="none" w:sz="0" w:space="0" w:color="auto"/>
      </w:divBdr>
    </w:div>
    <w:div w:id="1307121513">
      <w:bodyDiv w:val="1"/>
      <w:marLeft w:val="0"/>
      <w:marRight w:val="0"/>
      <w:marTop w:val="0"/>
      <w:marBottom w:val="0"/>
      <w:divBdr>
        <w:top w:val="none" w:sz="0" w:space="0" w:color="auto"/>
        <w:left w:val="none" w:sz="0" w:space="0" w:color="auto"/>
        <w:bottom w:val="none" w:sz="0" w:space="0" w:color="auto"/>
        <w:right w:val="none" w:sz="0" w:space="0" w:color="auto"/>
      </w:divBdr>
    </w:div>
    <w:div w:id="14529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nfotech.com/terms" TargetMode="External"/><Relationship Id="rId4" Type="http://schemas.openxmlformats.org/officeDocument/2006/relationships/styles" Target="styles.xml"/><Relationship Id="rId9" Type="http://schemas.openxmlformats.org/officeDocument/2006/relationships/hyperlink" Target="https://www.infotech.com/research/ss/develop-and-implement-a-security-incident-management-progra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AE54E483-F26F-4BB3-8468-A05A1752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2018-09-18T14:21:00Z</dcterms:created>
  <dcterms:modified xsi:type="dcterms:W3CDTF">2018-10-17T12:18:00Z</dcterms:modified>
</cp:coreProperties>
</file>