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124A9" w14:textId="2357963D" w:rsidR="00B37C68" w:rsidRDefault="00B37C68" w:rsidP="000723F0"/>
    <w:tbl>
      <w:tblPr>
        <w:tblStyle w:val="TableGrid"/>
        <w:tblW w:w="9628"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1735"/>
        <w:gridCol w:w="3570"/>
        <w:gridCol w:w="1049"/>
        <w:gridCol w:w="3274"/>
      </w:tblGrid>
      <w:tr w:rsidR="00B809CC" w:rsidRPr="00127CA4" w14:paraId="5B81A215" w14:textId="77777777" w:rsidTr="375D38EA">
        <w:trPr>
          <w:tblHeader/>
        </w:trPr>
        <w:tc>
          <w:tcPr>
            <w:tcW w:w="9628" w:type="dxa"/>
            <w:gridSpan w:val="4"/>
            <w:shd w:val="clear" w:color="auto" w:fill="833C0B" w:themeFill="accent2" w:themeFillShade="80"/>
          </w:tcPr>
          <w:p w14:paraId="0992B049" w14:textId="7A947F98" w:rsidR="00B809CC" w:rsidRPr="000723F0" w:rsidRDefault="183DF259" w:rsidP="00265519">
            <w:pPr>
              <w:spacing w:before="60" w:after="60"/>
              <w:jc w:val="center"/>
              <w:rPr>
                <w:b/>
                <w:bCs/>
                <w:color w:val="FFFFFF" w:themeColor="background1"/>
                <w:sz w:val="28"/>
                <w:szCs w:val="28"/>
                <w:lang w:val="en-GB"/>
              </w:rPr>
            </w:pPr>
            <w:r w:rsidRPr="000723F0">
              <w:rPr>
                <w:b/>
                <w:bCs/>
                <w:color w:val="FFFFFF" w:themeColor="background1"/>
                <w:sz w:val="28"/>
                <w:szCs w:val="28"/>
                <w:lang w:val="en-GB"/>
              </w:rPr>
              <w:t>IT Risk Scenario</w:t>
            </w:r>
            <w:r w:rsidR="008B1F76" w:rsidRPr="000723F0">
              <w:rPr>
                <w:b/>
                <w:bCs/>
                <w:color w:val="FFFFFF" w:themeColor="background1"/>
                <w:sz w:val="28"/>
                <w:szCs w:val="28"/>
                <w:lang w:val="en-GB"/>
              </w:rPr>
              <w:t>:</w:t>
            </w:r>
            <w:r w:rsidRPr="000723F0">
              <w:rPr>
                <w:b/>
                <w:bCs/>
                <w:color w:val="FFFFFF" w:themeColor="background1"/>
                <w:sz w:val="28"/>
                <w:szCs w:val="28"/>
                <w:lang w:val="en-GB"/>
              </w:rPr>
              <w:t xml:space="preserve"> Failure to Implement Regulatory Changes</w:t>
            </w:r>
          </w:p>
        </w:tc>
      </w:tr>
      <w:tr w:rsidR="00B809CC" w:rsidRPr="00127CA4" w14:paraId="3ACBC689" w14:textId="77777777" w:rsidTr="003E5ACF">
        <w:tc>
          <w:tcPr>
            <w:tcW w:w="9628" w:type="dxa"/>
            <w:gridSpan w:val="4"/>
            <w:tcBorders>
              <w:bottom w:val="single" w:sz="4" w:space="0" w:color="auto"/>
            </w:tcBorders>
            <w:shd w:val="clear" w:color="auto" w:fill="C45911" w:themeFill="accent2" w:themeFillShade="BF"/>
          </w:tcPr>
          <w:p w14:paraId="1733D700" w14:textId="77777777" w:rsidR="00B809CC" w:rsidRPr="000723F0" w:rsidRDefault="00B809CC" w:rsidP="00B809CC">
            <w:pPr>
              <w:pStyle w:val="ListParagraph"/>
              <w:numPr>
                <w:ilvl w:val="0"/>
                <w:numId w:val="10"/>
              </w:numPr>
              <w:spacing w:before="40" w:after="40"/>
              <w:rPr>
                <w:b/>
                <w:bCs/>
                <w:color w:val="FFFFFF" w:themeColor="background1"/>
                <w:sz w:val="22"/>
                <w:szCs w:val="24"/>
                <w:lang w:val="en-GB"/>
              </w:rPr>
            </w:pPr>
            <w:r w:rsidRPr="000723F0">
              <w:rPr>
                <w:b/>
                <w:bCs/>
                <w:color w:val="FFFFFF" w:themeColor="background1"/>
                <w:sz w:val="22"/>
                <w:szCs w:val="24"/>
                <w:lang w:val="en-GB"/>
              </w:rPr>
              <w:t>Risk Scenario Description</w:t>
            </w:r>
          </w:p>
        </w:tc>
      </w:tr>
      <w:tr w:rsidR="00B809CC" w:rsidRPr="002E7042" w14:paraId="3E6C5E7D" w14:textId="77777777" w:rsidTr="003E5ACF">
        <w:tc>
          <w:tcPr>
            <w:tcW w:w="1735" w:type="dxa"/>
            <w:tcBorders>
              <w:top w:val="single" w:sz="4" w:space="0" w:color="auto"/>
              <w:left w:val="single" w:sz="4" w:space="0" w:color="auto"/>
              <w:bottom w:val="single" w:sz="4" w:space="0" w:color="auto"/>
              <w:right w:val="single" w:sz="4" w:space="0" w:color="auto"/>
            </w:tcBorders>
          </w:tcPr>
          <w:p w14:paraId="368C3DB4" w14:textId="63BA953C" w:rsidR="00B809CC" w:rsidRPr="000723F0" w:rsidRDefault="00B809CC" w:rsidP="009A2404">
            <w:pPr>
              <w:spacing w:before="40" w:after="40"/>
              <w:rPr>
                <w:b/>
                <w:bCs/>
                <w:szCs w:val="20"/>
                <w:lang w:val="en-GB"/>
              </w:rPr>
            </w:pPr>
            <w:r w:rsidRPr="000723F0">
              <w:rPr>
                <w:b/>
                <w:bCs/>
                <w:szCs w:val="20"/>
                <w:lang w:val="en-GB"/>
              </w:rPr>
              <w:t>Risk Scenario Title</w:t>
            </w:r>
          </w:p>
        </w:tc>
        <w:tc>
          <w:tcPr>
            <w:tcW w:w="7893" w:type="dxa"/>
            <w:gridSpan w:val="3"/>
            <w:tcBorders>
              <w:top w:val="single" w:sz="4" w:space="0" w:color="auto"/>
              <w:left w:val="single" w:sz="4" w:space="0" w:color="auto"/>
              <w:bottom w:val="single" w:sz="4" w:space="0" w:color="auto"/>
              <w:right w:val="single" w:sz="4" w:space="0" w:color="auto"/>
            </w:tcBorders>
          </w:tcPr>
          <w:p w14:paraId="3D27E441" w14:textId="59FACD5A" w:rsidR="00B809CC" w:rsidRPr="004D6811" w:rsidRDefault="004D6811" w:rsidP="183DF259">
            <w:pPr>
              <w:spacing w:before="40" w:after="40"/>
              <w:rPr>
                <w:i/>
                <w:iCs/>
                <w:lang w:val="en-GB"/>
              </w:rPr>
            </w:pPr>
            <w:r w:rsidRPr="183DF259">
              <w:rPr>
                <w:color w:val="231F20"/>
                <w:spacing w:val="-2"/>
              </w:rPr>
              <w:t xml:space="preserve">The </w:t>
            </w:r>
            <w:r w:rsidR="00DC2622">
              <w:rPr>
                <w:color w:val="231F20"/>
                <w:spacing w:val="-2"/>
              </w:rPr>
              <w:t>enterprise</w:t>
            </w:r>
            <w:r w:rsidR="00DC2622" w:rsidRPr="183DF259">
              <w:rPr>
                <w:color w:val="231F20"/>
                <w:spacing w:val="-2"/>
              </w:rPr>
              <w:t xml:space="preserve"> </w:t>
            </w:r>
            <w:r w:rsidRPr="183DF259">
              <w:rPr>
                <w:color w:val="231F20"/>
                <w:spacing w:val="-2"/>
              </w:rPr>
              <w:t xml:space="preserve">is unaware </w:t>
            </w:r>
            <w:r w:rsidRPr="183DF259">
              <w:rPr>
                <w:color w:val="231F20"/>
                <w:spacing w:val="-1"/>
              </w:rPr>
              <w:t>of</w:t>
            </w:r>
            <w:r w:rsidRPr="183DF259">
              <w:rPr>
                <w:color w:val="231F20"/>
                <w:spacing w:val="-3"/>
              </w:rPr>
              <w:t xml:space="preserve"> regulatory</w:t>
            </w:r>
            <w:r w:rsidRPr="183DF259">
              <w:rPr>
                <w:color w:val="231F20"/>
                <w:spacing w:val="-17"/>
              </w:rPr>
              <w:t xml:space="preserve"> </w:t>
            </w:r>
            <w:r w:rsidRPr="183DF259">
              <w:rPr>
                <w:color w:val="231F20"/>
                <w:spacing w:val="-2"/>
              </w:rPr>
              <w:t>changes</w:t>
            </w:r>
            <w:r w:rsidRPr="183DF259">
              <w:rPr>
                <w:color w:val="231F20"/>
                <w:spacing w:val="-18"/>
              </w:rPr>
              <w:t xml:space="preserve"> </w:t>
            </w:r>
            <w:r w:rsidRPr="183DF259">
              <w:rPr>
                <w:color w:val="231F20"/>
                <w:spacing w:val="-2"/>
              </w:rPr>
              <w:t xml:space="preserve">that </w:t>
            </w:r>
            <w:r w:rsidRPr="183DF259">
              <w:rPr>
                <w:color w:val="231F20"/>
                <w:spacing w:val="-1"/>
              </w:rPr>
              <w:t>have</w:t>
            </w:r>
            <w:r w:rsidRPr="183DF259">
              <w:rPr>
                <w:color w:val="231F20"/>
                <w:spacing w:val="-19"/>
              </w:rPr>
              <w:t xml:space="preserve"> </w:t>
            </w:r>
            <w:r w:rsidRPr="183DF259">
              <w:rPr>
                <w:color w:val="231F20"/>
                <w:spacing w:val="-1"/>
              </w:rPr>
              <w:t>a</w:t>
            </w:r>
            <w:r w:rsidRPr="183DF259">
              <w:rPr>
                <w:color w:val="231F20"/>
                <w:spacing w:val="-18"/>
              </w:rPr>
              <w:t xml:space="preserve"> </w:t>
            </w:r>
            <w:r w:rsidRPr="183DF259">
              <w:rPr>
                <w:color w:val="231F20"/>
                <w:spacing w:val="-1"/>
              </w:rPr>
              <w:t>business</w:t>
            </w:r>
            <w:r w:rsidRPr="183DF259">
              <w:rPr>
                <w:color w:val="231F20"/>
                <w:spacing w:val="-19"/>
              </w:rPr>
              <w:t xml:space="preserve"> </w:t>
            </w:r>
            <w:r w:rsidRPr="183DF259">
              <w:rPr>
                <w:color w:val="231F20"/>
              </w:rPr>
              <w:t>impact on the availability of critical workers</w:t>
            </w:r>
          </w:p>
        </w:tc>
      </w:tr>
      <w:tr w:rsidR="00B809CC" w:rsidRPr="002E7042" w14:paraId="0847C1CA" w14:textId="77777777" w:rsidTr="003E5ACF">
        <w:tc>
          <w:tcPr>
            <w:tcW w:w="1735" w:type="dxa"/>
            <w:tcBorders>
              <w:top w:val="single" w:sz="4" w:space="0" w:color="auto"/>
              <w:left w:val="single" w:sz="4" w:space="0" w:color="auto"/>
              <w:bottom w:val="single" w:sz="4" w:space="0" w:color="auto"/>
              <w:right w:val="single" w:sz="4" w:space="0" w:color="auto"/>
            </w:tcBorders>
          </w:tcPr>
          <w:p w14:paraId="5E71C92F" w14:textId="77777777" w:rsidR="00B809CC" w:rsidRPr="000723F0" w:rsidRDefault="00B809CC" w:rsidP="00265519">
            <w:pPr>
              <w:spacing w:before="40" w:after="40"/>
              <w:rPr>
                <w:b/>
                <w:bCs/>
                <w:szCs w:val="20"/>
                <w:lang w:val="en-GB"/>
              </w:rPr>
            </w:pPr>
            <w:r w:rsidRPr="000723F0">
              <w:rPr>
                <w:b/>
                <w:bCs/>
                <w:szCs w:val="20"/>
                <w:lang w:val="en-GB"/>
              </w:rPr>
              <w:t>Risk Type</w:t>
            </w:r>
          </w:p>
        </w:tc>
        <w:tc>
          <w:tcPr>
            <w:tcW w:w="7893" w:type="dxa"/>
            <w:gridSpan w:val="3"/>
            <w:tcBorders>
              <w:top w:val="single" w:sz="4" w:space="0" w:color="auto"/>
              <w:left w:val="single" w:sz="4" w:space="0" w:color="auto"/>
              <w:bottom w:val="single" w:sz="4" w:space="0" w:color="auto"/>
              <w:right w:val="single" w:sz="4" w:space="0" w:color="auto"/>
            </w:tcBorders>
          </w:tcPr>
          <w:p w14:paraId="4E3FFFDE" w14:textId="017587D2" w:rsidR="00B809CC" w:rsidRPr="000723F0" w:rsidRDefault="183DF259" w:rsidP="183DF259">
            <w:pPr>
              <w:spacing w:before="40" w:after="40" w:line="259" w:lineRule="auto"/>
              <w:rPr>
                <w:iCs/>
                <w:szCs w:val="20"/>
                <w:lang w:val="en-GB"/>
              </w:rPr>
            </w:pPr>
            <w:r w:rsidRPr="000723F0">
              <w:rPr>
                <w:iCs/>
                <w:lang w:val="en-GB"/>
              </w:rPr>
              <w:t>1-Product delivery; 4-Legal &amp; regulatory; 5-Workplace safety</w:t>
            </w:r>
          </w:p>
        </w:tc>
      </w:tr>
      <w:tr w:rsidR="00B809CC" w:rsidRPr="002E7042" w14:paraId="71F5EBDA" w14:textId="77777777" w:rsidTr="003E5ACF">
        <w:tc>
          <w:tcPr>
            <w:tcW w:w="1735" w:type="dxa"/>
            <w:tcBorders>
              <w:top w:val="single" w:sz="4" w:space="0" w:color="auto"/>
              <w:left w:val="single" w:sz="4" w:space="0" w:color="auto"/>
              <w:bottom w:val="single" w:sz="4" w:space="0" w:color="auto"/>
              <w:right w:val="single" w:sz="4" w:space="0" w:color="auto"/>
            </w:tcBorders>
          </w:tcPr>
          <w:p w14:paraId="43E22991" w14:textId="3B7F2334" w:rsidR="00B809CC" w:rsidRPr="000723F0" w:rsidRDefault="00B809CC" w:rsidP="009A2404">
            <w:pPr>
              <w:spacing w:before="40" w:after="40"/>
              <w:rPr>
                <w:b/>
                <w:bCs/>
                <w:szCs w:val="20"/>
                <w:lang w:val="en-GB"/>
              </w:rPr>
            </w:pPr>
            <w:r w:rsidRPr="000723F0">
              <w:rPr>
                <w:b/>
                <w:bCs/>
                <w:szCs w:val="20"/>
                <w:lang w:val="en-GB"/>
              </w:rPr>
              <w:t>Risk Scenario Category</w:t>
            </w:r>
          </w:p>
        </w:tc>
        <w:tc>
          <w:tcPr>
            <w:tcW w:w="7893" w:type="dxa"/>
            <w:gridSpan w:val="3"/>
            <w:tcBorders>
              <w:top w:val="single" w:sz="4" w:space="0" w:color="auto"/>
              <w:left w:val="single" w:sz="4" w:space="0" w:color="auto"/>
              <w:bottom w:val="single" w:sz="4" w:space="0" w:color="auto"/>
              <w:right w:val="single" w:sz="4" w:space="0" w:color="auto"/>
            </w:tcBorders>
          </w:tcPr>
          <w:p w14:paraId="56616894" w14:textId="00FE3B38" w:rsidR="00B809CC" w:rsidRPr="004D6811" w:rsidRDefault="004D6811" w:rsidP="22CFA39B">
            <w:pPr>
              <w:spacing w:before="40" w:after="40"/>
              <w:rPr>
                <w:rFonts w:ascii="Calibri" w:eastAsia="Calibri" w:hAnsi="Calibri" w:cs="Calibri"/>
                <w:szCs w:val="20"/>
              </w:rPr>
            </w:pPr>
            <w:r w:rsidRPr="22CFA39B">
              <w:rPr>
                <w:color w:val="231F20"/>
                <w:spacing w:val="-4"/>
              </w:rPr>
              <w:t>Noncompliance</w:t>
            </w:r>
            <w:r w:rsidR="20C94C84" w:rsidRPr="22CFA39B">
              <w:rPr>
                <w:rFonts w:ascii="Calibri" w:eastAsia="Calibri" w:hAnsi="Calibri" w:cs="Calibri"/>
                <w:szCs w:val="20"/>
              </w:rPr>
              <w:t xml:space="preserve">: Inability to comply with policies, standards, laws and regulations related to </w:t>
            </w:r>
            <w:r w:rsidR="00DC2622">
              <w:rPr>
                <w:rFonts w:ascii="Calibri" w:eastAsia="Calibri" w:hAnsi="Calibri" w:cs="Calibri"/>
                <w:szCs w:val="20"/>
              </w:rPr>
              <w:t>t</w:t>
            </w:r>
            <w:r w:rsidR="20C94C84" w:rsidRPr="22CFA39B">
              <w:rPr>
                <w:rFonts w:ascii="Calibri" w:eastAsia="Calibri" w:hAnsi="Calibri" w:cs="Calibri"/>
                <w:szCs w:val="20"/>
              </w:rPr>
              <w:t>echnology</w:t>
            </w:r>
          </w:p>
        </w:tc>
      </w:tr>
      <w:tr w:rsidR="00B809CC" w:rsidRPr="002E7042" w14:paraId="56515DF1" w14:textId="77777777" w:rsidTr="003E5ACF">
        <w:tc>
          <w:tcPr>
            <w:tcW w:w="1735" w:type="dxa"/>
            <w:tcBorders>
              <w:top w:val="single" w:sz="4" w:space="0" w:color="auto"/>
              <w:left w:val="single" w:sz="4" w:space="0" w:color="auto"/>
              <w:bottom w:val="single" w:sz="4" w:space="0" w:color="auto"/>
              <w:right w:val="single" w:sz="4" w:space="0" w:color="auto"/>
            </w:tcBorders>
          </w:tcPr>
          <w:p w14:paraId="0265EE3B" w14:textId="1690C65C" w:rsidR="00B809CC" w:rsidRPr="000723F0" w:rsidRDefault="00B809CC" w:rsidP="009A2404">
            <w:pPr>
              <w:rPr>
                <w:b/>
                <w:bCs/>
                <w:szCs w:val="20"/>
                <w:lang w:val="en-GB"/>
              </w:rPr>
            </w:pPr>
            <w:r w:rsidRPr="000723F0">
              <w:rPr>
                <w:b/>
                <w:bCs/>
                <w:szCs w:val="20"/>
                <w:lang w:val="en-GB"/>
              </w:rPr>
              <w:t>Risk Scenario Reference</w:t>
            </w:r>
          </w:p>
        </w:tc>
        <w:tc>
          <w:tcPr>
            <w:tcW w:w="7893" w:type="dxa"/>
            <w:gridSpan w:val="3"/>
            <w:tcBorders>
              <w:top w:val="single" w:sz="4" w:space="0" w:color="auto"/>
              <w:left w:val="single" w:sz="4" w:space="0" w:color="auto"/>
              <w:bottom w:val="single" w:sz="4" w:space="0" w:color="auto"/>
              <w:right w:val="single" w:sz="4" w:space="0" w:color="auto"/>
            </w:tcBorders>
          </w:tcPr>
          <w:p w14:paraId="1B70ED6E" w14:textId="567FFC12" w:rsidR="00B809CC" w:rsidRPr="004D6811" w:rsidRDefault="23BAD706" w:rsidP="5A2F4139">
            <w:pPr>
              <w:rPr>
                <w:rFonts w:ascii="Calibri" w:eastAsia="Calibri" w:hAnsi="Calibri" w:cs="Calibri"/>
                <w:color w:val="000000" w:themeColor="text1"/>
                <w:szCs w:val="20"/>
                <w:lang w:val="en-GB"/>
              </w:rPr>
            </w:pPr>
            <w:r w:rsidRPr="5A2F4139">
              <w:rPr>
                <w:rFonts w:ascii="Calibri" w:eastAsia="Calibri" w:hAnsi="Calibri" w:cs="Calibri"/>
                <w:color w:val="000000" w:themeColor="text1"/>
                <w:sz w:val="19"/>
                <w:szCs w:val="19"/>
                <w:lang w:val="en-GB"/>
              </w:rPr>
              <w:t>12B</w:t>
            </w:r>
          </w:p>
        </w:tc>
      </w:tr>
      <w:tr w:rsidR="00B809CC" w:rsidRPr="002E7042" w14:paraId="417B4CF0" w14:textId="77777777" w:rsidTr="003E5ACF">
        <w:tc>
          <w:tcPr>
            <w:tcW w:w="1735" w:type="dxa"/>
            <w:tcBorders>
              <w:top w:val="single" w:sz="4" w:space="0" w:color="auto"/>
              <w:left w:val="single" w:sz="4" w:space="0" w:color="auto"/>
              <w:bottom w:val="single" w:sz="4" w:space="0" w:color="auto"/>
              <w:right w:val="single" w:sz="4" w:space="0" w:color="auto"/>
            </w:tcBorders>
          </w:tcPr>
          <w:p w14:paraId="0A8DD440" w14:textId="77777777" w:rsidR="00B809CC" w:rsidRPr="000723F0" w:rsidRDefault="00B809CC" w:rsidP="00265519">
            <w:pPr>
              <w:rPr>
                <w:b/>
                <w:bCs/>
                <w:szCs w:val="20"/>
                <w:lang w:val="en-GB"/>
              </w:rPr>
            </w:pPr>
            <w:r w:rsidRPr="000723F0">
              <w:rPr>
                <w:b/>
                <w:bCs/>
                <w:szCs w:val="20"/>
                <w:lang w:val="en-GB"/>
              </w:rPr>
              <w:t>Risk Statement</w:t>
            </w:r>
          </w:p>
        </w:tc>
        <w:tc>
          <w:tcPr>
            <w:tcW w:w="7893" w:type="dxa"/>
            <w:gridSpan w:val="3"/>
            <w:tcBorders>
              <w:top w:val="single" w:sz="4" w:space="0" w:color="auto"/>
              <w:left w:val="single" w:sz="4" w:space="0" w:color="auto"/>
              <w:bottom w:val="single" w:sz="4" w:space="0" w:color="auto"/>
              <w:right w:val="single" w:sz="4" w:space="0" w:color="auto"/>
            </w:tcBorders>
          </w:tcPr>
          <w:p w14:paraId="75AB236F" w14:textId="510AD1B1" w:rsidR="00B809CC" w:rsidRPr="004D6811" w:rsidRDefault="00C61451" w:rsidP="003D2EC6">
            <w:pPr>
              <w:rPr>
                <w:i/>
                <w:iCs/>
                <w:lang w:val="en-GB"/>
              </w:rPr>
            </w:pPr>
            <w:r>
              <w:rPr>
                <w:color w:val="231F20"/>
                <w:spacing w:val="-2"/>
              </w:rPr>
              <w:t xml:space="preserve">The </w:t>
            </w:r>
            <w:r w:rsidR="00DC2622">
              <w:rPr>
                <w:color w:val="231F20"/>
                <w:spacing w:val="-2"/>
              </w:rPr>
              <w:t xml:space="preserve">enterprise </w:t>
            </w:r>
            <w:r>
              <w:rPr>
                <w:color w:val="231F20"/>
                <w:spacing w:val="-2"/>
              </w:rPr>
              <w:t>does not implement changes to workplace health and safety regulations</w:t>
            </w:r>
            <w:r>
              <w:rPr>
                <w:color w:val="231F20"/>
                <w:spacing w:val="-2"/>
              </w:rPr>
              <w:t xml:space="preserve">. </w:t>
            </w:r>
          </w:p>
        </w:tc>
      </w:tr>
      <w:tr w:rsidR="00B809CC" w:rsidRPr="002E7042" w14:paraId="63879F76" w14:textId="77777777" w:rsidTr="003E5ACF">
        <w:tc>
          <w:tcPr>
            <w:tcW w:w="1735" w:type="dxa"/>
            <w:tcBorders>
              <w:top w:val="single" w:sz="4" w:space="0" w:color="auto"/>
              <w:left w:val="single" w:sz="4" w:space="0" w:color="auto"/>
              <w:bottom w:val="single" w:sz="4" w:space="0" w:color="auto"/>
              <w:right w:val="single" w:sz="4" w:space="0" w:color="auto"/>
            </w:tcBorders>
          </w:tcPr>
          <w:p w14:paraId="32437785" w14:textId="77777777" w:rsidR="00B809CC" w:rsidRPr="000723F0" w:rsidRDefault="00B809CC" w:rsidP="00265519">
            <w:pPr>
              <w:rPr>
                <w:b/>
                <w:bCs/>
                <w:szCs w:val="20"/>
                <w:lang w:val="en-GB"/>
              </w:rPr>
            </w:pPr>
            <w:r w:rsidRPr="000723F0">
              <w:rPr>
                <w:b/>
                <w:bCs/>
                <w:szCs w:val="20"/>
                <w:lang w:val="en-GB"/>
              </w:rPr>
              <w:t>Risk Owner</w:t>
            </w:r>
          </w:p>
        </w:tc>
        <w:tc>
          <w:tcPr>
            <w:tcW w:w="3570" w:type="dxa"/>
            <w:tcBorders>
              <w:top w:val="single" w:sz="4" w:space="0" w:color="auto"/>
              <w:left w:val="single" w:sz="4" w:space="0" w:color="auto"/>
              <w:bottom w:val="single" w:sz="4" w:space="0" w:color="auto"/>
              <w:right w:val="single" w:sz="4" w:space="0" w:color="auto"/>
            </w:tcBorders>
          </w:tcPr>
          <w:p w14:paraId="5DFE3B10" w14:textId="31456B14" w:rsidR="000009F1" w:rsidRPr="000723F0" w:rsidRDefault="76807B70" w:rsidP="76807B70">
            <w:pPr>
              <w:rPr>
                <w:iCs/>
                <w:szCs w:val="20"/>
                <w:lang w:val="en-GB"/>
              </w:rPr>
            </w:pPr>
            <w:r w:rsidRPr="000723F0">
              <w:rPr>
                <w:rFonts w:ascii="Calibri" w:eastAsia="Calibri" w:hAnsi="Calibri" w:cs="Calibri"/>
                <w:iCs/>
                <w:color w:val="000000" w:themeColor="text1"/>
                <w:szCs w:val="20"/>
                <w:lang w:val="en-GB"/>
              </w:rPr>
              <w:t>Business Process Owner/CIO/CTO/CDO</w:t>
            </w:r>
          </w:p>
        </w:tc>
        <w:tc>
          <w:tcPr>
            <w:tcW w:w="1049" w:type="dxa"/>
            <w:tcBorders>
              <w:top w:val="single" w:sz="4" w:space="0" w:color="auto"/>
              <w:left w:val="single" w:sz="4" w:space="0" w:color="auto"/>
              <w:bottom w:val="single" w:sz="4" w:space="0" w:color="auto"/>
              <w:right w:val="single" w:sz="4" w:space="0" w:color="auto"/>
            </w:tcBorders>
          </w:tcPr>
          <w:p w14:paraId="7D2CB11F" w14:textId="77777777" w:rsidR="00B809CC" w:rsidRPr="000723F0" w:rsidRDefault="00B809CC" w:rsidP="00265519">
            <w:pPr>
              <w:rPr>
                <w:iCs/>
                <w:szCs w:val="20"/>
                <w:lang w:val="en-GB"/>
              </w:rPr>
            </w:pPr>
            <w:r w:rsidRPr="000723F0">
              <w:rPr>
                <w:b/>
                <w:bCs/>
                <w:szCs w:val="20"/>
                <w:lang w:val="en-GB"/>
              </w:rPr>
              <w:t>Risk Oversight</w:t>
            </w:r>
          </w:p>
        </w:tc>
        <w:tc>
          <w:tcPr>
            <w:tcW w:w="3274" w:type="dxa"/>
            <w:tcBorders>
              <w:top w:val="single" w:sz="4" w:space="0" w:color="auto"/>
              <w:left w:val="single" w:sz="4" w:space="0" w:color="auto"/>
              <w:bottom w:val="single" w:sz="4" w:space="0" w:color="auto"/>
              <w:right w:val="single" w:sz="4" w:space="0" w:color="auto"/>
            </w:tcBorders>
          </w:tcPr>
          <w:p w14:paraId="4930FF2C" w14:textId="3AFC7EDA" w:rsidR="00B809CC" w:rsidRPr="00D648DB" w:rsidRDefault="76807B70" w:rsidP="76807B70">
            <w:pPr>
              <w:spacing w:line="259" w:lineRule="auto"/>
              <w:rPr>
                <w:rFonts w:ascii="Calibri" w:eastAsia="Calibri" w:hAnsi="Calibri" w:cs="Calibri"/>
                <w:color w:val="000000" w:themeColor="text1"/>
                <w:szCs w:val="20"/>
                <w:lang w:val="en-GB"/>
              </w:rPr>
            </w:pPr>
            <w:r w:rsidRPr="000723F0">
              <w:rPr>
                <w:rFonts w:ascii="Calibri" w:eastAsia="Calibri" w:hAnsi="Calibri" w:cs="Calibri"/>
                <w:iCs/>
                <w:color w:val="000000" w:themeColor="text1"/>
                <w:szCs w:val="20"/>
                <w:lang w:val="en-GB"/>
              </w:rPr>
              <w:t xml:space="preserve">Head of Human Resources </w:t>
            </w:r>
          </w:p>
          <w:p w14:paraId="718748B7" w14:textId="4A9C25BD" w:rsidR="00B809CC" w:rsidRPr="00D648DB" w:rsidRDefault="76807B70" w:rsidP="76807B70">
            <w:pPr>
              <w:spacing w:line="259" w:lineRule="auto"/>
              <w:rPr>
                <w:rFonts w:ascii="Calibri" w:eastAsia="Calibri" w:hAnsi="Calibri" w:cs="Calibri"/>
                <w:color w:val="000000" w:themeColor="text1"/>
                <w:szCs w:val="20"/>
                <w:lang w:val="en-GB"/>
              </w:rPr>
            </w:pPr>
            <w:r w:rsidRPr="000723F0">
              <w:rPr>
                <w:rFonts w:ascii="Calibri" w:eastAsia="Calibri" w:hAnsi="Calibri" w:cs="Calibri"/>
                <w:iCs/>
                <w:color w:val="000000" w:themeColor="text1"/>
                <w:szCs w:val="20"/>
                <w:lang w:val="en-GB"/>
              </w:rPr>
              <w:t xml:space="preserve">Head of Compliance </w:t>
            </w:r>
          </w:p>
          <w:p w14:paraId="43968667" w14:textId="36243CF9" w:rsidR="00B809CC" w:rsidRPr="00D648DB" w:rsidRDefault="76807B70" w:rsidP="76807B70">
            <w:pPr>
              <w:spacing w:line="259" w:lineRule="auto"/>
              <w:rPr>
                <w:rFonts w:ascii="Calibri" w:eastAsia="Calibri" w:hAnsi="Calibri" w:cs="Calibri"/>
                <w:color w:val="000000" w:themeColor="text1"/>
                <w:szCs w:val="20"/>
              </w:rPr>
            </w:pPr>
            <w:r w:rsidRPr="000723F0">
              <w:rPr>
                <w:rFonts w:ascii="Calibri" w:eastAsia="Calibri" w:hAnsi="Calibri" w:cs="Calibri"/>
                <w:iCs/>
                <w:color w:val="000000" w:themeColor="text1"/>
                <w:szCs w:val="20"/>
                <w:lang w:val="en-GB"/>
              </w:rPr>
              <w:t>Chief Risk Officer</w:t>
            </w:r>
          </w:p>
          <w:p w14:paraId="3693EA13" w14:textId="29087C82" w:rsidR="00B809CC" w:rsidRPr="000723F0" w:rsidRDefault="00B809CC" w:rsidP="76807B70">
            <w:pPr>
              <w:rPr>
                <w:iCs/>
                <w:szCs w:val="20"/>
                <w:lang w:val="en-GB"/>
              </w:rPr>
            </w:pPr>
          </w:p>
        </w:tc>
      </w:tr>
    </w:tbl>
    <w:p w14:paraId="4B3F14B5" w14:textId="77777777" w:rsidR="009A2404" w:rsidRDefault="009A2404"/>
    <w:tbl>
      <w:tblPr>
        <w:tblStyle w:val="TableGrid"/>
        <w:tblW w:w="9628"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1735"/>
        <w:gridCol w:w="2220"/>
        <w:gridCol w:w="2399"/>
        <w:gridCol w:w="3274"/>
      </w:tblGrid>
      <w:tr w:rsidR="00B37C68" w:rsidRPr="00127CA4" w14:paraId="04F939BB" w14:textId="77777777" w:rsidTr="003E5ACF">
        <w:tc>
          <w:tcPr>
            <w:tcW w:w="9628" w:type="dxa"/>
            <w:gridSpan w:val="4"/>
            <w:tcBorders>
              <w:bottom w:val="single" w:sz="4" w:space="0" w:color="auto"/>
            </w:tcBorders>
            <w:shd w:val="clear" w:color="auto" w:fill="C45911" w:themeFill="accent2" w:themeFillShade="BF"/>
          </w:tcPr>
          <w:p w14:paraId="6576431A" w14:textId="63953D1E" w:rsidR="00B37C68" w:rsidRPr="000723F0" w:rsidRDefault="00B37C68" w:rsidP="00B37C68">
            <w:pPr>
              <w:pStyle w:val="ListParagraph"/>
              <w:numPr>
                <w:ilvl w:val="0"/>
                <w:numId w:val="10"/>
              </w:numPr>
              <w:spacing w:before="40" w:after="40"/>
              <w:rPr>
                <w:b/>
                <w:bCs/>
                <w:color w:val="FFFFFF" w:themeColor="background1"/>
                <w:sz w:val="22"/>
                <w:szCs w:val="24"/>
                <w:lang w:val="en-GB"/>
              </w:rPr>
            </w:pPr>
            <w:r w:rsidRPr="000723F0">
              <w:rPr>
                <w:b/>
                <w:bCs/>
                <w:color w:val="FFFFFF" w:themeColor="background1"/>
                <w:sz w:val="22"/>
                <w:szCs w:val="24"/>
                <w:lang w:val="en-GB"/>
              </w:rPr>
              <w:t>Risk Scenario Components</w:t>
            </w:r>
          </w:p>
        </w:tc>
      </w:tr>
      <w:tr w:rsidR="00B809CC" w:rsidRPr="002E7042" w14:paraId="57E5B134" w14:textId="77777777" w:rsidTr="003E5ACF">
        <w:tc>
          <w:tcPr>
            <w:tcW w:w="1735" w:type="dxa"/>
            <w:tcBorders>
              <w:top w:val="single" w:sz="4" w:space="0" w:color="auto"/>
              <w:left w:val="single" w:sz="4" w:space="0" w:color="auto"/>
              <w:bottom w:val="single" w:sz="4" w:space="0" w:color="auto"/>
              <w:right w:val="single" w:sz="4" w:space="0" w:color="auto"/>
            </w:tcBorders>
          </w:tcPr>
          <w:p w14:paraId="68286305" w14:textId="77777777" w:rsidR="00B809CC" w:rsidRPr="000723F0" w:rsidRDefault="00B809CC" w:rsidP="00265519">
            <w:pPr>
              <w:spacing w:before="40" w:after="40"/>
              <w:contextualSpacing/>
              <w:rPr>
                <w:b/>
                <w:bCs/>
                <w:szCs w:val="20"/>
                <w:lang w:val="en-GB"/>
              </w:rPr>
            </w:pPr>
            <w:r w:rsidRPr="000723F0">
              <w:rPr>
                <w:b/>
                <w:bCs/>
                <w:szCs w:val="20"/>
                <w:lang w:val="en-GB"/>
              </w:rPr>
              <w:t>Actor/Threat Community</w:t>
            </w:r>
          </w:p>
        </w:tc>
        <w:tc>
          <w:tcPr>
            <w:tcW w:w="7893" w:type="dxa"/>
            <w:gridSpan w:val="3"/>
            <w:tcBorders>
              <w:top w:val="single" w:sz="4" w:space="0" w:color="auto"/>
              <w:left w:val="single" w:sz="4" w:space="0" w:color="auto"/>
              <w:bottom w:val="single" w:sz="4" w:space="0" w:color="auto"/>
              <w:right w:val="single" w:sz="4" w:space="0" w:color="auto"/>
            </w:tcBorders>
          </w:tcPr>
          <w:p w14:paraId="4F94ED30" w14:textId="0555ECDE" w:rsidR="00527494" w:rsidRPr="000723F0" w:rsidRDefault="183DF259" w:rsidP="183DF259">
            <w:pPr>
              <w:spacing w:before="40" w:after="40" w:line="259" w:lineRule="auto"/>
              <w:rPr>
                <w:rFonts w:ascii="Calibri" w:eastAsia="Calibri" w:hAnsi="Calibri" w:cs="Calibri"/>
                <w:iCs/>
                <w:color w:val="000000" w:themeColor="text1"/>
                <w:szCs w:val="20"/>
              </w:rPr>
            </w:pPr>
            <w:r w:rsidRPr="000723F0">
              <w:rPr>
                <w:rFonts w:ascii="Calibri" w:eastAsia="Calibri" w:hAnsi="Calibri" w:cs="Calibri"/>
                <w:iCs/>
                <w:color w:val="000000" w:themeColor="text1"/>
                <w:szCs w:val="20"/>
                <w:lang w:val="en-GB"/>
              </w:rPr>
              <w:t xml:space="preserve">Nonmalicious internal employees, </w:t>
            </w:r>
            <w:proofErr w:type="gramStart"/>
            <w:r w:rsidRPr="000723F0">
              <w:rPr>
                <w:rFonts w:ascii="Calibri" w:eastAsia="Calibri" w:hAnsi="Calibri" w:cs="Calibri"/>
                <w:iCs/>
                <w:color w:val="000000" w:themeColor="text1"/>
                <w:szCs w:val="20"/>
                <w:lang w:val="en-GB"/>
              </w:rPr>
              <w:t>contractors</w:t>
            </w:r>
            <w:proofErr w:type="gramEnd"/>
            <w:r w:rsidR="00B77C1E">
              <w:rPr>
                <w:rFonts w:ascii="Calibri" w:eastAsia="Calibri" w:hAnsi="Calibri" w:cs="Calibri"/>
                <w:iCs/>
                <w:color w:val="000000" w:themeColor="text1"/>
                <w:szCs w:val="20"/>
                <w:lang w:val="en-GB"/>
              </w:rPr>
              <w:t xml:space="preserve"> and</w:t>
            </w:r>
            <w:r w:rsidRPr="000723F0">
              <w:rPr>
                <w:rFonts w:ascii="Calibri" w:eastAsia="Calibri" w:hAnsi="Calibri" w:cs="Calibri"/>
                <w:iCs/>
                <w:color w:val="000000" w:themeColor="text1"/>
                <w:szCs w:val="20"/>
                <w:lang w:val="en-GB"/>
              </w:rPr>
              <w:t xml:space="preserve"> consultants</w:t>
            </w:r>
          </w:p>
          <w:p w14:paraId="6C74CCE7" w14:textId="1146CBAF" w:rsidR="00527494" w:rsidRPr="00527494" w:rsidRDefault="00527494" w:rsidP="183DF259">
            <w:pPr>
              <w:spacing w:before="40" w:after="40"/>
              <w:rPr>
                <w:szCs w:val="20"/>
                <w:lang w:val="en-GB"/>
              </w:rPr>
            </w:pPr>
          </w:p>
        </w:tc>
      </w:tr>
      <w:tr w:rsidR="00B809CC" w:rsidRPr="002E7042" w14:paraId="5A25CE13" w14:textId="77777777" w:rsidTr="003E5ACF">
        <w:tc>
          <w:tcPr>
            <w:tcW w:w="1735" w:type="dxa"/>
            <w:tcBorders>
              <w:top w:val="single" w:sz="4" w:space="0" w:color="auto"/>
              <w:left w:val="single" w:sz="4" w:space="0" w:color="auto"/>
              <w:bottom w:val="single" w:sz="4" w:space="0" w:color="auto"/>
              <w:right w:val="single" w:sz="4" w:space="0" w:color="auto"/>
            </w:tcBorders>
          </w:tcPr>
          <w:p w14:paraId="21CBF853" w14:textId="2DB6A22F" w:rsidR="00B809CC" w:rsidRPr="000723F0" w:rsidRDefault="00B809CC" w:rsidP="00265519">
            <w:pPr>
              <w:spacing w:before="40" w:after="40"/>
              <w:contextualSpacing/>
              <w:rPr>
                <w:b/>
                <w:bCs/>
                <w:szCs w:val="20"/>
                <w:lang w:val="en-GB"/>
              </w:rPr>
            </w:pPr>
            <w:r w:rsidRPr="000723F0">
              <w:rPr>
                <w:b/>
                <w:bCs/>
                <w:szCs w:val="20"/>
                <w:lang w:val="en-GB"/>
              </w:rPr>
              <w:t>Intent/</w:t>
            </w:r>
            <w:r w:rsidR="003E5ACF">
              <w:rPr>
                <w:b/>
                <w:bCs/>
                <w:szCs w:val="20"/>
                <w:lang w:val="en-GB"/>
              </w:rPr>
              <w:t xml:space="preserve"> </w:t>
            </w:r>
            <w:r w:rsidRPr="000723F0">
              <w:rPr>
                <w:b/>
                <w:bCs/>
                <w:szCs w:val="20"/>
                <w:lang w:val="en-GB"/>
              </w:rPr>
              <w:t>Motivation</w:t>
            </w:r>
          </w:p>
        </w:tc>
        <w:tc>
          <w:tcPr>
            <w:tcW w:w="7893" w:type="dxa"/>
            <w:gridSpan w:val="3"/>
            <w:tcBorders>
              <w:top w:val="single" w:sz="4" w:space="0" w:color="auto"/>
              <w:left w:val="single" w:sz="4" w:space="0" w:color="auto"/>
              <w:bottom w:val="single" w:sz="4" w:space="0" w:color="auto"/>
              <w:right w:val="single" w:sz="4" w:space="0" w:color="auto"/>
            </w:tcBorders>
          </w:tcPr>
          <w:p w14:paraId="2902593A" w14:textId="55742F32" w:rsidR="00527494" w:rsidRPr="002E7042" w:rsidRDefault="008E030A" w:rsidP="76807B70">
            <w:pPr>
              <w:spacing w:before="40" w:after="40" w:line="259" w:lineRule="auto"/>
              <w:contextualSpacing/>
              <w:rPr>
                <w:rFonts w:ascii="Calibri" w:eastAsia="Calibri" w:hAnsi="Calibri" w:cs="Calibri"/>
                <w:color w:val="000000" w:themeColor="text1"/>
                <w:szCs w:val="20"/>
              </w:rPr>
            </w:pPr>
            <w:r w:rsidRPr="000723F0">
              <w:rPr>
                <w:rFonts w:ascii="Calibri" w:eastAsia="Calibri" w:hAnsi="Calibri" w:cs="Calibri"/>
                <w:iCs/>
                <w:color w:val="000000" w:themeColor="text1"/>
                <w:szCs w:val="20"/>
                <w:lang w:val="en-GB"/>
              </w:rPr>
              <w:t>The i</w:t>
            </w:r>
            <w:r w:rsidR="76807B70" w:rsidRPr="000723F0">
              <w:rPr>
                <w:rFonts w:ascii="Calibri" w:eastAsia="Calibri" w:hAnsi="Calibri" w:cs="Calibri"/>
                <w:iCs/>
                <w:color w:val="000000" w:themeColor="text1"/>
                <w:szCs w:val="20"/>
                <w:lang w:val="en-GB"/>
              </w:rPr>
              <w:t>nadvertent event resulting from untrained staff, inadequate process/documentation, lack of understanding of the local and international regulations</w:t>
            </w:r>
            <w:r>
              <w:rPr>
                <w:rFonts w:ascii="Calibri" w:eastAsia="Calibri" w:hAnsi="Calibri" w:cs="Calibri"/>
                <w:color w:val="000000" w:themeColor="text1"/>
                <w:szCs w:val="20"/>
                <w:lang w:val="en-GB"/>
              </w:rPr>
              <w:t>.</w:t>
            </w:r>
          </w:p>
        </w:tc>
      </w:tr>
      <w:tr w:rsidR="00B809CC" w:rsidRPr="002E7042" w14:paraId="17F112F8" w14:textId="77777777" w:rsidTr="003E5ACF">
        <w:tc>
          <w:tcPr>
            <w:tcW w:w="1735" w:type="dxa"/>
            <w:tcBorders>
              <w:top w:val="single" w:sz="4" w:space="0" w:color="auto"/>
              <w:left w:val="single" w:sz="4" w:space="0" w:color="auto"/>
              <w:bottom w:val="single" w:sz="4" w:space="0" w:color="auto"/>
              <w:right w:val="single" w:sz="4" w:space="0" w:color="auto"/>
            </w:tcBorders>
          </w:tcPr>
          <w:p w14:paraId="775F9E18" w14:textId="77777777" w:rsidR="00B809CC" w:rsidRPr="000723F0" w:rsidRDefault="00B809CC" w:rsidP="00265519">
            <w:pPr>
              <w:spacing w:before="40" w:after="40"/>
              <w:contextualSpacing/>
              <w:rPr>
                <w:b/>
                <w:bCs/>
                <w:szCs w:val="20"/>
                <w:lang w:val="en-GB"/>
              </w:rPr>
            </w:pPr>
            <w:r w:rsidRPr="000723F0">
              <w:rPr>
                <w:b/>
                <w:bCs/>
                <w:szCs w:val="20"/>
                <w:lang w:val="en-GB"/>
              </w:rPr>
              <w:t>Threat Event</w:t>
            </w:r>
          </w:p>
        </w:tc>
        <w:tc>
          <w:tcPr>
            <w:tcW w:w="7893" w:type="dxa"/>
            <w:gridSpan w:val="3"/>
            <w:tcBorders>
              <w:top w:val="single" w:sz="4" w:space="0" w:color="auto"/>
              <w:left w:val="single" w:sz="4" w:space="0" w:color="auto"/>
              <w:bottom w:val="single" w:sz="4" w:space="0" w:color="auto"/>
              <w:right w:val="single" w:sz="4" w:space="0" w:color="auto"/>
            </w:tcBorders>
          </w:tcPr>
          <w:p w14:paraId="73F810C3" w14:textId="11178387" w:rsidR="00527494" w:rsidRPr="000723F0" w:rsidRDefault="76807B70" w:rsidP="76807B70">
            <w:pPr>
              <w:pStyle w:val="ListParagraph"/>
              <w:numPr>
                <w:ilvl w:val="0"/>
                <w:numId w:val="3"/>
              </w:numPr>
              <w:spacing w:before="40" w:after="40" w:line="259" w:lineRule="auto"/>
              <w:rPr>
                <w:rFonts w:eastAsiaTheme="minorEastAsia"/>
                <w:iCs/>
                <w:color w:val="000000" w:themeColor="text1"/>
                <w:szCs w:val="20"/>
              </w:rPr>
            </w:pPr>
            <w:r w:rsidRPr="000723F0">
              <w:rPr>
                <w:rFonts w:ascii="Calibri" w:eastAsia="Calibri" w:hAnsi="Calibri" w:cs="Calibri"/>
                <w:iCs/>
                <w:color w:val="000000" w:themeColor="text1"/>
                <w:szCs w:val="20"/>
              </w:rPr>
              <w:t xml:space="preserve">The event is unlikely to occur in a single event but can occur through a series of decision-making processes (portfolio and program/project governance) that are </w:t>
            </w:r>
            <w:r w:rsidR="008E030A" w:rsidRPr="000723F0">
              <w:rPr>
                <w:rFonts w:ascii="Calibri" w:eastAsia="Calibri" w:hAnsi="Calibri" w:cs="Calibri"/>
                <w:iCs/>
                <w:color w:val="000000" w:themeColor="text1"/>
                <w:szCs w:val="20"/>
              </w:rPr>
              <w:t xml:space="preserve">undertaken </w:t>
            </w:r>
            <w:r w:rsidRPr="000723F0">
              <w:rPr>
                <w:rFonts w:ascii="Calibri" w:eastAsia="Calibri" w:hAnsi="Calibri" w:cs="Calibri"/>
                <w:iCs/>
                <w:color w:val="000000" w:themeColor="text1"/>
                <w:szCs w:val="20"/>
              </w:rPr>
              <w:t>because of inaccurate or incomplete information</w:t>
            </w:r>
            <w:r w:rsidRPr="000723F0">
              <w:rPr>
                <w:rFonts w:ascii="Calibri" w:eastAsia="Calibri" w:hAnsi="Calibri" w:cs="Calibri"/>
                <w:iCs/>
                <w:color w:val="000000" w:themeColor="text1"/>
                <w:szCs w:val="20"/>
              </w:rPr>
              <w:t xml:space="preserve">.  </w:t>
            </w:r>
          </w:p>
          <w:p w14:paraId="2A40EDD7" w14:textId="28CD66EE" w:rsidR="00527494" w:rsidRPr="008016B1" w:rsidRDefault="00E143D5" w:rsidP="76807B70">
            <w:pPr>
              <w:pStyle w:val="ListParagraph"/>
              <w:numPr>
                <w:ilvl w:val="0"/>
                <w:numId w:val="3"/>
              </w:numPr>
              <w:spacing w:before="40" w:after="40" w:line="259" w:lineRule="auto"/>
              <w:rPr>
                <w:rFonts w:eastAsiaTheme="minorEastAsia"/>
                <w:color w:val="000000" w:themeColor="text1"/>
                <w:szCs w:val="20"/>
              </w:rPr>
            </w:pPr>
            <w:r w:rsidRPr="000723F0">
              <w:rPr>
                <w:rFonts w:ascii="Calibri" w:eastAsia="Calibri" w:hAnsi="Calibri" w:cs="Calibri"/>
                <w:iCs/>
                <w:color w:val="000000" w:themeColor="text1"/>
                <w:szCs w:val="20"/>
              </w:rPr>
              <w:t>The e</w:t>
            </w:r>
            <w:r w:rsidR="76807B70" w:rsidRPr="000723F0">
              <w:rPr>
                <w:rFonts w:ascii="Calibri" w:eastAsia="Calibri" w:hAnsi="Calibri" w:cs="Calibri"/>
                <w:iCs/>
                <w:color w:val="000000" w:themeColor="text1"/>
                <w:szCs w:val="20"/>
              </w:rPr>
              <w:t xml:space="preserve">vent may also occur </w:t>
            </w:r>
            <w:r w:rsidR="000118F2" w:rsidRPr="000723F0">
              <w:rPr>
                <w:rFonts w:ascii="Calibri" w:eastAsia="Calibri" w:hAnsi="Calibri" w:cs="Calibri"/>
                <w:iCs/>
                <w:color w:val="000000" w:themeColor="text1"/>
                <w:szCs w:val="20"/>
              </w:rPr>
              <w:t>if</w:t>
            </w:r>
            <w:r w:rsidR="76807B70" w:rsidRPr="000723F0">
              <w:rPr>
                <w:rFonts w:ascii="Calibri" w:eastAsia="Calibri" w:hAnsi="Calibri" w:cs="Calibri"/>
                <w:iCs/>
                <w:color w:val="000000" w:themeColor="text1"/>
                <w:szCs w:val="20"/>
              </w:rPr>
              <w:t xml:space="preserve"> pressure </w:t>
            </w:r>
            <w:r w:rsidR="000118F2" w:rsidRPr="000723F0">
              <w:rPr>
                <w:rFonts w:ascii="Calibri" w:eastAsia="Calibri" w:hAnsi="Calibri" w:cs="Calibri"/>
                <w:iCs/>
                <w:color w:val="000000" w:themeColor="text1"/>
                <w:szCs w:val="20"/>
              </w:rPr>
              <w:t xml:space="preserve">is exerted </w:t>
            </w:r>
            <w:r w:rsidR="76807B70" w:rsidRPr="000723F0">
              <w:rPr>
                <w:rFonts w:ascii="Calibri" w:eastAsia="Calibri" w:hAnsi="Calibri" w:cs="Calibri"/>
                <w:iCs/>
                <w:color w:val="000000" w:themeColor="text1"/>
                <w:szCs w:val="20"/>
              </w:rPr>
              <w:t xml:space="preserve">to commence activity before the requirements </w:t>
            </w:r>
            <w:r w:rsidR="000118F2" w:rsidRPr="000723F0">
              <w:rPr>
                <w:rFonts w:ascii="Calibri" w:eastAsia="Calibri" w:hAnsi="Calibri" w:cs="Calibri"/>
                <w:iCs/>
                <w:color w:val="000000" w:themeColor="text1"/>
                <w:szCs w:val="20"/>
              </w:rPr>
              <w:t xml:space="preserve">that </w:t>
            </w:r>
            <w:r w:rsidR="76807B70" w:rsidRPr="000723F0">
              <w:rPr>
                <w:rFonts w:ascii="Calibri" w:eastAsia="Calibri" w:hAnsi="Calibri" w:cs="Calibri"/>
                <w:iCs/>
                <w:color w:val="000000" w:themeColor="text1"/>
                <w:szCs w:val="20"/>
              </w:rPr>
              <w:t>comply with changes to regulations</w:t>
            </w:r>
            <w:r w:rsidR="000118F2" w:rsidRPr="000723F0">
              <w:rPr>
                <w:rFonts w:ascii="Calibri" w:eastAsia="Calibri" w:hAnsi="Calibri" w:cs="Calibri"/>
                <w:iCs/>
                <w:color w:val="000000" w:themeColor="text1"/>
                <w:szCs w:val="20"/>
              </w:rPr>
              <w:t xml:space="preserve"> are fully clarified and defined</w:t>
            </w:r>
            <w:r w:rsidR="76807B70" w:rsidRPr="000723F0">
              <w:rPr>
                <w:rFonts w:ascii="Calibri" w:eastAsia="Calibri" w:hAnsi="Calibri" w:cs="Calibri"/>
                <w:iCs/>
                <w:color w:val="000000" w:themeColor="text1"/>
                <w:szCs w:val="20"/>
              </w:rPr>
              <w:t>.</w:t>
            </w:r>
          </w:p>
        </w:tc>
      </w:tr>
      <w:tr w:rsidR="00B809CC" w:rsidRPr="002E7042" w14:paraId="72B28630" w14:textId="77777777" w:rsidTr="003E5ACF">
        <w:tc>
          <w:tcPr>
            <w:tcW w:w="1735" w:type="dxa"/>
            <w:tcBorders>
              <w:top w:val="single" w:sz="4" w:space="0" w:color="auto"/>
              <w:left w:val="single" w:sz="4" w:space="0" w:color="auto"/>
              <w:bottom w:val="single" w:sz="4" w:space="0" w:color="auto"/>
              <w:right w:val="single" w:sz="4" w:space="0" w:color="auto"/>
            </w:tcBorders>
          </w:tcPr>
          <w:p w14:paraId="167180F9" w14:textId="77777777" w:rsidR="00B809CC" w:rsidRPr="000723F0" w:rsidRDefault="00B809CC" w:rsidP="00265519">
            <w:pPr>
              <w:spacing w:before="40" w:after="40"/>
              <w:contextualSpacing/>
              <w:rPr>
                <w:b/>
                <w:bCs/>
                <w:szCs w:val="20"/>
                <w:lang w:val="en-GB"/>
              </w:rPr>
            </w:pPr>
            <w:r w:rsidRPr="000723F0">
              <w:rPr>
                <w:b/>
                <w:bCs/>
                <w:szCs w:val="20"/>
                <w:lang w:val="en-GB"/>
              </w:rPr>
              <w:t>Assets/Resources</w:t>
            </w:r>
          </w:p>
        </w:tc>
        <w:tc>
          <w:tcPr>
            <w:tcW w:w="7893" w:type="dxa"/>
            <w:gridSpan w:val="3"/>
            <w:tcBorders>
              <w:top w:val="single" w:sz="4" w:space="0" w:color="auto"/>
              <w:left w:val="single" w:sz="4" w:space="0" w:color="auto"/>
              <w:bottom w:val="single" w:sz="4" w:space="0" w:color="auto"/>
              <w:right w:val="single" w:sz="4" w:space="0" w:color="auto"/>
            </w:tcBorders>
          </w:tcPr>
          <w:p w14:paraId="5581E171" w14:textId="261F7007" w:rsidR="00527494" w:rsidRPr="000723F0" w:rsidRDefault="76807B70" w:rsidP="76807B70">
            <w:pPr>
              <w:spacing w:line="259" w:lineRule="auto"/>
              <w:contextualSpacing/>
              <w:rPr>
                <w:iCs/>
                <w:szCs w:val="20"/>
              </w:rPr>
            </w:pPr>
            <w:r w:rsidRPr="000723F0">
              <w:rPr>
                <w:iCs/>
              </w:rPr>
              <w:t>Availability of staff, contractors, vendors, suppliers and consultants</w:t>
            </w:r>
          </w:p>
        </w:tc>
      </w:tr>
      <w:tr w:rsidR="00B809CC" w:rsidRPr="002E7042" w14:paraId="2466F99C" w14:textId="77777777" w:rsidTr="003E5ACF">
        <w:tc>
          <w:tcPr>
            <w:tcW w:w="1735" w:type="dxa"/>
            <w:vMerge w:val="restart"/>
            <w:tcBorders>
              <w:top w:val="single" w:sz="4" w:space="0" w:color="auto"/>
              <w:left w:val="single" w:sz="4" w:space="0" w:color="auto"/>
              <w:bottom w:val="single" w:sz="4" w:space="0" w:color="auto"/>
              <w:right w:val="single" w:sz="4" w:space="0" w:color="auto"/>
            </w:tcBorders>
          </w:tcPr>
          <w:p w14:paraId="45D2CCFC" w14:textId="60FE1A6D" w:rsidR="00B809CC" w:rsidRPr="000723F0" w:rsidRDefault="00B809CC" w:rsidP="009A2404">
            <w:pPr>
              <w:spacing w:before="40" w:after="40"/>
              <w:contextualSpacing/>
              <w:rPr>
                <w:b/>
                <w:bCs/>
                <w:szCs w:val="20"/>
                <w:lang w:val="en-GB"/>
              </w:rPr>
            </w:pPr>
            <w:r w:rsidRPr="000723F0">
              <w:rPr>
                <w:b/>
                <w:bCs/>
                <w:szCs w:val="20"/>
                <w:lang w:val="en-GB"/>
              </w:rPr>
              <w:t>Consequence</w:t>
            </w:r>
          </w:p>
        </w:tc>
        <w:tc>
          <w:tcPr>
            <w:tcW w:w="7893" w:type="dxa"/>
            <w:gridSpan w:val="3"/>
            <w:tcBorders>
              <w:top w:val="single" w:sz="4" w:space="0" w:color="auto"/>
              <w:left w:val="single" w:sz="4" w:space="0" w:color="auto"/>
              <w:bottom w:val="single" w:sz="4" w:space="0" w:color="auto"/>
              <w:right w:val="single" w:sz="4" w:space="0" w:color="auto"/>
            </w:tcBorders>
          </w:tcPr>
          <w:p w14:paraId="430EA89A" w14:textId="4E16ACDC" w:rsidR="00B809CC" w:rsidRPr="000723F0" w:rsidRDefault="76807B70" w:rsidP="76807B70">
            <w:pPr>
              <w:pStyle w:val="ListParagraph"/>
              <w:ind w:left="0"/>
              <w:rPr>
                <w:iCs/>
              </w:rPr>
            </w:pPr>
            <w:r w:rsidRPr="000723F0">
              <w:rPr>
                <w:iCs/>
              </w:rPr>
              <w:t>Unavailability of critical staff needed to continue to operate in a safe manner to deliver organizational products and services</w:t>
            </w:r>
            <w:r w:rsidR="00972BDC" w:rsidRPr="000723F0">
              <w:rPr>
                <w:iCs/>
              </w:rPr>
              <w:t>.</w:t>
            </w:r>
          </w:p>
        </w:tc>
      </w:tr>
      <w:tr w:rsidR="0092408E" w:rsidRPr="002E7042" w14:paraId="4423A0C0" w14:textId="77777777" w:rsidTr="003E5ACF">
        <w:trPr>
          <w:trHeight w:val="308"/>
        </w:trPr>
        <w:tc>
          <w:tcPr>
            <w:tcW w:w="1735" w:type="dxa"/>
            <w:vMerge/>
            <w:tcBorders>
              <w:top w:val="single" w:sz="4" w:space="0" w:color="auto"/>
              <w:left w:val="single" w:sz="4" w:space="0" w:color="auto"/>
              <w:bottom w:val="single" w:sz="4" w:space="0" w:color="auto"/>
              <w:right w:val="single" w:sz="4" w:space="0" w:color="auto"/>
            </w:tcBorders>
          </w:tcPr>
          <w:p w14:paraId="1D828B19" w14:textId="77777777" w:rsidR="0092408E" w:rsidRDefault="0092408E" w:rsidP="0092408E">
            <w:pPr>
              <w:spacing w:before="40" w:after="40"/>
              <w:contextualSpacing/>
              <w:rPr>
                <w:b/>
                <w:bCs/>
                <w:smallCaps/>
                <w:szCs w:val="20"/>
                <w:lang w:val="en-GB"/>
              </w:rPr>
            </w:pPr>
          </w:p>
        </w:tc>
        <w:tc>
          <w:tcPr>
            <w:tcW w:w="2220" w:type="dxa"/>
            <w:vMerge w:val="restart"/>
            <w:tcBorders>
              <w:top w:val="single" w:sz="4" w:space="0" w:color="auto"/>
              <w:left w:val="single" w:sz="4" w:space="0" w:color="auto"/>
              <w:bottom w:val="single" w:sz="4" w:space="0" w:color="auto"/>
              <w:right w:val="single" w:sz="4" w:space="0" w:color="auto"/>
            </w:tcBorders>
          </w:tcPr>
          <w:p w14:paraId="341F051D" w14:textId="77777777" w:rsidR="0092408E" w:rsidRPr="009A2404" w:rsidRDefault="0092408E" w:rsidP="0092408E">
            <w:pPr>
              <w:spacing w:before="40" w:after="40"/>
              <w:contextualSpacing/>
              <w:rPr>
                <w:i/>
                <w:iCs/>
                <w:szCs w:val="20"/>
                <w:lang w:val="en-GB"/>
              </w:rPr>
            </w:pPr>
            <w:r w:rsidRPr="000723F0">
              <w:rPr>
                <w:b/>
                <w:bCs/>
                <w:szCs w:val="20"/>
                <w:lang w:val="en-GB"/>
              </w:rPr>
              <w:t>Impact Dimensions (potential forms of loss)</w:t>
            </w:r>
          </w:p>
        </w:tc>
        <w:tc>
          <w:tcPr>
            <w:tcW w:w="2399" w:type="dxa"/>
            <w:tcBorders>
              <w:top w:val="single" w:sz="4" w:space="0" w:color="auto"/>
              <w:left w:val="single" w:sz="4" w:space="0" w:color="auto"/>
              <w:bottom w:val="single" w:sz="4" w:space="0" w:color="auto"/>
              <w:right w:val="single" w:sz="4" w:space="0" w:color="auto"/>
            </w:tcBorders>
          </w:tcPr>
          <w:p w14:paraId="0CF1BE9E" w14:textId="77777777" w:rsidR="0092408E" w:rsidRPr="00742D1B" w:rsidRDefault="0092408E" w:rsidP="0092408E">
            <w:pPr>
              <w:pStyle w:val="ListParagraph"/>
              <w:numPr>
                <w:ilvl w:val="0"/>
                <w:numId w:val="6"/>
              </w:numPr>
              <w:spacing w:before="40" w:after="40" w:line="288" w:lineRule="auto"/>
              <w:rPr>
                <w:szCs w:val="20"/>
                <w:lang w:val="en-GB"/>
              </w:rPr>
            </w:pPr>
            <w:r w:rsidRPr="00767A98">
              <w:rPr>
                <w:szCs w:val="20"/>
                <w:lang w:val="en-GB"/>
              </w:rPr>
              <w:t>Productivity</w:t>
            </w:r>
          </w:p>
        </w:tc>
        <w:tc>
          <w:tcPr>
            <w:tcW w:w="3274" w:type="dxa"/>
            <w:tcBorders>
              <w:top w:val="single" w:sz="4" w:space="0" w:color="auto"/>
              <w:left w:val="single" w:sz="4" w:space="0" w:color="auto"/>
              <w:bottom w:val="single" w:sz="4" w:space="0" w:color="auto"/>
              <w:right w:val="single" w:sz="4" w:space="0" w:color="auto"/>
            </w:tcBorders>
          </w:tcPr>
          <w:p w14:paraId="312A7051" w14:textId="02A86B6E" w:rsidR="0092408E" w:rsidRPr="000723F0" w:rsidRDefault="183DF259" w:rsidP="183DF259">
            <w:pPr>
              <w:spacing w:before="40" w:after="40"/>
              <w:contextualSpacing/>
              <w:rPr>
                <w:iCs/>
                <w:lang w:val="en-GB"/>
              </w:rPr>
            </w:pPr>
            <w:r w:rsidRPr="000723F0">
              <w:rPr>
                <w:iCs/>
                <w:lang w:val="en-GB"/>
              </w:rPr>
              <w:t>Impact</w:t>
            </w:r>
            <w:r w:rsidR="00A325D2" w:rsidRPr="000723F0">
              <w:rPr>
                <w:iCs/>
                <w:lang w:val="en-GB"/>
              </w:rPr>
              <w:t>s</w:t>
            </w:r>
            <w:r w:rsidRPr="000723F0">
              <w:rPr>
                <w:iCs/>
                <w:lang w:val="en-GB"/>
              </w:rPr>
              <w:t xml:space="preserve"> daily operating </w:t>
            </w:r>
            <w:r w:rsidR="00972BDC" w:rsidRPr="000723F0">
              <w:rPr>
                <w:iCs/>
                <w:lang w:val="en-GB"/>
              </w:rPr>
              <w:t xml:space="preserve">procedures </w:t>
            </w:r>
            <w:r w:rsidRPr="000723F0">
              <w:rPr>
                <w:iCs/>
                <w:lang w:val="en-GB"/>
              </w:rPr>
              <w:t>(employees not able to perform business process)</w:t>
            </w:r>
            <w:r w:rsidR="00A325D2" w:rsidRPr="000723F0">
              <w:rPr>
                <w:iCs/>
                <w:lang w:val="en-GB"/>
              </w:rPr>
              <w:t>.</w:t>
            </w:r>
          </w:p>
        </w:tc>
      </w:tr>
      <w:tr w:rsidR="0092408E" w:rsidRPr="002E7042" w14:paraId="39E0DA2B" w14:textId="77777777" w:rsidTr="003E5ACF">
        <w:trPr>
          <w:trHeight w:val="306"/>
        </w:trPr>
        <w:tc>
          <w:tcPr>
            <w:tcW w:w="1735" w:type="dxa"/>
            <w:vMerge/>
            <w:tcBorders>
              <w:top w:val="single" w:sz="4" w:space="0" w:color="auto"/>
              <w:left w:val="single" w:sz="4" w:space="0" w:color="auto"/>
              <w:bottom w:val="single" w:sz="4" w:space="0" w:color="auto"/>
              <w:right w:val="single" w:sz="4" w:space="0" w:color="auto"/>
            </w:tcBorders>
          </w:tcPr>
          <w:p w14:paraId="25DAD0F9" w14:textId="77777777" w:rsidR="0092408E" w:rsidRDefault="0092408E" w:rsidP="0092408E">
            <w:pPr>
              <w:spacing w:before="40" w:after="40"/>
              <w:contextualSpacing/>
              <w:rPr>
                <w:b/>
                <w:bCs/>
                <w:smallCaps/>
                <w:szCs w:val="20"/>
                <w:lang w:val="en-GB"/>
              </w:rPr>
            </w:pPr>
          </w:p>
        </w:tc>
        <w:tc>
          <w:tcPr>
            <w:tcW w:w="2220" w:type="dxa"/>
            <w:vMerge/>
            <w:tcBorders>
              <w:top w:val="single" w:sz="4" w:space="0" w:color="auto"/>
              <w:left w:val="single" w:sz="4" w:space="0" w:color="auto"/>
              <w:bottom w:val="single" w:sz="4" w:space="0" w:color="auto"/>
              <w:right w:val="single" w:sz="4" w:space="0" w:color="auto"/>
            </w:tcBorders>
          </w:tcPr>
          <w:p w14:paraId="568FB786" w14:textId="77777777" w:rsidR="0092408E" w:rsidRDefault="0092408E" w:rsidP="0092408E">
            <w:pPr>
              <w:spacing w:before="40" w:after="40"/>
              <w:contextualSpacing/>
              <w:rPr>
                <w:b/>
                <w:bCs/>
                <w:smallCaps/>
                <w:szCs w:val="20"/>
                <w:lang w:val="en-GB"/>
              </w:rPr>
            </w:pPr>
          </w:p>
        </w:tc>
        <w:tc>
          <w:tcPr>
            <w:tcW w:w="2399" w:type="dxa"/>
            <w:tcBorders>
              <w:top w:val="single" w:sz="4" w:space="0" w:color="auto"/>
              <w:left w:val="single" w:sz="4" w:space="0" w:color="auto"/>
              <w:bottom w:val="single" w:sz="4" w:space="0" w:color="auto"/>
              <w:right w:val="single" w:sz="4" w:space="0" w:color="auto"/>
            </w:tcBorders>
          </w:tcPr>
          <w:p w14:paraId="73BEA097" w14:textId="77777777" w:rsidR="0092408E" w:rsidRPr="00742D1B" w:rsidRDefault="0092408E" w:rsidP="0092408E">
            <w:pPr>
              <w:pStyle w:val="ListParagraph"/>
              <w:numPr>
                <w:ilvl w:val="0"/>
                <w:numId w:val="6"/>
              </w:numPr>
              <w:spacing w:before="40" w:after="40" w:line="288" w:lineRule="auto"/>
              <w:rPr>
                <w:szCs w:val="20"/>
                <w:lang w:val="en-GB"/>
              </w:rPr>
            </w:pPr>
            <w:r>
              <w:rPr>
                <w:szCs w:val="20"/>
                <w:lang w:val="en-GB"/>
              </w:rPr>
              <w:t>Cost of Response</w:t>
            </w:r>
          </w:p>
        </w:tc>
        <w:tc>
          <w:tcPr>
            <w:tcW w:w="3274" w:type="dxa"/>
            <w:tcBorders>
              <w:top w:val="single" w:sz="4" w:space="0" w:color="auto"/>
              <w:left w:val="single" w:sz="4" w:space="0" w:color="auto"/>
              <w:bottom w:val="single" w:sz="4" w:space="0" w:color="auto"/>
              <w:right w:val="single" w:sz="4" w:space="0" w:color="auto"/>
            </w:tcBorders>
          </w:tcPr>
          <w:p w14:paraId="5FD6A202" w14:textId="7B0C6830" w:rsidR="00A325D2" w:rsidRPr="000723F0" w:rsidRDefault="00A325D2" w:rsidP="00DC73C6">
            <w:pPr>
              <w:pStyle w:val="ListParagraph"/>
              <w:numPr>
                <w:ilvl w:val="0"/>
                <w:numId w:val="22"/>
              </w:numPr>
              <w:spacing w:before="40" w:after="40" w:line="288" w:lineRule="auto"/>
              <w:rPr>
                <w:iCs/>
                <w:szCs w:val="20"/>
                <w:lang w:val="en-GB"/>
              </w:rPr>
            </w:pPr>
            <w:r w:rsidRPr="000723F0">
              <w:rPr>
                <w:iCs/>
                <w:szCs w:val="20"/>
                <w:lang w:val="en-GB"/>
              </w:rPr>
              <w:t>O</w:t>
            </w:r>
            <w:r w:rsidR="0092408E" w:rsidRPr="000723F0">
              <w:rPr>
                <w:iCs/>
                <w:szCs w:val="20"/>
                <w:lang w:val="en-GB"/>
              </w:rPr>
              <w:t>perating cost increases to locate skilled resources</w:t>
            </w:r>
            <w:r w:rsidRPr="000723F0">
              <w:rPr>
                <w:iCs/>
                <w:szCs w:val="20"/>
                <w:lang w:val="en-GB"/>
              </w:rPr>
              <w:t>.</w:t>
            </w:r>
          </w:p>
          <w:p w14:paraId="7323A794" w14:textId="7456207E" w:rsidR="0092408E" w:rsidRPr="008016B1" w:rsidRDefault="00B56D98" w:rsidP="00DC73C6">
            <w:pPr>
              <w:pStyle w:val="ListParagraph"/>
              <w:numPr>
                <w:ilvl w:val="0"/>
                <w:numId w:val="22"/>
              </w:numPr>
              <w:spacing w:before="40" w:after="40" w:line="288" w:lineRule="auto"/>
              <w:rPr>
                <w:szCs w:val="20"/>
                <w:lang w:val="en-GB"/>
              </w:rPr>
            </w:pPr>
            <w:r w:rsidRPr="000723F0">
              <w:rPr>
                <w:iCs/>
                <w:szCs w:val="20"/>
                <w:lang w:val="en-GB"/>
              </w:rPr>
              <w:t>S</w:t>
            </w:r>
            <w:r w:rsidR="0092408E" w:rsidRPr="000723F0">
              <w:rPr>
                <w:iCs/>
                <w:szCs w:val="20"/>
                <w:lang w:val="en-GB"/>
              </w:rPr>
              <w:t xml:space="preserve">ystem downtime </w:t>
            </w:r>
            <w:r w:rsidR="00A325D2" w:rsidRPr="000723F0">
              <w:rPr>
                <w:iCs/>
                <w:szCs w:val="20"/>
                <w:lang w:val="en-GB"/>
              </w:rPr>
              <w:t xml:space="preserve">causes enterprise to lose </w:t>
            </w:r>
            <w:r w:rsidR="0092408E" w:rsidRPr="000723F0">
              <w:rPr>
                <w:iCs/>
                <w:szCs w:val="20"/>
                <w:lang w:val="en-GB"/>
              </w:rPr>
              <w:t xml:space="preserve">customers and </w:t>
            </w:r>
            <w:r w:rsidRPr="000723F0">
              <w:rPr>
                <w:iCs/>
                <w:szCs w:val="20"/>
                <w:lang w:val="en-GB"/>
              </w:rPr>
              <w:t xml:space="preserve">stops </w:t>
            </w:r>
            <w:r w:rsidR="0092408E" w:rsidRPr="000723F0">
              <w:rPr>
                <w:iCs/>
                <w:szCs w:val="20"/>
                <w:lang w:val="en-GB"/>
              </w:rPr>
              <w:t>employees from providing services</w:t>
            </w:r>
            <w:r w:rsidRPr="000723F0">
              <w:rPr>
                <w:iCs/>
                <w:szCs w:val="20"/>
                <w:lang w:val="en-GB"/>
              </w:rPr>
              <w:t>.</w:t>
            </w:r>
          </w:p>
        </w:tc>
      </w:tr>
      <w:tr w:rsidR="0092408E" w:rsidRPr="002E7042" w14:paraId="140CFA47" w14:textId="77777777" w:rsidTr="003E5ACF">
        <w:trPr>
          <w:trHeight w:val="306"/>
        </w:trPr>
        <w:tc>
          <w:tcPr>
            <w:tcW w:w="1735" w:type="dxa"/>
            <w:vMerge/>
            <w:tcBorders>
              <w:top w:val="single" w:sz="4" w:space="0" w:color="auto"/>
              <w:left w:val="single" w:sz="4" w:space="0" w:color="auto"/>
              <w:bottom w:val="single" w:sz="4" w:space="0" w:color="auto"/>
              <w:right w:val="single" w:sz="4" w:space="0" w:color="auto"/>
            </w:tcBorders>
          </w:tcPr>
          <w:p w14:paraId="021E71C7" w14:textId="77777777" w:rsidR="0092408E" w:rsidRDefault="0092408E" w:rsidP="0092408E">
            <w:pPr>
              <w:spacing w:before="40" w:after="40"/>
              <w:contextualSpacing/>
              <w:rPr>
                <w:b/>
                <w:bCs/>
                <w:smallCaps/>
                <w:szCs w:val="20"/>
                <w:lang w:val="en-GB"/>
              </w:rPr>
            </w:pPr>
          </w:p>
        </w:tc>
        <w:tc>
          <w:tcPr>
            <w:tcW w:w="2220" w:type="dxa"/>
            <w:vMerge/>
            <w:tcBorders>
              <w:top w:val="single" w:sz="4" w:space="0" w:color="auto"/>
              <w:left w:val="single" w:sz="4" w:space="0" w:color="auto"/>
              <w:bottom w:val="single" w:sz="4" w:space="0" w:color="auto"/>
              <w:right w:val="single" w:sz="4" w:space="0" w:color="auto"/>
            </w:tcBorders>
          </w:tcPr>
          <w:p w14:paraId="64FF7DB6" w14:textId="77777777" w:rsidR="0092408E" w:rsidRDefault="0092408E" w:rsidP="0092408E">
            <w:pPr>
              <w:spacing w:before="40" w:after="40"/>
              <w:contextualSpacing/>
              <w:rPr>
                <w:b/>
                <w:bCs/>
                <w:smallCaps/>
                <w:szCs w:val="20"/>
                <w:lang w:val="en-GB"/>
              </w:rPr>
            </w:pPr>
          </w:p>
        </w:tc>
        <w:tc>
          <w:tcPr>
            <w:tcW w:w="2399" w:type="dxa"/>
            <w:tcBorders>
              <w:top w:val="single" w:sz="4" w:space="0" w:color="auto"/>
              <w:left w:val="single" w:sz="4" w:space="0" w:color="auto"/>
              <w:bottom w:val="single" w:sz="4" w:space="0" w:color="auto"/>
              <w:right w:val="single" w:sz="4" w:space="0" w:color="auto"/>
            </w:tcBorders>
          </w:tcPr>
          <w:p w14:paraId="208B1647" w14:textId="77777777" w:rsidR="0092408E" w:rsidRPr="00972BDC" w:rsidRDefault="76807B70" w:rsidP="00DC73C6">
            <w:pPr>
              <w:pStyle w:val="ListParagraph"/>
              <w:numPr>
                <w:ilvl w:val="0"/>
                <w:numId w:val="21"/>
              </w:numPr>
              <w:spacing w:before="40" w:after="40" w:line="288" w:lineRule="auto"/>
              <w:rPr>
                <w:szCs w:val="20"/>
                <w:lang w:val="en-GB"/>
              </w:rPr>
            </w:pPr>
            <w:r w:rsidRPr="00972BDC">
              <w:rPr>
                <w:lang w:val="en-GB"/>
              </w:rPr>
              <w:t>Replacement Cost</w:t>
            </w:r>
          </w:p>
        </w:tc>
        <w:tc>
          <w:tcPr>
            <w:tcW w:w="3274" w:type="dxa"/>
            <w:tcBorders>
              <w:top w:val="single" w:sz="4" w:space="0" w:color="auto"/>
              <w:left w:val="single" w:sz="4" w:space="0" w:color="auto"/>
              <w:bottom w:val="single" w:sz="4" w:space="0" w:color="auto"/>
              <w:right w:val="single" w:sz="4" w:space="0" w:color="auto"/>
            </w:tcBorders>
          </w:tcPr>
          <w:p w14:paraId="12E270C5" w14:textId="5530BB22" w:rsidR="0092408E" w:rsidRPr="000723F0" w:rsidRDefault="76807B70" w:rsidP="76807B70">
            <w:pPr>
              <w:spacing w:before="40" w:after="40" w:line="288" w:lineRule="auto"/>
              <w:contextualSpacing/>
              <w:rPr>
                <w:iCs/>
                <w:szCs w:val="20"/>
                <w:lang w:val="en-GB"/>
              </w:rPr>
            </w:pPr>
            <w:r w:rsidRPr="000723F0">
              <w:rPr>
                <w:iCs/>
                <w:lang w:val="en-GB"/>
              </w:rPr>
              <w:t>N/A</w:t>
            </w:r>
          </w:p>
        </w:tc>
      </w:tr>
      <w:tr w:rsidR="0092408E" w:rsidRPr="002E7042" w14:paraId="09CA5DD9" w14:textId="77777777" w:rsidTr="003E5ACF">
        <w:trPr>
          <w:trHeight w:val="306"/>
        </w:trPr>
        <w:tc>
          <w:tcPr>
            <w:tcW w:w="1735" w:type="dxa"/>
            <w:vMerge/>
            <w:tcBorders>
              <w:top w:val="single" w:sz="4" w:space="0" w:color="auto"/>
              <w:left w:val="single" w:sz="4" w:space="0" w:color="auto"/>
              <w:bottom w:val="single" w:sz="4" w:space="0" w:color="auto"/>
              <w:right w:val="single" w:sz="4" w:space="0" w:color="auto"/>
            </w:tcBorders>
          </w:tcPr>
          <w:p w14:paraId="50EA3EEC" w14:textId="77777777" w:rsidR="0092408E" w:rsidRDefault="0092408E" w:rsidP="0092408E">
            <w:pPr>
              <w:spacing w:before="40" w:after="40"/>
              <w:contextualSpacing/>
              <w:rPr>
                <w:b/>
                <w:bCs/>
                <w:smallCaps/>
                <w:szCs w:val="20"/>
                <w:lang w:val="en-GB"/>
              </w:rPr>
            </w:pPr>
          </w:p>
        </w:tc>
        <w:tc>
          <w:tcPr>
            <w:tcW w:w="2220" w:type="dxa"/>
            <w:vMerge/>
            <w:tcBorders>
              <w:top w:val="single" w:sz="4" w:space="0" w:color="auto"/>
              <w:left w:val="single" w:sz="4" w:space="0" w:color="auto"/>
              <w:bottom w:val="single" w:sz="4" w:space="0" w:color="auto"/>
              <w:right w:val="single" w:sz="4" w:space="0" w:color="auto"/>
            </w:tcBorders>
          </w:tcPr>
          <w:p w14:paraId="457CC85D" w14:textId="77777777" w:rsidR="0092408E" w:rsidRDefault="0092408E" w:rsidP="0092408E">
            <w:pPr>
              <w:spacing w:before="40" w:after="40"/>
              <w:contextualSpacing/>
              <w:rPr>
                <w:b/>
                <w:bCs/>
                <w:smallCaps/>
                <w:szCs w:val="20"/>
                <w:lang w:val="en-GB"/>
              </w:rPr>
            </w:pPr>
          </w:p>
        </w:tc>
        <w:tc>
          <w:tcPr>
            <w:tcW w:w="2399" w:type="dxa"/>
            <w:tcBorders>
              <w:top w:val="single" w:sz="4" w:space="0" w:color="auto"/>
              <w:left w:val="single" w:sz="4" w:space="0" w:color="auto"/>
              <w:bottom w:val="single" w:sz="4" w:space="0" w:color="auto"/>
              <w:right w:val="single" w:sz="4" w:space="0" w:color="auto"/>
            </w:tcBorders>
          </w:tcPr>
          <w:p w14:paraId="54037C8C" w14:textId="77777777" w:rsidR="0092408E" w:rsidRPr="00742D1B" w:rsidRDefault="0092408E" w:rsidP="00DC73C6">
            <w:pPr>
              <w:pStyle w:val="ListParagraph"/>
              <w:numPr>
                <w:ilvl w:val="0"/>
                <w:numId w:val="21"/>
              </w:numPr>
              <w:spacing w:before="40" w:after="40"/>
              <w:rPr>
                <w:szCs w:val="20"/>
                <w:lang w:val="en-GB"/>
              </w:rPr>
            </w:pPr>
            <w:r>
              <w:rPr>
                <w:szCs w:val="20"/>
                <w:lang w:val="en-GB"/>
              </w:rPr>
              <w:t>Competitive Advantage</w:t>
            </w:r>
          </w:p>
        </w:tc>
        <w:tc>
          <w:tcPr>
            <w:tcW w:w="3274" w:type="dxa"/>
            <w:tcBorders>
              <w:top w:val="single" w:sz="4" w:space="0" w:color="auto"/>
              <w:left w:val="single" w:sz="4" w:space="0" w:color="auto"/>
              <w:bottom w:val="single" w:sz="4" w:space="0" w:color="auto"/>
              <w:right w:val="single" w:sz="4" w:space="0" w:color="auto"/>
            </w:tcBorders>
          </w:tcPr>
          <w:p w14:paraId="24CDE4AC" w14:textId="747D1CFF" w:rsidR="0092408E" w:rsidRPr="008016B1" w:rsidRDefault="0092408E" w:rsidP="0092408E">
            <w:pPr>
              <w:spacing w:before="40" w:after="40" w:line="288" w:lineRule="auto"/>
              <w:contextualSpacing/>
              <w:rPr>
                <w:szCs w:val="20"/>
                <w:lang w:val="en-GB"/>
              </w:rPr>
            </w:pPr>
            <w:r w:rsidRPr="000723F0">
              <w:rPr>
                <w:iCs/>
                <w:szCs w:val="20"/>
                <w:lang w:val="en-GB"/>
              </w:rPr>
              <w:t>N/A</w:t>
            </w:r>
          </w:p>
        </w:tc>
      </w:tr>
      <w:tr w:rsidR="0092408E" w:rsidRPr="002E7042" w14:paraId="75E9A603" w14:textId="77777777" w:rsidTr="003E5ACF">
        <w:trPr>
          <w:trHeight w:val="306"/>
        </w:trPr>
        <w:tc>
          <w:tcPr>
            <w:tcW w:w="1735" w:type="dxa"/>
            <w:vMerge/>
            <w:tcBorders>
              <w:top w:val="single" w:sz="4" w:space="0" w:color="auto"/>
              <w:left w:val="single" w:sz="4" w:space="0" w:color="auto"/>
              <w:bottom w:val="single" w:sz="4" w:space="0" w:color="auto"/>
              <w:right w:val="single" w:sz="4" w:space="0" w:color="auto"/>
            </w:tcBorders>
          </w:tcPr>
          <w:p w14:paraId="337F0C9F" w14:textId="77777777" w:rsidR="0092408E" w:rsidRDefault="0092408E" w:rsidP="0092408E">
            <w:pPr>
              <w:spacing w:before="40" w:after="40"/>
              <w:contextualSpacing/>
              <w:rPr>
                <w:b/>
                <w:bCs/>
                <w:smallCaps/>
                <w:szCs w:val="20"/>
                <w:lang w:val="en-GB"/>
              </w:rPr>
            </w:pPr>
          </w:p>
        </w:tc>
        <w:tc>
          <w:tcPr>
            <w:tcW w:w="2220" w:type="dxa"/>
            <w:vMerge/>
            <w:tcBorders>
              <w:top w:val="single" w:sz="4" w:space="0" w:color="auto"/>
              <w:left w:val="single" w:sz="4" w:space="0" w:color="auto"/>
              <w:bottom w:val="single" w:sz="4" w:space="0" w:color="auto"/>
              <w:right w:val="single" w:sz="4" w:space="0" w:color="auto"/>
            </w:tcBorders>
          </w:tcPr>
          <w:p w14:paraId="2C1411D8" w14:textId="77777777" w:rsidR="0092408E" w:rsidRDefault="0092408E" w:rsidP="0092408E">
            <w:pPr>
              <w:spacing w:before="40" w:after="40"/>
              <w:contextualSpacing/>
              <w:rPr>
                <w:b/>
                <w:bCs/>
                <w:smallCaps/>
                <w:szCs w:val="20"/>
                <w:lang w:val="en-GB"/>
              </w:rPr>
            </w:pPr>
          </w:p>
        </w:tc>
        <w:tc>
          <w:tcPr>
            <w:tcW w:w="2399" w:type="dxa"/>
            <w:tcBorders>
              <w:top w:val="single" w:sz="4" w:space="0" w:color="auto"/>
              <w:left w:val="single" w:sz="4" w:space="0" w:color="auto"/>
              <w:bottom w:val="single" w:sz="4" w:space="0" w:color="auto"/>
              <w:right w:val="single" w:sz="4" w:space="0" w:color="auto"/>
            </w:tcBorders>
          </w:tcPr>
          <w:p w14:paraId="4ACE48C3" w14:textId="77777777" w:rsidR="0092408E" w:rsidRPr="00742D1B" w:rsidRDefault="0092408E" w:rsidP="0092408E">
            <w:pPr>
              <w:pStyle w:val="ListParagraph"/>
              <w:numPr>
                <w:ilvl w:val="0"/>
                <w:numId w:val="6"/>
              </w:numPr>
              <w:spacing w:before="40" w:after="40" w:line="288" w:lineRule="auto"/>
              <w:rPr>
                <w:szCs w:val="20"/>
                <w:lang w:val="en-GB"/>
              </w:rPr>
            </w:pPr>
            <w:r>
              <w:rPr>
                <w:szCs w:val="20"/>
                <w:lang w:val="en-GB"/>
              </w:rPr>
              <w:t>Reputation</w:t>
            </w:r>
          </w:p>
        </w:tc>
        <w:tc>
          <w:tcPr>
            <w:tcW w:w="3274" w:type="dxa"/>
            <w:tcBorders>
              <w:top w:val="single" w:sz="4" w:space="0" w:color="auto"/>
              <w:left w:val="single" w:sz="4" w:space="0" w:color="auto"/>
              <w:bottom w:val="single" w:sz="4" w:space="0" w:color="auto"/>
              <w:right w:val="single" w:sz="4" w:space="0" w:color="auto"/>
            </w:tcBorders>
          </w:tcPr>
          <w:p w14:paraId="66CA31E9" w14:textId="17B72793" w:rsidR="0092408E" w:rsidRPr="000723F0" w:rsidRDefault="003E475C" w:rsidP="76807B70">
            <w:pPr>
              <w:spacing w:before="40" w:after="40" w:line="288" w:lineRule="auto"/>
              <w:contextualSpacing/>
              <w:rPr>
                <w:iCs/>
                <w:lang w:val="en-GB"/>
              </w:rPr>
            </w:pPr>
            <w:r w:rsidRPr="000723F0">
              <w:rPr>
                <w:iCs/>
                <w:lang w:val="en-GB"/>
              </w:rPr>
              <w:t>N</w:t>
            </w:r>
            <w:r w:rsidR="00B56D98" w:rsidRPr="000723F0">
              <w:rPr>
                <w:iCs/>
                <w:lang w:val="en-GB"/>
              </w:rPr>
              <w:t>egative perception and reputation damage result from</w:t>
            </w:r>
            <w:r w:rsidRPr="000723F0">
              <w:rPr>
                <w:iCs/>
                <w:lang w:val="en-GB"/>
              </w:rPr>
              <w:t xml:space="preserve"> a</w:t>
            </w:r>
            <w:r w:rsidR="76807B70" w:rsidRPr="000723F0">
              <w:rPr>
                <w:iCs/>
                <w:lang w:val="en-GB"/>
              </w:rPr>
              <w:t xml:space="preserve"> reputation for not regarding worker safet</w:t>
            </w:r>
            <w:r w:rsidRPr="000723F0">
              <w:rPr>
                <w:iCs/>
                <w:lang w:val="en-GB"/>
              </w:rPr>
              <w:t>y</w:t>
            </w:r>
            <w:r w:rsidRPr="000723F0">
              <w:rPr>
                <w:iCs/>
                <w:lang w:val="en-GB"/>
              </w:rPr>
              <w:t>.</w:t>
            </w:r>
          </w:p>
        </w:tc>
      </w:tr>
      <w:tr w:rsidR="0092408E" w:rsidRPr="002E7042" w14:paraId="1778A7AE" w14:textId="77777777" w:rsidTr="003E5ACF">
        <w:trPr>
          <w:trHeight w:val="306"/>
        </w:trPr>
        <w:tc>
          <w:tcPr>
            <w:tcW w:w="1735" w:type="dxa"/>
            <w:vMerge/>
            <w:tcBorders>
              <w:top w:val="single" w:sz="4" w:space="0" w:color="auto"/>
              <w:left w:val="single" w:sz="4" w:space="0" w:color="auto"/>
              <w:bottom w:val="single" w:sz="4" w:space="0" w:color="auto"/>
              <w:right w:val="single" w:sz="4" w:space="0" w:color="auto"/>
            </w:tcBorders>
          </w:tcPr>
          <w:p w14:paraId="1F92B049" w14:textId="77777777" w:rsidR="0092408E" w:rsidRDefault="0092408E" w:rsidP="0092408E">
            <w:pPr>
              <w:spacing w:before="40" w:after="40"/>
              <w:contextualSpacing/>
              <w:rPr>
                <w:b/>
                <w:bCs/>
                <w:smallCaps/>
                <w:szCs w:val="20"/>
                <w:lang w:val="en-GB"/>
              </w:rPr>
            </w:pPr>
          </w:p>
        </w:tc>
        <w:tc>
          <w:tcPr>
            <w:tcW w:w="2220" w:type="dxa"/>
            <w:vMerge/>
            <w:tcBorders>
              <w:top w:val="single" w:sz="4" w:space="0" w:color="auto"/>
              <w:left w:val="single" w:sz="4" w:space="0" w:color="auto"/>
              <w:bottom w:val="single" w:sz="4" w:space="0" w:color="auto"/>
              <w:right w:val="single" w:sz="4" w:space="0" w:color="auto"/>
            </w:tcBorders>
          </w:tcPr>
          <w:p w14:paraId="5981A946" w14:textId="77777777" w:rsidR="0092408E" w:rsidRDefault="0092408E" w:rsidP="0092408E">
            <w:pPr>
              <w:spacing w:before="40" w:after="40"/>
              <w:contextualSpacing/>
              <w:rPr>
                <w:b/>
                <w:bCs/>
                <w:smallCaps/>
                <w:szCs w:val="20"/>
                <w:lang w:val="en-GB"/>
              </w:rPr>
            </w:pPr>
          </w:p>
        </w:tc>
        <w:tc>
          <w:tcPr>
            <w:tcW w:w="2399" w:type="dxa"/>
            <w:tcBorders>
              <w:top w:val="single" w:sz="4" w:space="0" w:color="auto"/>
              <w:left w:val="single" w:sz="4" w:space="0" w:color="auto"/>
              <w:bottom w:val="single" w:sz="4" w:space="0" w:color="auto"/>
              <w:right w:val="single" w:sz="4" w:space="0" w:color="auto"/>
            </w:tcBorders>
          </w:tcPr>
          <w:p w14:paraId="03337C0B" w14:textId="77777777" w:rsidR="0092408E" w:rsidRPr="00767A98" w:rsidRDefault="0092408E" w:rsidP="0092408E">
            <w:pPr>
              <w:pStyle w:val="ListParagraph"/>
              <w:numPr>
                <w:ilvl w:val="0"/>
                <w:numId w:val="6"/>
              </w:numPr>
              <w:spacing w:before="40" w:after="40" w:line="288" w:lineRule="auto"/>
              <w:rPr>
                <w:szCs w:val="20"/>
                <w:lang w:val="en-GB"/>
              </w:rPr>
            </w:pPr>
            <w:r w:rsidRPr="00D24C63">
              <w:rPr>
                <w:szCs w:val="20"/>
                <w:lang w:val="en-GB"/>
              </w:rPr>
              <w:t>Fines and Judgements</w:t>
            </w:r>
          </w:p>
        </w:tc>
        <w:tc>
          <w:tcPr>
            <w:tcW w:w="3274" w:type="dxa"/>
            <w:tcBorders>
              <w:top w:val="single" w:sz="4" w:space="0" w:color="auto"/>
              <w:left w:val="single" w:sz="4" w:space="0" w:color="auto"/>
              <w:bottom w:val="single" w:sz="4" w:space="0" w:color="auto"/>
              <w:right w:val="single" w:sz="4" w:space="0" w:color="auto"/>
            </w:tcBorders>
          </w:tcPr>
          <w:p w14:paraId="67704887" w14:textId="60135468" w:rsidR="003E475C" w:rsidRPr="000723F0" w:rsidRDefault="183DF259" w:rsidP="003E475C">
            <w:pPr>
              <w:pStyle w:val="ListParagraph"/>
              <w:numPr>
                <w:ilvl w:val="0"/>
                <w:numId w:val="23"/>
              </w:numPr>
              <w:spacing w:before="40" w:after="40" w:line="288" w:lineRule="auto"/>
              <w:rPr>
                <w:iCs/>
                <w:lang w:val="en-GB"/>
              </w:rPr>
            </w:pPr>
            <w:r w:rsidRPr="000723F0">
              <w:rPr>
                <w:iCs/>
                <w:lang w:val="en-GB"/>
              </w:rPr>
              <w:t>Fines may be a factor in data breach scenarios (e.g., GDPR, CCPA, FTC)</w:t>
            </w:r>
            <w:r w:rsidRPr="000723F0">
              <w:rPr>
                <w:iCs/>
                <w:lang w:val="en-GB"/>
              </w:rPr>
              <w:t xml:space="preserve">. </w:t>
            </w:r>
          </w:p>
          <w:p w14:paraId="692A512A" w14:textId="0E90FC03" w:rsidR="0092408E" w:rsidRPr="000723F0" w:rsidRDefault="183DF259" w:rsidP="003D2EC6">
            <w:pPr>
              <w:pStyle w:val="ListParagraph"/>
              <w:numPr>
                <w:ilvl w:val="0"/>
                <w:numId w:val="23"/>
              </w:numPr>
              <w:spacing w:before="40" w:after="40" w:line="288" w:lineRule="auto"/>
              <w:rPr>
                <w:iCs/>
                <w:lang w:val="en-GB"/>
              </w:rPr>
            </w:pPr>
            <w:r w:rsidRPr="000723F0">
              <w:rPr>
                <w:iCs/>
                <w:lang w:val="en-GB"/>
              </w:rPr>
              <w:lastRenderedPageBreak/>
              <w:t>Judgements and other lawsuits may be a factor in data breach scenarios</w:t>
            </w:r>
            <w:r w:rsidR="003E475C" w:rsidRPr="000723F0">
              <w:rPr>
                <w:iCs/>
                <w:lang w:val="en-GB"/>
              </w:rPr>
              <w:t>.</w:t>
            </w:r>
            <w:r w:rsidRPr="000723F0">
              <w:rPr>
                <w:iCs/>
                <w:lang w:val="en-GB"/>
              </w:rPr>
              <w:t xml:space="preserve"> </w:t>
            </w:r>
          </w:p>
        </w:tc>
      </w:tr>
      <w:tr w:rsidR="00B809CC" w:rsidRPr="002E7042" w14:paraId="2A23A351" w14:textId="77777777" w:rsidTr="003E5ACF">
        <w:tc>
          <w:tcPr>
            <w:tcW w:w="1735" w:type="dxa"/>
            <w:tcBorders>
              <w:top w:val="single" w:sz="4" w:space="0" w:color="auto"/>
              <w:left w:val="single" w:sz="4" w:space="0" w:color="auto"/>
              <w:bottom w:val="single" w:sz="4" w:space="0" w:color="auto"/>
              <w:right w:val="single" w:sz="4" w:space="0" w:color="auto"/>
            </w:tcBorders>
          </w:tcPr>
          <w:p w14:paraId="0AC58C84" w14:textId="77777777" w:rsidR="00B809CC" w:rsidRPr="000723F0" w:rsidRDefault="00B809CC" w:rsidP="00265519">
            <w:pPr>
              <w:spacing w:before="40" w:after="40"/>
              <w:contextualSpacing/>
              <w:rPr>
                <w:b/>
                <w:bCs/>
                <w:szCs w:val="20"/>
                <w:lang w:val="en-GB"/>
              </w:rPr>
            </w:pPr>
            <w:r w:rsidRPr="000723F0">
              <w:rPr>
                <w:b/>
                <w:bCs/>
                <w:szCs w:val="20"/>
                <w:lang w:val="en-GB"/>
              </w:rPr>
              <w:lastRenderedPageBreak/>
              <w:t>Timing</w:t>
            </w:r>
          </w:p>
        </w:tc>
        <w:tc>
          <w:tcPr>
            <w:tcW w:w="7893" w:type="dxa"/>
            <w:gridSpan w:val="3"/>
            <w:tcBorders>
              <w:top w:val="single" w:sz="4" w:space="0" w:color="auto"/>
              <w:left w:val="single" w:sz="4" w:space="0" w:color="auto"/>
              <w:bottom w:val="single" w:sz="4" w:space="0" w:color="auto"/>
              <w:right w:val="single" w:sz="4" w:space="0" w:color="auto"/>
            </w:tcBorders>
          </w:tcPr>
          <w:p w14:paraId="7364FE4A" w14:textId="626BFF75" w:rsidR="00B809CC" w:rsidRPr="000723F0" w:rsidRDefault="76807B70" w:rsidP="76807B70">
            <w:pPr>
              <w:pStyle w:val="ListParagraph"/>
              <w:numPr>
                <w:ilvl w:val="0"/>
                <w:numId w:val="2"/>
              </w:numPr>
              <w:spacing w:line="259" w:lineRule="auto"/>
              <w:jc w:val="both"/>
              <w:rPr>
                <w:rFonts w:eastAsiaTheme="minorEastAsia"/>
                <w:iCs/>
                <w:color w:val="000000" w:themeColor="text1"/>
                <w:szCs w:val="20"/>
              </w:rPr>
            </w:pPr>
            <w:r w:rsidRPr="000723F0">
              <w:rPr>
                <w:rFonts w:ascii="Calibri" w:eastAsia="Calibri" w:hAnsi="Calibri" w:cs="Calibri"/>
                <w:iCs/>
                <w:color w:val="231F20"/>
                <w:szCs w:val="20"/>
              </w:rPr>
              <w:t>Inadequate analysis of regulations leads to unintended noncompliance and, a, incurred</w:t>
            </w:r>
            <w:r w:rsidR="003E475C" w:rsidRPr="000723F0">
              <w:rPr>
                <w:rFonts w:ascii="Calibri" w:eastAsia="Calibri" w:hAnsi="Calibri" w:cs="Calibri"/>
                <w:iCs/>
                <w:color w:val="231F20"/>
                <w:szCs w:val="20"/>
              </w:rPr>
              <w:t xml:space="preserve"> fines</w:t>
            </w:r>
            <w:r w:rsidRPr="000723F0">
              <w:rPr>
                <w:rFonts w:ascii="Calibri" w:eastAsia="Calibri" w:hAnsi="Calibri" w:cs="Calibri"/>
                <w:iCs/>
                <w:color w:val="231F20"/>
                <w:szCs w:val="20"/>
              </w:rPr>
              <w:t>.</w:t>
            </w:r>
            <w:r w:rsidRPr="000723F0">
              <w:rPr>
                <w:rFonts w:ascii="Calibri" w:eastAsia="Calibri" w:hAnsi="Calibri" w:cs="Calibri"/>
                <w:iCs/>
                <w:color w:val="000000" w:themeColor="text1"/>
                <w:szCs w:val="20"/>
                <w:lang w:val="en-GB"/>
              </w:rPr>
              <w:t xml:space="preserve"> </w:t>
            </w:r>
          </w:p>
          <w:p w14:paraId="7EF84167" w14:textId="64340471" w:rsidR="00B809CC" w:rsidRPr="000723F0" w:rsidRDefault="76807B70" w:rsidP="76807B70">
            <w:pPr>
              <w:pStyle w:val="ListParagraph"/>
              <w:numPr>
                <w:ilvl w:val="0"/>
                <w:numId w:val="2"/>
              </w:numPr>
              <w:spacing w:line="259" w:lineRule="auto"/>
              <w:jc w:val="both"/>
              <w:rPr>
                <w:rFonts w:eastAsiaTheme="minorEastAsia"/>
                <w:iCs/>
                <w:color w:val="000000" w:themeColor="text1"/>
                <w:szCs w:val="20"/>
              </w:rPr>
            </w:pPr>
            <w:r w:rsidRPr="000723F0">
              <w:rPr>
                <w:rFonts w:ascii="Calibri" w:eastAsia="Calibri" w:hAnsi="Calibri" w:cs="Calibri"/>
                <w:iCs/>
                <w:color w:val="000000" w:themeColor="text1"/>
                <w:szCs w:val="20"/>
                <w:lang w:val="en-GB"/>
              </w:rPr>
              <w:t xml:space="preserve">The </w:t>
            </w:r>
            <w:r w:rsidRPr="000723F0">
              <w:rPr>
                <w:rFonts w:ascii="Calibri" w:eastAsia="Calibri" w:hAnsi="Calibri" w:cs="Calibri"/>
                <w:b/>
                <w:bCs/>
                <w:iCs/>
                <w:color w:val="000000" w:themeColor="text1"/>
                <w:szCs w:val="20"/>
                <w:lang w:val="en-GB"/>
              </w:rPr>
              <w:t>duration</w:t>
            </w:r>
            <w:r w:rsidRPr="000723F0">
              <w:rPr>
                <w:rFonts w:ascii="Calibri" w:eastAsia="Calibri" w:hAnsi="Calibri" w:cs="Calibri"/>
                <w:iCs/>
                <w:color w:val="000000" w:themeColor="text1"/>
                <w:szCs w:val="20"/>
                <w:lang w:val="en-GB"/>
              </w:rPr>
              <w:t xml:space="preserve"> of the incident can be very short or prolonged</w:t>
            </w:r>
            <w:r w:rsidRPr="000723F0">
              <w:rPr>
                <w:rFonts w:ascii="Calibri" w:eastAsia="Calibri" w:hAnsi="Calibri" w:cs="Calibri"/>
                <w:iCs/>
                <w:color w:val="000000" w:themeColor="text1"/>
                <w:szCs w:val="20"/>
                <w:lang w:val="en-GB"/>
              </w:rPr>
              <w:t>.</w:t>
            </w:r>
          </w:p>
          <w:p w14:paraId="021D1158" w14:textId="3A9B5431" w:rsidR="00B809CC" w:rsidRPr="000723F0" w:rsidRDefault="76807B70" w:rsidP="76807B70">
            <w:pPr>
              <w:pStyle w:val="ListParagraph"/>
              <w:numPr>
                <w:ilvl w:val="0"/>
                <w:numId w:val="2"/>
              </w:numPr>
              <w:spacing w:line="259" w:lineRule="auto"/>
              <w:jc w:val="both"/>
              <w:rPr>
                <w:rFonts w:eastAsiaTheme="minorEastAsia"/>
                <w:iCs/>
                <w:color w:val="000000" w:themeColor="text1"/>
                <w:szCs w:val="20"/>
              </w:rPr>
            </w:pPr>
            <w:r w:rsidRPr="000723F0">
              <w:rPr>
                <w:rFonts w:ascii="Calibri" w:eastAsia="Calibri" w:hAnsi="Calibri" w:cs="Calibri"/>
                <w:iCs/>
                <w:color w:val="000000" w:themeColor="text1"/>
                <w:szCs w:val="20"/>
                <w:lang w:val="en-GB"/>
              </w:rPr>
              <w:t xml:space="preserve">Early </w:t>
            </w:r>
            <w:r w:rsidRPr="000723F0">
              <w:rPr>
                <w:rFonts w:ascii="Calibri" w:eastAsia="Calibri" w:hAnsi="Calibri" w:cs="Calibri"/>
                <w:b/>
                <w:bCs/>
                <w:iCs/>
                <w:color w:val="000000" w:themeColor="text1"/>
                <w:szCs w:val="20"/>
                <w:lang w:val="en-GB"/>
              </w:rPr>
              <w:t>detection</w:t>
            </w:r>
            <w:r w:rsidRPr="000723F0">
              <w:rPr>
                <w:rFonts w:ascii="Calibri" w:eastAsia="Calibri" w:hAnsi="Calibri" w:cs="Calibri"/>
                <w:iCs/>
                <w:color w:val="000000" w:themeColor="text1"/>
                <w:szCs w:val="20"/>
                <w:lang w:val="en-GB"/>
              </w:rPr>
              <w:t xml:space="preserve"> of the local/international laws and regulations is key to limit</w:t>
            </w:r>
            <w:r w:rsidR="003E475C" w:rsidRPr="000723F0">
              <w:rPr>
                <w:rFonts w:ascii="Calibri" w:eastAsia="Calibri" w:hAnsi="Calibri" w:cs="Calibri"/>
                <w:iCs/>
                <w:color w:val="000000" w:themeColor="text1"/>
                <w:szCs w:val="20"/>
                <w:lang w:val="en-GB"/>
              </w:rPr>
              <w:t>ing</w:t>
            </w:r>
            <w:r w:rsidRPr="000723F0">
              <w:rPr>
                <w:rFonts w:ascii="Calibri" w:eastAsia="Calibri" w:hAnsi="Calibri" w:cs="Calibri"/>
                <w:iCs/>
                <w:color w:val="000000" w:themeColor="text1"/>
                <w:szCs w:val="20"/>
                <w:lang w:val="en-GB"/>
              </w:rPr>
              <w:t xml:space="preserve"> the scope of the incident</w:t>
            </w:r>
            <w:r w:rsidRPr="000723F0">
              <w:rPr>
                <w:rFonts w:ascii="Calibri" w:eastAsia="Calibri" w:hAnsi="Calibri" w:cs="Calibri"/>
                <w:iCs/>
                <w:color w:val="000000" w:themeColor="text1"/>
                <w:szCs w:val="20"/>
                <w:lang w:val="en-GB"/>
              </w:rPr>
              <w:t>.</w:t>
            </w:r>
          </w:p>
          <w:p w14:paraId="23CEF6F4" w14:textId="73F9C047" w:rsidR="00931518" w:rsidRPr="000723F0" w:rsidRDefault="76807B70" w:rsidP="003E475C">
            <w:pPr>
              <w:pStyle w:val="ListParagraph"/>
              <w:numPr>
                <w:ilvl w:val="0"/>
                <w:numId w:val="2"/>
              </w:numPr>
              <w:spacing w:line="259" w:lineRule="auto"/>
              <w:jc w:val="both"/>
              <w:rPr>
                <w:rFonts w:eastAsiaTheme="minorEastAsia"/>
                <w:iCs/>
                <w:color w:val="000000" w:themeColor="text1"/>
                <w:szCs w:val="20"/>
              </w:rPr>
            </w:pPr>
            <w:r w:rsidRPr="000723F0">
              <w:rPr>
                <w:rFonts w:ascii="Calibri" w:eastAsia="Calibri" w:hAnsi="Calibri" w:cs="Calibri"/>
                <w:iCs/>
                <w:color w:val="000000" w:themeColor="text1"/>
                <w:szCs w:val="20"/>
                <w:lang w:val="en-GB"/>
              </w:rPr>
              <w:t xml:space="preserve">The </w:t>
            </w:r>
            <w:r w:rsidRPr="000723F0">
              <w:rPr>
                <w:rFonts w:ascii="Calibri" w:eastAsia="Calibri" w:hAnsi="Calibri" w:cs="Calibri"/>
                <w:b/>
                <w:bCs/>
                <w:iCs/>
                <w:color w:val="000000" w:themeColor="text1"/>
                <w:szCs w:val="20"/>
                <w:lang w:val="en-GB"/>
              </w:rPr>
              <w:t xml:space="preserve">time lag </w:t>
            </w:r>
            <w:r w:rsidR="00931518" w:rsidRPr="000723F0">
              <w:rPr>
                <w:rFonts w:ascii="Calibri" w:eastAsia="Calibri" w:hAnsi="Calibri" w:cs="Calibri"/>
                <w:iCs/>
                <w:color w:val="000000" w:themeColor="text1"/>
                <w:szCs w:val="20"/>
                <w:lang w:val="en-GB"/>
              </w:rPr>
              <w:t xml:space="preserve">can </w:t>
            </w:r>
            <w:r w:rsidRPr="000723F0">
              <w:rPr>
                <w:rFonts w:ascii="Calibri" w:eastAsia="Calibri" w:hAnsi="Calibri" w:cs="Calibri"/>
                <w:iCs/>
                <w:color w:val="000000" w:themeColor="text1"/>
                <w:szCs w:val="20"/>
                <w:lang w:val="en-GB"/>
              </w:rPr>
              <w:t>be short or long, depending on the nature of the action taken by management</w:t>
            </w:r>
            <w:r w:rsidR="003E475C" w:rsidRPr="000723F0">
              <w:rPr>
                <w:rFonts w:ascii="Calibri" w:eastAsia="Calibri" w:hAnsi="Calibri" w:cs="Calibri"/>
                <w:iCs/>
                <w:color w:val="000000" w:themeColor="text1"/>
                <w:szCs w:val="20"/>
                <w:lang w:val="en-GB"/>
              </w:rPr>
              <w:t>.</w:t>
            </w:r>
          </w:p>
          <w:p w14:paraId="14EED9BB" w14:textId="09010CDE" w:rsidR="00B809CC" w:rsidRPr="00D36FFF" w:rsidRDefault="00B809CC" w:rsidP="76807B70">
            <w:pPr>
              <w:pStyle w:val="ListParagraph"/>
              <w:ind w:left="0"/>
              <w:rPr>
                <w:szCs w:val="20"/>
              </w:rPr>
            </w:pPr>
          </w:p>
        </w:tc>
      </w:tr>
    </w:tbl>
    <w:p w14:paraId="7B7C2FC8" w14:textId="77777777" w:rsidR="009A2404" w:rsidRDefault="009A2404"/>
    <w:tbl>
      <w:tblPr>
        <w:tblStyle w:val="TableGrid"/>
        <w:tblW w:w="9628"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2065"/>
        <w:gridCol w:w="1800"/>
        <w:gridCol w:w="5763"/>
      </w:tblGrid>
      <w:tr w:rsidR="00B37C68" w:rsidRPr="00127CA4" w14:paraId="54D77439" w14:textId="77777777" w:rsidTr="003E5ACF">
        <w:tc>
          <w:tcPr>
            <w:tcW w:w="9628" w:type="dxa"/>
            <w:gridSpan w:val="3"/>
            <w:tcBorders>
              <w:bottom w:val="single" w:sz="4" w:space="0" w:color="auto"/>
            </w:tcBorders>
            <w:shd w:val="clear" w:color="auto" w:fill="C45911" w:themeFill="accent2" w:themeFillShade="BF"/>
          </w:tcPr>
          <w:p w14:paraId="27F749D0" w14:textId="3DE50627" w:rsidR="00B37C68" w:rsidRPr="000723F0" w:rsidRDefault="00B37C68" w:rsidP="00B37C68">
            <w:pPr>
              <w:pStyle w:val="ListParagraph"/>
              <w:numPr>
                <w:ilvl w:val="0"/>
                <w:numId w:val="10"/>
              </w:numPr>
              <w:spacing w:before="40" w:after="40"/>
              <w:rPr>
                <w:b/>
                <w:bCs/>
                <w:color w:val="FFFFFF" w:themeColor="background1"/>
                <w:sz w:val="22"/>
                <w:szCs w:val="24"/>
                <w:lang w:val="en-GB"/>
              </w:rPr>
            </w:pPr>
            <w:r w:rsidRPr="000723F0">
              <w:rPr>
                <w:b/>
                <w:bCs/>
                <w:color w:val="FFFFFF" w:themeColor="background1"/>
                <w:sz w:val="22"/>
                <w:szCs w:val="24"/>
                <w:lang w:val="en-GB"/>
              </w:rPr>
              <w:t>Risk Scenario Scope &amp; Extent</w:t>
            </w:r>
          </w:p>
        </w:tc>
      </w:tr>
      <w:tr w:rsidR="00B809CC" w:rsidRPr="002E7042" w14:paraId="15115340" w14:textId="77777777" w:rsidTr="003E5ACF">
        <w:tc>
          <w:tcPr>
            <w:tcW w:w="2065" w:type="dxa"/>
            <w:vMerge w:val="restart"/>
            <w:tcBorders>
              <w:top w:val="single" w:sz="4" w:space="0" w:color="auto"/>
              <w:left w:val="single" w:sz="4" w:space="0" w:color="auto"/>
              <w:bottom w:val="single" w:sz="4" w:space="0" w:color="auto"/>
              <w:right w:val="single" w:sz="4" w:space="0" w:color="auto"/>
            </w:tcBorders>
          </w:tcPr>
          <w:p w14:paraId="6892895E" w14:textId="3E7DCB2C" w:rsidR="00B809CC" w:rsidRPr="000723F0" w:rsidRDefault="00B809CC" w:rsidP="009A2404">
            <w:pPr>
              <w:rPr>
                <w:b/>
                <w:bCs/>
                <w:szCs w:val="20"/>
                <w:lang w:val="en-GB"/>
              </w:rPr>
            </w:pPr>
            <w:r w:rsidRPr="000723F0">
              <w:rPr>
                <w:b/>
                <w:bCs/>
                <w:szCs w:val="20"/>
                <w:lang w:val="en-GB"/>
              </w:rPr>
              <w:t xml:space="preserve">Extent of the </w:t>
            </w:r>
            <w:r w:rsidR="009A2404">
              <w:rPr>
                <w:b/>
                <w:bCs/>
                <w:szCs w:val="20"/>
                <w:lang w:val="en-GB"/>
              </w:rPr>
              <w:t>S</w:t>
            </w:r>
            <w:r w:rsidRPr="000723F0">
              <w:rPr>
                <w:b/>
                <w:bCs/>
                <w:szCs w:val="20"/>
                <w:lang w:val="en-GB"/>
              </w:rPr>
              <w:t>cenario</w:t>
            </w:r>
          </w:p>
        </w:tc>
        <w:tc>
          <w:tcPr>
            <w:tcW w:w="1800" w:type="dxa"/>
            <w:tcBorders>
              <w:top w:val="single" w:sz="4" w:space="0" w:color="auto"/>
              <w:left w:val="single" w:sz="4" w:space="0" w:color="auto"/>
              <w:bottom w:val="single" w:sz="4" w:space="0" w:color="auto"/>
              <w:right w:val="single" w:sz="4" w:space="0" w:color="auto"/>
            </w:tcBorders>
          </w:tcPr>
          <w:p w14:paraId="792BAB97" w14:textId="618C5BB4" w:rsidR="00B809CC" w:rsidRDefault="00B809CC" w:rsidP="00265519">
            <w:pPr>
              <w:rPr>
                <w:i/>
                <w:iCs/>
                <w:szCs w:val="20"/>
                <w:lang w:val="en-GB"/>
              </w:rPr>
            </w:pPr>
            <w:r w:rsidRPr="000723F0">
              <w:rPr>
                <w:b/>
                <w:bCs/>
                <w:szCs w:val="20"/>
                <w:lang w:val="en-GB"/>
              </w:rPr>
              <w:t xml:space="preserve">Worst </w:t>
            </w:r>
            <w:r w:rsidR="009A2404">
              <w:rPr>
                <w:b/>
                <w:bCs/>
                <w:szCs w:val="20"/>
                <w:lang w:val="en-GB"/>
              </w:rPr>
              <w:t>C</w:t>
            </w:r>
            <w:r w:rsidRPr="000723F0">
              <w:rPr>
                <w:b/>
                <w:bCs/>
                <w:szCs w:val="20"/>
                <w:lang w:val="en-GB"/>
              </w:rPr>
              <w:t>ase</w:t>
            </w:r>
          </w:p>
        </w:tc>
        <w:tc>
          <w:tcPr>
            <w:tcW w:w="5763" w:type="dxa"/>
            <w:tcBorders>
              <w:top w:val="single" w:sz="4" w:space="0" w:color="auto"/>
              <w:left w:val="single" w:sz="4" w:space="0" w:color="auto"/>
              <w:bottom w:val="single" w:sz="4" w:space="0" w:color="auto"/>
              <w:right w:val="single" w:sz="4" w:space="0" w:color="auto"/>
            </w:tcBorders>
          </w:tcPr>
          <w:p w14:paraId="29FAC982" w14:textId="4F5253E3" w:rsidR="00B809CC" w:rsidRPr="000723F0" w:rsidRDefault="76807B70" w:rsidP="003D2EC6">
            <w:pPr>
              <w:spacing w:line="259" w:lineRule="auto"/>
              <w:rPr>
                <w:iCs/>
                <w:szCs w:val="20"/>
                <w:lang w:val="en-GB"/>
              </w:rPr>
            </w:pPr>
            <w:r w:rsidRPr="000723F0">
              <w:rPr>
                <w:rFonts w:ascii="Calibri" w:eastAsia="Calibri" w:hAnsi="Calibri" w:cs="Calibri"/>
                <w:iCs/>
                <w:color w:val="000000" w:themeColor="text1"/>
                <w:szCs w:val="20"/>
                <w:lang w:val="en-GB"/>
              </w:rPr>
              <w:t>Serious workplace safety incident occurs, and people are hurt or killed. The incident has major damage to the brand/</w:t>
            </w:r>
            <w:r w:rsidR="00931518" w:rsidRPr="000723F0">
              <w:rPr>
                <w:rFonts w:ascii="Calibri" w:eastAsia="Calibri" w:hAnsi="Calibri" w:cs="Calibri"/>
                <w:iCs/>
                <w:color w:val="000000" w:themeColor="text1"/>
                <w:szCs w:val="20"/>
                <w:lang w:val="en-GB"/>
              </w:rPr>
              <w:t>enterprise.</w:t>
            </w:r>
            <w:r w:rsidRPr="000723F0">
              <w:rPr>
                <w:rFonts w:ascii="Calibri" w:eastAsia="Calibri" w:hAnsi="Calibri" w:cs="Calibri"/>
                <w:iCs/>
                <w:color w:val="000000" w:themeColor="text1"/>
                <w:szCs w:val="20"/>
                <w:lang w:val="en-GB"/>
              </w:rPr>
              <w:t xml:space="preserve"> High fines are levied on the </w:t>
            </w:r>
            <w:r w:rsidR="00931518" w:rsidRPr="000723F0">
              <w:rPr>
                <w:rFonts w:ascii="Calibri" w:eastAsia="Calibri" w:hAnsi="Calibri" w:cs="Calibri"/>
                <w:iCs/>
                <w:color w:val="000000" w:themeColor="text1"/>
                <w:szCs w:val="20"/>
                <w:lang w:val="en-GB"/>
              </w:rPr>
              <w:t xml:space="preserve">enterprise </w:t>
            </w:r>
            <w:r w:rsidRPr="000723F0">
              <w:rPr>
                <w:rFonts w:ascii="Calibri" w:eastAsia="Calibri" w:hAnsi="Calibri" w:cs="Calibri"/>
                <w:iCs/>
                <w:color w:val="000000" w:themeColor="text1"/>
                <w:szCs w:val="20"/>
                <w:lang w:val="en-GB"/>
              </w:rPr>
              <w:t xml:space="preserve">for noncompliance with workplace safety regulations. Reputation is tarnished and additional regulatory scrutiny continues for several years. The cost of compliance is high and takes resources that </w:t>
            </w:r>
            <w:r w:rsidR="00931518" w:rsidRPr="000723F0">
              <w:rPr>
                <w:rFonts w:ascii="Calibri" w:eastAsia="Calibri" w:hAnsi="Calibri" w:cs="Calibri"/>
                <w:iCs/>
                <w:color w:val="000000" w:themeColor="text1"/>
                <w:szCs w:val="20"/>
                <w:lang w:val="en-GB"/>
              </w:rPr>
              <w:t xml:space="preserve">can </w:t>
            </w:r>
            <w:r w:rsidRPr="000723F0">
              <w:rPr>
                <w:rFonts w:ascii="Calibri" w:eastAsia="Calibri" w:hAnsi="Calibri" w:cs="Calibri"/>
                <w:iCs/>
                <w:color w:val="000000" w:themeColor="text1"/>
                <w:szCs w:val="20"/>
                <w:lang w:val="en-GB"/>
              </w:rPr>
              <w:t>be used for other programs. It is difficult to attract and retain talent in the workforce</w:t>
            </w:r>
            <w:r w:rsidRPr="000723F0">
              <w:rPr>
                <w:rFonts w:ascii="Calibri" w:eastAsia="Calibri" w:hAnsi="Calibri" w:cs="Calibri"/>
                <w:iCs/>
                <w:color w:val="000000" w:themeColor="text1"/>
                <w:szCs w:val="20"/>
                <w:lang w:val="en-GB"/>
              </w:rPr>
              <w:t>.</w:t>
            </w:r>
          </w:p>
        </w:tc>
      </w:tr>
      <w:tr w:rsidR="00B809CC" w:rsidRPr="002E7042" w14:paraId="07D61184" w14:textId="77777777" w:rsidTr="003E5ACF">
        <w:tc>
          <w:tcPr>
            <w:tcW w:w="2065" w:type="dxa"/>
            <w:vMerge/>
            <w:tcBorders>
              <w:top w:val="single" w:sz="4" w:space="0" w:color="auto"/>
              <w:left w:val="single" w:sz="4" w:space="0" w:color="auto"/>
              <w:bottom w:val="single" w:sz="4" w:space="0" w:color="auto"/>
              <w:right w:val="single" w:sz="4" w:space="0" w:color="auto"/>
            </w:tcBorders>
          </w:tcPr>
          <w:p w14:paraId="54B37B9E" w14:textId="77777777" w:rsidR="00B809CC" w:rsidRDefault="00B809CC" w:rsidP="00265519">
            <w:pPr>
              <w:rPr>
                <w:b/>
                <w:bCs/>
                <w:smallCaps/>
                <w:szCs w:val="20"/>
                <w:lang w:val="en-GB"/>
              </w:rPr>
            </w:pPr>
          </w:p>
        </w:tc>
        <w:tc>
          <w:tcPr>
            <w:tcW w:w="1800" w:type="dxa"/>
            <w:tcBorders>
              <w:top w:val="single" w:sz="4" w:space="0" w:color="auto"/>
              <w:left w:val="single" w:sz="4" w:space="0" w:color="auto"/>
              <w:bottom w:val="single" w:sz="4" w:space="0" w:color="auto"/>
              <w:right w:val="single" w:sz="4" w:space="0" w:color="auto"/>
            </w:tcBorders>
          </w:tcPr>
          <w:p w14:paraId="049A2D2D" w14:textId="3DC0AAF7" w:rsidR="00B809CC" w:rsidRPr="000723F0" w:rsidRDefault="00B809CC" w:rsidP="00265519">
            <w:pPr>
              <w:rPr>
                <w:b/>
                <w:bCs/>
                <w:szCs w:val="20"/>
                <w:lang w:val="en-GB"/>
              </w:rPr>
            </w:pPr>
            <w:r w:rsidRPr="000723F0">
              <w:rPr>
                <w:b/>
                <w:bCs/>
                <w:szCs w:val="20"/>
                <w:lang w:val="en-GB"/>
              </w:rPr>
              <w:t xml:space="preserve">Typical or </w:t>
            </w:r>
            <w:r w:rsidR="009A2404">
              <w:rPr>
                <w:b/>
                <w:bCs/>
                <w:szCs w:val="20"/>
                <w:lang w:val="en-GB"/>
              </w:rPr>
              <w:t>M</w:t>
            </w:r>
            <w:r w:rsidRPr="000723F0">
              <w:rPr>
                <w:b/>
                <w:bCs/>
                <w:szCs w:val="20"/>
                <w:lang w:val="en-GB"/>
              </w:rPr>
              <w:t xml:space="preserve">ost </w:t>
            </w:r>
            <w:r w:rsidR="009A2404">
              <w:rPr>
                <w:b/>
                <w:bCs/>
                <w:szCs w:val="20"/>
                <w:lang w:val="en-GB"/>
              </w:rPr>
              <w:t>L</w:t>
            </w:r>
            <w:r w:rsidRPr="000723F0">
              <w:rPr>
                <w:b/>
                <w:bCs/>
                <w:szCs w:val="20"/>
                <w:lang w:val="en-GB"/>
              </w:rPr>
              <w:t xml:space="preserve">ikely </w:t>
            </w:r>
            <w:r w:rsidR="009A2404">
              <w:rPr>
                <w:b/>
                <w:bCs/>
                <w:szCs w:val="20"/>
                <w:lang w:val="en-GB"/>
              </w:rPr>
              <w:t>C</w:t>
            </w:r>
            <w:r w:rsidRPr="000723F0">
              <w:rPr>
                <w:b/>
                <w:bCs/>
                <w:szCs w:val="20"/>
                <w:lang w:val="en-GB"/>
              </w:rPr>
              <w:t>ase</w:t>
            </w:r>
          </w:p>
          <w:p w14:paraId="29C3C37B" w14:textId="77777777" w:rsidR="00B809CC" w:rsidRDefault="00B809CC" w:rsidP="00265519">
            <w:pPr>
              <w:rPr>
                <w:i/>
                <w:iCs/>
                <w:szCs w:val="20"/>
                <w:lang w:val="en-GB"/>
              </w:rPr>
            </w:pPr>
          </w:p>
        </w:tc>
        <w:tc>
          <w:tcPr>
            <w:tcW w:w="5763" w:type="dxa"/>
            <w:tcBorders>
              <w:top w:val="single" w:sz="4" w:space="0" w:color="auto"/>
              <w:left w:val="single" w:sz="4" w:space="0" w:color="auto"/>
              <w:bottom w:val="single" w:sz="4" w:space="0" w:color="auto"/>
              <w:right w:val="single" w:sz="4" w:space="0" w:color="auto"/>
            </w:tcBorders>
          </w:tcPr>
          <w:p w14:paraId="021557CD" w14:textId="2468FB1E" w:rsidR="00B809CC" w:rsidRPr="008016B1" w:rsidRDefault="76807B70" w:rsidP="003D2EC6">
            <w:pPr>
              <w:spacing w:line="259" w:lineRule="auto"/>
              <w:rPr>
                <w:rFonts w:ascii="Calibri" w:eastAsia="Calibri" w:hAnsi="Calibri" w:cs="Calibri"/>
                <w:color w:val="000000" w:themeColor="text1"/>
                <w:szCs w:val="20"/>
                <w:lang w:val="en-GB"/>
              </w:rPr>
            </w:pPr>
            <w:r w:rsidRPr="000723F0">
              <w:rPr>
                <w:rFonts w:ascii="Calibri" w:eastAsia="Calibri" w:hAnsi="Calibri" w:cs="Calibri"/>
                <w:iCs/>
                <w:color w:val="000000" w:themeColor="text1"/>
                <w:szCs w:val="20"/>
                <w:lang w:val="en-GB"/>
              </w:rPr>
              <w:t xml:space="preserve">No serious workplace safety incident occurs. The cost of compliance is high and takes resources that </w:t>
            </w:r>
            <w:r w:rsidR="00931518" w:rsidRPr="000723F0">
              <w:rPr>
                <w:rFonts w:ascii="Calibri" w:eastAsia="Calibri" w:hAnsi="Calibri" w:cs="Calibri"/>
                <w:iCs/>
                <w:color w:val="000000" w:themeColor="text1"/>
                <w:szCs w:val="20"/>
                <w:lang w:val="en-GB"/>
              </w:rPr>
              <w:t xml:space="preserve">can </w:t>
            </w:r>
            <w:r w:rsidRPr="000723F0">
              <w:rPr>
                <w:rFonts w:ascii="Calibri" w:eastAsia="Calibri" w:hAnsi="Calibri" w:cs="Calibri"/>
                <w:iCs/>
                <w:color w:val="000000" w:themeColor="text1"/>
                <w:szCs w:val="20"/>
                <w:lang w:val="en-GB"/>
              </w:rPr>
              <w:t>be used for other programs. It is difficult to attract and retain talent in the workforce</w:t>
            </w:r>
            <w:r w:rsidRPr="000723F0">
              <w:rPr>
                <w:rFonts w:ascii="Calibri" w:eastAsia="Calibri" w:hAnsi="Calibri" w:cs="Calibri"/>
                <w:iCs/>
                <w:color w:val="000000" w:themeColor="text1"/>
                <w:szCs w:val="20"/>
                <w:lang w:val="en-GB"/>
              </w:rPr>
              <w:t>.</w:t>
            </w:r>
          </w:p>
        </w:tc>
      </w:tr>
      <w:tr w:rsidR="00B809CC" w:rsidRPr="002E7042" w14:paraId="4DDF1DA6" w14:textId="77777777" w:rsidTr="003E5ACF">
        <w:tc>
          <w:tcPr>
            <w:tcW w:w="2065" w:type="dxa"/>
            <w:vMerge/>
            <w:tcBorders>
              <w:top w:val="single" w:sz="4" w:space="0" w:color="auto"/>
              <w:left w:val="single" w:sz="4" w:space="0" w:color="auto"/>
              <w:bottom w:val="single" w:sz="4" w:space="0" w:color="auto"/>
              <w:right w:val="single" w:sz="4" w:space="0" w:color="auto"/>
            </w:tcBorders>
          </w:tcPr>
          <w:p w14:paraId="3A6AB7B8" w14:textId="77777777" w:rsidR="00B809CC" w:rsidRDefault="00B809CC" w:rsidP="00265519">
            <w:pPr>
              <w:rPr>
                <w:b/>
                <w:bCs/>
                <w:smallCaps/>
                <w:szCs w:val="20"/>
                <w:lang w:val="en-GB"/>
              </w:rPr>
            </w:pPr>
          </w:p>
        </w:tc>
        <w:tc>
          <w:tcPr>
            <w:tcW w:w="1800" w:type="dxa"/>
            <w:tcBorders>
              <w:top w:val="single" w:sz="4" w:space="0" w:color="auto"/>
              <w:left w:val="single" w:sz="4" w:space="0" w:color="auto"/>
              <w:bottom w:val="single" w:sz="4" w:space="0" w:color="auto"/>
              <w:right w:val="single" w:sz="4" w:space="0" w:color="auto"/>
            </w:tcBorders>
          </w:tcPr>
          <w:p w14:paraId="2B16D23F" w14:textId="7933FB4C" w:rsidR="00B809CC" w:rsidRPr="009A2404" w:rsidRDefault="00B809CC" w:rsidP="00265519">
            <w:pPr>
              <w:rPr>
                <w:i/>
                <w:iCs/>
                <w:szCs w:val="20"/>
                <w:lang w:val="en-GB"/>
              </w:rPr>
            </w:pPr>
            <w:r w:rsidRPr="000723F0">
              <w:rPr>
                <w:b/>
                <w:bCs/>
                <w:szCs w:val="20"/>
                <w:lang w:val="en-GB"/>
              </w:rPr>
              <w:t xml:space="preserve">Best </w:t>
            </w:r>
            <w:r w:rsidR="009A2404">
              <w:rPr>
                <w:b/>
                <w:bCs/>
                <w:szCs w:val="20"/>
                <w:lang w:val="en-GB"/>
              </w:rPr>
              <w:t>C</w:t>
            </w:r>
            <w:r w:rsidRPr="000723F0">
              <w:rPr>
                <w:b/>
                <w:bCs/>
                <w:szCs w:val="20"/>
                <w:lang w:val="en-GB"/>
              </w:rPr>
              <w:t>ase</w:t>
            </w:r>
          </w:p>
        </w:tc>
        <w:tc>
          <w:tcPr>
            <w:tcW w:w="5763" w:type="dxa"/>
            <w:tcBorders>
              <w:top w:val="single" w:sz="4" w:space="0" w:color="auto"/>
              <w:left w:val="single" w:sz="4" w:space="0" w:color="auto"/>
              <w:bottom w:val="single" w:sz="4" w:space="0" w:color="auto"/>
              <w:right w:val="single" w:sz="4" w:space="0" w:color="auto"/>
            </w:tcBorders>
          </w:tcPr>
          <w:p w14:paraId="00DD890B" w14:textId="5AFE0BFC" w:rsidR="00B809CC" w:rsidRPr="000723F0" w:rsidRDefault="76807B70" w:rsidP="003D2EC6">
            <w:pPr>
              <w:rPr>
                <w:iCs/>
                <w:lang w:val="en-GB"/>
              </w:rPr>
            </w:pPr>
            <w:r w:rsidRPr="000723F0">
              <w:rPr>
                <w:iCs/>
                <w:lang w:val="en-GB"/>
              </w:rPr>
              <w:t>Regulatory changes are simple and can be resolved before the situation results in a workplace safety incident</w:t>
            </w:r>
            <w:r w:rsidRPr="000723F0">
              <w:rPr>
                <w:iCs/>
                <w:lang w:val="en-GB"/>
              </w:rPr>
              <w:t xml:space="preserve">. </w:t>
            </w:r>
          </w:p>
        </w:tc>
      </w:tr>
      <w:tr w:rsidR="00B809CC" w:rsidRPr="002E7042" w14:paraId="409692DD" w14:textId="77777777" w:rsidTr="00DC73C6">
        <w:tc>
          <w:tcPr>
            <w:tcW w:w="2065" w:type="dxa"/>
            <w:tcBorders>
              <w:top w:val="single" w:sz="4" w:space="0" w:color="auto"/>
              <w:left w:val="single" w:sz="4" w:space="0" w:color="auto"/>
              <w:bottom w:val="single" w:sz="4" w:space="0" w:color="auto"/>
              <w:right w:val="single" w:sz="4" w:space="0" w:color="auto"/>
            </w:tcBorders>
          </w:tcPr>
          <w:p w14:paraId="03813B0E" w14:textId="77777777" w:rsidR="00B809CC" w:rsidRPr="000723F0" w:rsidRDefault="00B809CC" w:rsidP="00265519">
            <w:pPr>
              <w:rPr>
                <w:b/>
                <w:bCs/>
                <w:szCs w:val="20"/>
                <w:lang w:val="en-GB"/>
              </w:rPr>
            </w:pPr>
            <w:r w:rsidRPr="000723F0">
              <w:rPr>
                <w:b/>
                <w:bCs/>
                <w:szCs w:val="20"/>
                <w:lang w:val="en-GB"/>
              </w:rPr>
              <w:t>Assumptions</w:t>
            </w:r>
          </w:p>
        </w:tc>
        <w:tc>
          <w:tcPr>
            <w:tcW w:w="7563" w:type="dxa"/>
            <w:gridSpan w:val="2"/>
            <w:tcBorders>
              <w:top w:val="single" w:sz="4" w:space="0" w:color="auto"/>
              <w:left w:val="single" w:sz="4" w:space="0" w:color="auto"/>
              <w:bottom w:val="single" w:sz="4" w:space="0" w:color="auto"/>
              <w:right w:val="single" w:sz="4" w:space="0" w:color="auto"/>
            </w:tcBorders>
          </w:tcPr>
          <w:p w14:paraId="3B51F791" w14:textId="5F1EAA8C" w:rsidR="00EF3D3B" w:rsidRPr="000723F0" w:rsidRDefault="76807B70" w:rsidP="76807B70">
            <w:pPr>
              <w:pStyle w:val="ListParagraph"/>
              <w:numPr>
                <w:ilvl w:val="0"/>
                <w:numId w:val="9"/>
              </w:numPr>
              <w:spacing w:before="40" w:after="40"/>
              <w:ind w:left="357" w:hanging="357"/>
              <w:rPr>
                <w:rFonts w:eastAsiaTheme="minorEastAsia"/>
                <w:iCs/>
                <w:color w:val="000000" w:themeColor="text1"/>
                <w:szCs w:val="20"/>
              </w:rPr>
            </w:pPr>
            <w:r w:rsidRPr="000723F0">
              <w:rPr>
                <w:rFonts w:ascii="Calibri" w:eastAsia="Calibri" w:hAnsi="Calibri" w:cs="Calibri"/>
                <w:iCs/>
                <w:color w:val="000000" w:themeColor="text1"/>
                <w:szCs w:val="20"/>
                <w:lang w:val="en-GB"/>
              </w:rPr>
              <w:t>The organi</w:t>
            </w:r>
            <w:r w:rsidR="00906B8E" w:rsidRPr="000723F0">
              <w:rPr>
                <w:rFonts w:ascii="Calibri" w:eastAsia="Calibri" w:hAnsi="Calibri" w:cs="Calibri"/>
                <w:iCs/>
                <w:color w:val="000000" w:themeColor="text1"/>
                <w:szCs w:val="20"/>
                <w:lang w:val="en-GB"/>
              </w:rPr>
              <w:t>z</w:t>
            </w:r>
            <w:r w:rsidRPr="000723F0">
              <w:rPr>
                <w:rFonts w:ascii="Calibri" w:eastAsia="Calibri" w:hAnsi="Calibri" w:cs="Calibri"/>
                <w:iCs/>
                <w:color w:val="000000" w:themeColor="text1"/>
                <w:szCs w:val="20"/>
                <w:lang w:val="en-GB"/>
              </w:rPr>
              <w:t>ation has a defined compliance program and project management life</w:t>
            </w:r>
            <w:r w:rsidR="00931518" w:rsidRPr="000723F0">
              <w:rPr>
                <w:rFonts w:ascii="Calibri" w:eastAsia="Calibri" w:hAnsi="Calibri" w:cs="Calibri"/>
                <w:iCs/>
                <w:color w:val="000000" w:themeColor="text1"/>
                <w:szCs w:val="20"/>
                <w:lang w:val="en-GB"/>
              </w:rPr>
              <w:t xml:space="preserve"> </w:t>
            </w:r>
            <w:r w:rsidRPr="000723F0">
              <w:rPr>
                <w:rFonts w:ascii="Calibri" w:eastAsia="Calibri" w:hAnsi="Calibri" w:cs="Calibri"/>
                <w:iCs/>
                <w:color w:val="000000" w:themeColor="text1"/>
                <w:szCs w:val="20"/>
                <w:lang w:val="en-GB"/>
              </w:rPr>
              <w:t>cycle and methodology</w:t>
            </w:r>
            <w:r w:rsidR="009F3B61" w:rsidRPr="000723F0">
              <w:rPr>
                <w:rFonts w:ascii="Calibri" w:eastAsia="Calibri" w:hAnsi="Calibri" w:cs="Calibri"/>
                <w:iCs/>
                <w:color w:val="000000" w:themeColor="text1"/>
                <w:szCs w:val="20"/>
                <w:lang w:val="en-GB"/>
              </w:rPr>
              <w:t>,</w:t>
            </w:r>
            <w:r w:rsidRPr="000723F0">
              <w:rPr>
                <w:rFonts w:ascii="Calibri" w:eastAsia="Calibri" w:hAnsi="Calibri" w:cs="Calibri"/>
                <w:iCs/>
                <w:color w:val="000000" w:themeColor="text1"/>
                <w:szCs w:val="20"/>
                <w:lang w:val="en-GB"/>
              </w:rPr>
              <w:t xml:space="preserve"> either internal or an externally defined approach</w:t>
            </w:r>
            <w:r w:rsidR="009F3B61" w:rsidRPr="000723F0">
              <w:rPr>
                <w:rFonts w:ascii="Calibri" w:eastAsia="Calibri" w:hAnsi="Calibri" w:cs="Calibri"/>
                <w:iCs/>
                <w:color w:val="000000" w:themeColor="text1"/>
                <w:szCs w:val="20"/>
                <w:lang w:val="en-GB"/>
              </w:rPr>
              <w:t>.</w:t>
            </w:r>
          </w:p>
          <w:p w14:paraId="5E266AB6" w14:textId="36819B32" w:rsidR="00EF3D3B" w:rsidRPr="000723F0" w:rsidRDefault="76807B70" w:rsidP="76807B70">
            <w:pPr>
              <w:pStyle w:val="ListParagraph"/>
              <w:numPr>
                <w:ilvl w:val="0"/>
                <w:numId w:val="9"/>
              </w:numPr>
              <w:spacing w:before="40" w:after="40" w:line="259" w:lineRule="auto"/>
              <w:contextualSpacing w:val="0"/>
              <w:rPr>
                <w:rFonts w:eastAsiaTheme="minorEastAsia"/>
                <w:iCs/>
                <w:color w:val="000000" w:themeColor="text1"/>
                <w:szCs w:val="20"/>
              </w:rPr>
            </w:pPr>
            <w:r w:rsidRPr="000723F0">
              <w:rPr>
                <w:rFonts w:ascii="Calibri" w:eastAsia="Calibri" w:hAnsi="Calibri" w:cs="Calibri"/>
                <w:iCs/>
                <w:color w:val="000000" w:themeColor="text1"/>
                <w:szCs w:val="20"/>
                <w:lang w:val="en-GB"/>
              </w:rPr>
              <w:t>The defined methodology is fully implemented and adopted for the project/program</w:t>
            </w:r>
            <w:r w:rsidR="009F3B61" w:rsidRPr="000723F0">
              <w:rPr>
                <w:rFonts w:ascii="Calibri" w:eastAsia="Calibri" w:hAnsi="Calibri" w:cs="Calibri"/>
                <w:iCs/>
                <w:color w:val="000000" w:themeColor="text1"/>
                <w:szCs w:val="20"/>
                <w:lang w:val="en-GB"/>
              </w:rPr>
              <w:t>.</w:t>
            </w:r>
          </w:p>
          <w:p w14:paraId="7C78C7D1" w14:textId="252B9AF1" w:rsidR="00EF3D3B" w:rsidRPr="000723F0" w:rsidRDefault="76807B70" w:rsidP="003D2EC6">
            <w:pPr>
              <w:pStyle w:val="ListParagraph"/>
              <w:numPr>
                <w:ilvl w:val="0"/>
                <w:numId w:val="9"/>
              </w:numPr>
              <w:spacing w:before="40" w:after="40" w:line="259" w:lineRule="auto"/>
              <w:contextualSpacing w:val="0"/>
              <w:rPr>
                <w:rFonts w:eastAsiaTheme="minorEastAsia"/>
                <w:iCs/>
                <w:color w:val="000000" w:themeColor="text1"/>
                <w:szCs w:val="20"/>
              </w:rPr>
            </w:pPr>
            <w:r w:rsidRPr="000723F0">
              <w:rPr>
                <w:rFonts w:ascii="Calibri" w:eastAsia="Calibri" w:hAnsi="Calibri" w:cs="Calibri"/>
                <w:iCs/>
                <w:color w:val="000000" w:themeColor="text1"/>
                <w:szCs w:val="20"/>
                <w:lang w:val="en-GB"/>
              </w:rPr>
              <w:t xml:space="preserve">The organization relies on its staff to monitor for changes to the environment but does not hire, </w:t>
            </w:r>
            <w:proofErr w:type="gramStart"/>
            <w:r w:rsidRPr="000723F0">
              <w:rPr>
                <w:rFonts w:ascii="Calibri" w:eastAsia="Calibri" w:hAnsi="Calibri" w:cs="Calibri"/>
                <w:iCs/>
                <w:color w:val="000000" w:themeColor="text1"/>
                <w:szCs w:val="20"/>
                <w:lang w:val="en-GB"/>
              </w:rPr>
              <w:t>train</w:t>
            </w:r>
            <w:proofErr w:type="gramEnd"/>
            <w:r w:rsidRPr="000723F0">
              <w:rPr>
                <w:rFonts w:ascii="Calibri" w:eastAsia="Calibri" w:hAnsi="Calibri" w:cs="Calibri"/>
                <w:iCs/>
                <w:color w:val="000000" w:themeColor="text1"/>
                <w:szCs w:val="20"/>
                <w:lang w:val="en-GB"/>
              </w:rPr>
              <w:t xml:space="preserve"> or upskill them properly to perform the role</w:t>
            </w:r>
            <w:r w:rsidRPr="000723F0">
              <w:rPr>
                <w:rFonts w:ascii="Calibri" w:eastAsia="Calibri" w:hAnsi="Calibri" w:cs="Calibri"/>
                <w:iCs/>
                <w:color w:val="000000" w:themeColor="text1"/>
                <w:szCs w:val="20"/>
                <w:lang w:val="en-GB"/>
              </w:rPr>
              <w:t>.</w:t>
            </w:r>
          </w:p>
        </w:tc>
      </w:tr>
    </w:tbl>
    <w:p w14:paraId="73AA9564" w14:textId="77777777" w:rsidR="009A2404" w:rsidRDefault="009A2404"/>
    <w:tbl>
      <w:tblPr>
        <w:tblStyle w:val="TableGrid"/>
        <w:tblW w:w="9628"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421"/>
        <w:gridCol w:w="3969"/>
        <w:gridCol w:w="1134"/>
        <w:gridCol w:w="1041"/>
        <w:gridCol w:w="1085"/>
        <w:gridCol w:w="895"/>
        <w:gridCol w:w="1083"/>
      </w:tblGrid>
      <w:tr w:rsidR="00B37C68" w:rsidRPr="00127CA4" w14:paraId="6AC8FD65" w14:textId="77777777" w:rsidTr="375D38EA">
        <w:tc>
          <w:tcPr>
            <w:tcW w:w="9628" w:type="dxa"/>
            <w:gridSpan w:val="7"/>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C45911" w:themeFill="accent2" w:themeFillShade="BF"/>
          </w:tcPr>
          <w:p w14:paraId="1B0D5D82" w14:textId="184C27E1" w:rsidR="00B37C68" w:rsidRPr="000723F0" w:rsidRDefault="00B37C68" w:rsidP="00527494">
            <w:pPr>
              <w:pStyle w:val="ListParagraph"/>
              <w:pageBreakBefore/>
              <w:numPr>
                <w:ilvl w:val="0"/>
                <w:numId w:val="10"/>
              </w:numPr>
              <w:spacing w:before="40" w:after="40"/>
              <w:ind w:left="357" w:hanging="357"/>
              <w:rPr>
                <w:b/>
                <w:bCs/>
                <w:color w:val="FFFFFF" w:themeColor="background1"/>
                <w:sz w:val="22"/>
                <w:szCs w:val="24"/>
                <w:lang w:val="en-GB"/>
              </w:rPr>
            </w:pPr>
            <w:r w:rsidRPr="000723F0">
              <w:rPr>
                <w:b/>
                <w:bCs/>
                <w:color w:val="FFFFFF" w:themeColor="background1"/>
                <w:sz w:val="22"/>
                <w:szCs w:val="24"/>
                <w:lang w:val="en-GB"/>
              </w:rPr>
              <w:lastRenderedPageBreak/>
              <w:t>Controls to Mitigate the Risk Scenario</w:t>
            </w:r>
          </w:p>
        </w:tc>
      </w:tr>
      <w:tr w:rsidR="00B809CC" w:rsidRPr="003238C1" w14:paraId="2A0A2354" w14:textId="77777777" w:rsidTr="003E5ACF">
        <w:tc>
          <w:tcPr>
            <w:tcW w:w="4390" w:type="dxa"/>
            <w:gridSpan w:val="2"/>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3BADFC3C" w14:textId="5DAA4A3E" w:rsidR="00B809CC" w:rsidRPr="000723F0" w:rsidRDefault="183DF259" w:rsidP="009A2404">
            <w:pPr>
              <w:rPr>
                <w:b/>
                <w:bCs/>
                <w:color w:val="FFFFFF" w:themeColor="background1"/>
                <w:sz w:val="18"/>
                <w:szCs w:val="18"/>
                <w:lang w:val="en-GB"/>
              </w:rPr>
            </w:pPr>
            <w:r w:rsidRPr="000723F0">
              <w:rPr>
                <w:b/>
                <w:bCs/>
                <w:color w:val="FFFFFF" w:themeColor="background1"/>
                <w:sz w:val="18"/>
                <w:szCs w:val="18"/>
                <w:lang w:val="en-GB"/>
              </w:rPr>
              <w:t xml:space="preserve">Control </w:t>
            </w:r>
            <w:r w:rsidR="009A2404">
              <w:rPr>
                <w:b/>
                <w:bCs/>
                <w:color w:val="FFFFFF" w:themeColor="background1"/>
                <w:sz w:val="18"/>
                <w:szCs w:val="18"/>
                <w:lang w:val="en-GB"/>
              </w:rPr>
              <w:t>D</w:t>
            </w:r>
            <w:r w:rsidRPr="000723F0">
              <w:rPr>
                <w:b/>
                <w:bCs/>
                <w:color w:val="FFFFFF" w:themeColor="background1"/>
                <w:sz w:val="18"/>
                <w:szCs w:val="18"/>
                <w:lang w:val="en-GB"/>
              </w:rPr>
              <w:t>escription</w:t>
            </w:r>
          </w:p>
        </w:tc>
        <w:tc>
          <w:tcPr>
            <w:tcW w:w="1134"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1CB25D0B" w14:textId="32A76E8C" w:rsidR="00B809CC" w:rsidRPr="000723F0" w:rsidRDefault="00B809CC" w:rsidP="00265519">
            <w:pPr>
              <w:jc w:val="center"/>
              <w:rPr>
                <w:b/>
                <w:bCs/>
                <w:color w:val="FFFFFF" w:themeColor="background1"/>
                <w:sz w:val="18"/>
                <w:szCs w:val="18"/>
                <w:lang w:val="en-GB"/>
              </w:rPr>
            </w:pPr>
            <w:r w:rsidRPr="000723F0">
              <w:rPr>
                <w:b/>
                <w:bCs/>
                <w:color w:val="FFFFFF" w:themeColor="background1"/>
                <w:sz w:val="18"/>
                <w:szCs w:val="18"/>
                <w:lang w:val="en-GB"/>
              </w:rPr>
              <w:t>Control Type</w:t>
            </w:r>
          </w:p>
        </w:tc>
        <w:tc>
          <w:tcPr>
            <w:tcW w:w="1041"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01A84146" w14:textId="77777777" w:rsidR="00B809CC" w:rsidRPr="000723F0" w:rsidRDefault="00B809CC" w:rsidP="00265519">
            <w:pPr>
              <w:jc w:val="center"/>
              <w:rPr>
                <w:b/>
                <w:bCs/>
                <w:color w:val="FFFFFF" w:themeColor="background1"/>
                <w:sz w:val="18"/>
                <w:szCs w:val="18"/>
                <w:lang w:val="en-GB"/>
              </w:rPr>
            </w:pPr>
            <w:r w:rsidRPr="000723F0">
              <w:rPr>
                <w:b/>
                <w:bCs/>
                <w:color w:val="FFFFFF" w:themeColor="background1"/>
                <w:sz w:val="18"/>
                <w:szCs w:val="18"/>
                <w:lang w:val="en-GB"/>
              </w:rPr>
              <w:t>Effect on Impact</w:t>
            </w:r>
          </w:p>
        </w:tc>
        <w:tc>
          <w:tcPr>
            <w:tcW w:w="108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2EDCB87A" w14:textId="77777777" w:rsidR="00B809CC" w:rsidRPr="000723F0" w:rsidRDefault="00B809CC" w:rsidP="00265519">
            <w:pPr>
              <w:jc w:val="center"/>
              <w:rPr>
                <w:b/>
                <w:bCs/>
                <w:color w:val="FFFFFF" w:themeColor="background1"/>
                <w:sz w:val="18"/>
                <w:szCs w:val="18"/>
                <w:lang w:val="en-GB"/>
              </w:rPr>
            </w:pPr>
            <w:r w:rsidRPr="000723F0">
              <w:rPr>
                <w:b/>
                <w:bCs/>
                <w:color w:val="FFFFFF" w:themeColor="background1"/>
                <w:sz w:val="18"/>
                <w:szCs w:val="18"/>
                <w:lang w:val="en-GB"/>
              </w:rPr>
              <w:t>Effect on Frequency</w:t>
            </w:r>
          </w:p>
        </w:tc>
        <w:tc>
          <w:tcPr>
            <w:tcW w:w="89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649DF3F1" w14:textId="77777777" w:rsidR="00B809CC" w:rsidRPr="000723F0" w:rsidRDefault="00B809CC" w:rsidP="00265519">
            <w:pPr>
              <w:jc w:val="center"/>
              <w:rPr>
                <w:b/>
                <w:bCs/>
                <w:color w:val="FFFFFF" w:themeColor="background1"/>
                <w:sz w:val="18"/>
                <w:szCs w:val="18"/>
                <w:lang w:val="en-GB"/>
              </w:rPr>
            </w:pPr>
            <w:r w:rsidRPr="000723F0">
              <w:rPr>
                <w:b/>
                <w:bCs/>
                <w:color w:val="FFFFFF" w:themeColor="background1"/>
                <w:sz w:val="18"/>
                <w:szCs w:val="18"/>
                <w:lang w:val="en-GB"/>
              </w:rPr>
              <w:t>Essential Control</w:t>
            </w:r>
          </w:p>
        </w:tc>
        <w:tc>
          <w:tcPr>
            <w:tcW w:w="108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vAlign w:val="center"/>
          </w:tcPr>
          <w:p w14:paraId="1AA43ECE" w14:textId="191C0ADF" w:rsidR="00B809CC" w:rsidRPr="000723F0" w:rsidRDefault="00B809CC" w:rsidP="00265519">
            <w:pPr>
              <w:jc w:val="center"/>
              <w:rPr>
                <w:b/>
                <w:bCs/>
                <w:color w:val="FFFFFF" w:themeColor="background1"/>
                <w:sz w:val="18"/>
                <w:szCs w:val="18"/>
                <w:lang w:val="en-GB"/>
              </w:rPr>
            </w:pPr>
            <w:r w:rsidRPr="000723F0">
              <w:rPr>
                <w:b/>
                <w:bCs/>
                <w:color w:val="FFFFFF" w:themeColor="background1"/>
                <w:sz w:val="18"/>
                <w:szCs w:val="18"/>
                <w:lang w:val="en-GB"/>
              </w:rPr>
              <w:t>Reference</w:t>
            </w:r>
          </w:p>
        </w:tc>
      </w:tr>
      <w:tr w:rsidR="008A7E6E" w:rsidRPr="003238C1" w14:paraId="0781FB51" w14:textId="77777777" w:rsidTr="003E5ACF">
        <w:tc>
          <w:tcPr>
            <w:tcW w:w="421" w:type="dxa"/>
            <w:tcBorders>
              <w:top w:val="single" w:sz="4" w:space="0" w:color="auto"/>
              <w:left w:val="single" w:sz="4" w:space="0" w:color="auto"/>
              <w:bottom w:val="single" w:sz="4" w:space="0" w:color="auto"/>
              <w:right w:val="single" w:sz="4" w:space="0" w:color="auto"/>
            </w:tcBorders>
            <w:vAlign w:val="center"/>
          </w:tcPr>
          <w:p w14:paraId="7A2C1FE1" w14:textId="14EC2A71" w:rsidR="008A7E6E" w:rsidRPr="000723F0" w:rsidRDefault="008A7E6E" w:rsidP="008A7E6E">
            <w:pPr>
              <w:spacing w:before="40" w:after="40"/>
              <w:ind w:left="-115" w:right="-106"/>
              <w:jc w:val="center"/>
              <w:rPr>
                <w:bCs/>
                <w:sz w:val="18"/>
                <w:szCs w:val="18"/>
                <w:lang w:val="en-GB"/>
              </w:rPr>
            </w:pPr>
            <w:r w:rsidRPr="000723F0">
              <w:rPr>
                <w:bCs/>
                <w:sz w:val="18"/>
                <w:szCs w:val="18"/>
                <w:lang w:val="en-GB"/>
              </w:rPr>
              <w:t>1</w:t>
            </w:r>
          </w:p>
        </w:tc>
        <w:tc>
          <w:tcPr>
            <w:tcW w:w="3969" w:type="dxa"/>
            <w:tcBorders>
              <w:top w:val="single" w:sz="4" w:space="0" w:color="auto"/>
              <w:left w:val="single" w:sz="4" w:space="0" w:color="auto"/>
              <w:bottom w:val="single" w:sz="4" w:space="0" w:color="auto"/>
              <w:right w:val="single" w:sz="4" w:space="0" w:color="auto"/>
            </w:tcBorders>
          </w:tcPr>
          <w:p w14:paraId="73884919" w14:textId="4DB8DD6B" w:rsidR="009A2404" w:rsidRDefault="6C4077C4" w:rsidP="6C4077C4">
            <w:pPr>
              <w:spacing w:before="40" w:after="40"/>
              <w:ind w:right="-106"/>
              <w:rPr>
                <w:rFonts w:ascii="Calibri" w:eastAsia="Calibri" w:hAnsi="Calibri" w:cs="Calibri"/>
                <w:b/>
                <w:bCs/>
                <w:color w:val="000000" w:themeColor="text1"/>
                <w:sz w:val="18"/>
                <w:szCs w:val="18"/>
                <w:lang w:val="en-GB"/>
              </w:rPr>
            </w:pPr>
            <w:r w:rsidRPr="6C4077C4">
              <w:rPr>
                <w:rFonts w:ascii="Calibri" w:eastAsia="Calibri" w:hAnsi="Calibri" w:cs="Calibri"/>
                <w:b/>
                <w:bCs/>
                <w:color w:val="000000" w:themeColor="text1"/>
                <w:sz w:val="18"/>
                <w:szCs w:val="18"/>
                <w:lang w:val="en-GB"/>
              </w:rPr>
              <w:t>APO01.02 Communicate management objectives, direction and decisions made</w:t>
            </w:r>
            <w:r w:rsidRPr="6C4077C4">
              <w:rPr>
                <w:rFonts w:ascii="Calibri" w:eastAsia="Calibri" w:hAnsi="Calibri" w:cs="Calibri"/>
                <w:b/>
                <w:bCs/>
                <w:color w:val="000000" w:themeColor="text1"/>
                <w:sz w:val="18"/>
                <w:szCs w:val="18"/>
                <w:lang w:val="en-GB"/>
              </w:rPr>
              <w:t>.</w:t>
            </w:r>
          </w:p>
          <w:p w14:paraId="51D3819D" w14:textId="14E3D7DC" w:rsidR="008A7E6E" w:rsidRPr="003238C1" w:rsidRDefault="6C4077C4" w:rsidP="003D2EC6">
            <w:pPr>
              <w:spacing w:before="40" w:after="40"/>
              <w:ind w:right="-106"/>
              <w:rPr>
                <w:rFonts w:ascii="Calibri" w:eastAsia="Calibri" w:hAnsi="Calibri" w:cs="Calibri"/>
                <w:color w:val="000000" w:themeColor="text1"/>
                <w:szCs w:val="20"/>
                <w:lang w:val="en-GB"/>
              </w:rPr>
            </w:pPr>
            <w:r w:rsidRPr="6C4077C4">
              <w:rPr>
                <w:rFonts w:ascii="Calibri" w:eastAsia="Calibri" w:hAnsi="Calibri" w:cs="Calibri"/>
                <w:color w:val="000000" w:themeColor="text1"/>
                <w:sz w:val="18"/>
                <w:szCs w:val="18"/>
                <w:lang w:val="en-GB"/>
              </w:rPr>
              <w:t>Communicate awareness and promote understanding of alignment and I&amp;T objectives to stakeholders throughout the enterprise. Communicate at regular intervals on important I&amp;T-related decisions and their impact for the organization</w:t>
            </w:r>
            <w:r w:rsidRPr="6C4077C4">
              <w:rPr>
                <w:rFonts w:ascii="Calibri" w:eastAsia="Calibri" w:hAnsi="Calibri" w:cs="Calibri"/>
                <w:color w:val="000000" w:themeColor="text1"/>
                <w:sz w:val="18"/>
                <w:szCs w:val="18"/>
                <w:lang w:val="en-GB"/>
              </w:rPr>
              <w:t>.</w:t>
            </w:r>
          </w:p>
        </w:tc>
        <w:tc>
          <w:tcPr>
            <w:tcW w:w="1134" w:type="dxa"/>
            <w:tcBorders>
              <w:top w:val="single" w:sz="4" w:space="0" w:color="auto"/>
              <w:left w:val="single" w:sz="4" w:space="0" w:color="auto"/>
              <w:bottom w:val="single" w:sz="4" w:space="0" w:color="auto"/>
              <w:right w:val="single" w:sz="4" w:space="0" w:color="auto"/>
            </w:tcBorders>
            <w:vAlign w:val="center"/>
          </w:tcPr>
          <w:p w14:paraId="3A2042F8" w14:textId="1745612D" w:rsidR="008A7E6E" w:rsidRPr="00D9218A" w:rsidRDefault="008A7E6E" w:rsidP="008A7E6E">
            <w:pPr>
              <w:spacing w:before="40" w:after="40"/>
              <w:ind w:right="-131"/>
              <w:jc w:val="center"/>
              <w:rPr>
                <w:sz w:val="18"/>
                <w:szCs w:val="18"/>
                <w:lang w:val="en-GB"/>
              </w:rPr>
            </w:pPr>
            <w:r>
              <w:rPr>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02B60342" w14:textId="33350E03" w:rsidR="008A7E6E" w:rsidRPr="00D9218A" w:rsidRDefault="008A7E6E" w:rsidP="008A7E6E">
            <w:pPr>
              <w:spacing w:before="40" w:after="40"/>
              <w:ind w:right="-131"/>
              <w:jc w:val="center"/>
              <w:rPr>
                <w:sz w:val="18"/>
                <w:szCs w:val="18"/>
                <w:lang w:val="en-GB"/>
              </w:rPr>
            </w:pPr>
            <w:r w:rsidRPr="0081309C">
              <w:rPr>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1BA7A251" w14:textId="391A63D8" w:rsidR="008A7E6E" w:rsidRPr="00D9218A" w:rsidRDefault="008A7E6E" w:rsidP="008A7E6E">
            <w:pPr>
              <w:spacing w:before="40" w:after="40"/>
              <w:ind w:left="-107" w:right="-131"/>
              <w:jc w:val="center"/>
              <w:rPr>
                <w:sz w:val="18"/>
                <w:szCs w:val="18"/>
                <w:lang w:val="en-GB"/>
              </w:rPr>
            </w:pPr>
            <w:r w:rsidRPr="0081309C">
              <w:rPr>
                <w:sz w:val="18"/>
                <w:szCs w:val="18"/>
                <w:lang w:val="en-GB"/>
              </w:rPr>
              <w:t>Yes</w:t>
            </w:r>
          </w:p>
        </w:tc>
        <w:tc>
          <w:tcPr>
            <w:tcW w:w="895" w:type="dxa"/>
            <w:tcBorders>
              <w:top w:val="single" w:sz="4" w:space="0" w:color="auto"/>
              <w:left w:val="single" w:sz="4" w:space="0" w:color="auto"/>
              <w:bottom w:val="single" w:sz="4" w:space="0" w:color="auto"/>
              <w:right w:val="single" w:sz="4" w:space="0" w:color="auto"/>
            </w:tcBorders>
            <w:vAlign w:val="center"/>
          </w:tcPr>
          <w:p w14:paraId="090ABEC5" w14:textId="5B0CE4C1" w:rsidR="008A7E6E" w:rsidRPr="00D9218A" w:rsidRDefault="008A7E6E" w:rsidP="008A7E6E">
            <w:pPr>
              <w:spacing w:before="40" w:after="40"/>
              <w:ind w:left="-110" w:right="-131"/>
              <w:jc w:val="center"/>
              <w:rPr>
                <w:sz w:val="18"/>
                <w:szCs w:val="18"/>
                <w:lang w:val="en-GB"/>
              </w:rPr>
            </w:pPr>
            <w:r>
              <w:rPr>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7C453EAA" w14:textId="40EBAD4A" w:rsidR="008A7E6E" w:rsidRPr="005D343C" w:rsidRDefault="6C4077C4" w:rsidP="008A7E6E">
            <w:pPr>
              <w:spacing w:before="40" w:after="40"/>
              <w:ind w:right="-131"/>
              <w:jc w:val="center"/>
              <w:rPr>
                <w:sz w:val="18"/>
                <w:szCs w:val="18"/>
                <w:lang w:val="en-GB"/>
              </w:rPr>
            </w:pPr>
            <w:r w:rsidRPr="0089038A">
              <w:rPr>
                <w:sz w:val="18"/>
                <w:szCs w:val="18"/>
                <w:lang w:val="en-GB"/>
              </w:rPr>
              <w:t>COBIT</w:t>
            </w:r>
            <w:r w:rsidR="009A2404" w:rsidRPr="0089038A">
              <w:rPr>
                <w:sz w:val="18"/>
                <w:szCs w:val="18"/>
                <w:lang w:val="en-GB"/>
              </w:rPr>
              <w:t xml:space="preserve"> </w:t>
            </w:r>
            <w:r w:rsidR="009A2404" w:rsidRPr="000723F0">
              <w:rPr>
                <w:rFonts w:ascii="Calibri" w:eastAsia="Calibri" w:hAnsi="Calibri" w:cs="Calibri"/>
                <w:bCs/>
                <w:color w:val="000000" w:themeColor="text1"/>
                <w:sz w:val="18"/>
                <w:szCs w:val="18"/>
                <w:lang w:val="en-GB"/>
              </w:rPr>
              <w:t>APO01.02</w:t>
            </w:r>
          </w:p>
        </w:tc>
      </w:tr>
      <w:tr w:rsidR="183DF259" w14:paraId="3FC5BD2C" w14:textId="77777777" w:rsidTr="003E5ACF">
        <w:tc>
          <w:tcPr>
            <w:tcW w:w="421" w:type="dxa"/>
            <w:tcBorders>
              <w:top w:val="single" w:sz="4" w:space="0" w:color="auto"/>
              <w:left w:val="single" w:sz="4" w:space="0" w:color="auto"/>
              <w:bottom w:val="single" w:sz="4" w:space="0" w:color="auto"/>
              <w:right w:val="single" w:sz="4" w:space="0" w:color="auto"/>
            </w:tcBorders>
            <w:vAlign w:val="center"/>
          </w:tcPr>
          <w:p w14:paraId="221D856D" w14:textId="25FEB742" w:rsidR="183DF259" w:rsidRPr="000723F0" w:rsidRDefault="6C4077C4" w:rsidP="183DF259">
            <w:pPr>
              <w:jc w:val="center"/>
              <w:rPr>
                <w:bCs/>
                <w:szCs w:val="20"/>
                <w:lang w:val="en-GB"/>
              </w:rPr>
            </w:pPr>
            <w:r w:rsidRPr="000723F0">
              <w:rPr>
                <w:bCs/>
                <w:szCs w:val="20"/>
                <w:lang w:val="en-GB"/>
              </w:rPr>
              <w:t>2</w:t>
            </w:r>
          </w:p>
        </w:tc>
        <w:tc>
          <w:tcPr>
            <w:tcW w:w="3969" w:type="dxa"/>
            <w:tcBorders>
              <w:top w:val="single" w:sz="4" w:space="0" w:color="auto"/>
              <w:left w:val="single" w:sz="4" w:space="0" w:color="auto"/>
              <w:bottom w:val="single" w:sz="4" w:space="0" w:color="auto"/>
              <w:right w:val="single" w:sz="4" w:space="0" w:color="auto"/>
            </w:tcBorders>
          </w:tcPr>
          <w:p w14:paraId="6E858C63" w14:textId="3C8164CF" w:rsidR="183DF259" w:rsidRDefault="6C4077C4" w:rsidP="6C4077C4">
            <w:pPr>
              <w:spacing w:line="259" w:lineRule="auto"/>
              <w:rPr>
                <w:rFonts w:ascii="Calibri" w:eastAsia="Calibri" w:hAnsi="Calibri" w:cs="Calibri"/>
                <w:color w:val="000000" w:themeColor="text1"/>
                <w:szCs w:val="20"/>
                <w:lang w:val="en-GB"/>
              </w:rPr>
            </w:pPr>
            <w:r w:rsidRPr="6C4077C4">
              <w:rPr>
                <w:rFonts w:ascii="Calibri" w:eastAsia="Calibri" w:hAnsi="Calibri" w:cs="Calibri"/>
                <w:b/>
                <w:bCs/>
                <w:color w:val="000000" w:themeColor="text1"/>
                <w:sz w:val="18"/>
                <w:szCs w:val="18"/>
                <w:lang w:val="en-GB"/>
              </w:rPr>
              <w:t>APO01.09 Define and communicate policies and procedures</w:t>
            </w:r>
            <w:r w:rsidRPr="6C4077C4">
              <w:rPr>
                <w:rFonts w:ascii="Calibri" w:eastAsia="Calibri" w:hAnsi="Calibri" w:cs="Calibri"/>
                <w:b/>
                <w:bCs/>
                <w:color w:val="000000" w:themeColor="text1"/>
                <w:sz w:val="18"/>
                <w:szCs w:val="18"/>
                <w:lang w:val="en-GB"/>
              </w:rPr>
              <w:t>.</w:t>
            </w:r>
          </w:p>
          <w:p w14:paraId="3992D486" w14:textId="4954D5F9" w:rsidR="183DF259" w:rsidRDefault="6C4077C4" w:rsidP="003D2EC6">
            <w:pPr>
              <w:spacing w:line="259" w:lineRule="auto"/>
              <w:rPr>
                <w:rFonts w:ascii="Calibri" w:eastAsia="Calibri" w:hAnsi="Calibri" w:cs="Calibri"/>
                <w:color w:val="000000" w:themeColor="text1"/>
                <w:sz w:val="18"/>
                <w:szCs w:val="18"/>
                <w:lang w:val="en-GB"/>
              </w:rPr>
            </w:pPr>
            <w:r w:rsidRPr="6C4077C4">
              <w:rPr>
                <w:rFonts w:ascii="Calibri" w:eastAsia="Calibri" w:hAnsi="Calibri" w:cs="Calibri"/>
                <w:color w:val="000000" w:themeColor="text1"/>
                <w:sz w:val="18"/>
                <w:szCs w:val="18"/>
                <w:lang w:val="en-GB"/>
              </w:rPr>
              <w:t>Put in place procedures to maintain compliance with</w:t>
            </w:r>
            <w:r w:rsidR="009F3B61">
              <w:rPr>
                <w:rFonts w:ascii="Calibri" w:eastAsia="Calibri" w:hAnsi="Calibri" w:cs="Calibri"/>
                <w:color w:val="000000" w:themeColor="text1"/>
                <w:sz w:val="18"/>
                <w:szCs w:val="18"/>
                <w:lang w:val="en-GB"/>
              </w:rPr>
              <w:t>,</w:t>
            </w:r>
            <w:r w:rsidRPr="6C4077C4">
              <w:rPr>
                <w:rFonts w:ascii="Calibri" w:eastAsia="Calibri" w:hAnsi="Calibri" w:cs="Calibri"/>
                <w:color w:val="000000" w:themeColor="text1"/>
                <w:sz w:val="18"/>
                <w:szCs w:val="18"/>
                <w:lang w:val="en-GB"/>
              </w:rPr>
              <w:t xml:space="preserve"> and performance measurement of</w:t>
            </w:r>
            <w:r w:rsidR="009F3B61">
              <w:rPr>
                <w:rFonts w:ascii="Calibri" w:eastAsia="Calibri" w:hAnsi="Calibri" w:cs="Calibri"/>
                <w:color w:val="000000" w:themeColor="text1"/>
                <w:sz w:val="18"/>
                <w:szCs w:val="18"/>
                <w:lang w:val="en-GB"/>
              </w:rPr>
              <w:t>,</w:t>
            </w:r>
            <w:r w:rsidRPr="6C4077C4">
              <w:rPr>
                <w:rFonts w:ascii="Calibri" w:eastAsia="Calibri" w:hAnsi="Calibri" w:cs="Calibri"/>
                <w:color w:val="000000" w:themeColor="text1"/>
                <w:sz w:val="18"/>
                <w:szCs w:val="18"/>
                <w:lang w:val="en-GB"/>
              </w:rPr>
              <w:t xml:space="preserve"> policies and other components of the control framework. Enforce the consequences of noncompliance or inadequate performance. Track trends and performance and consider these in the future design and improvement of the control framework</w:t>
            </w:r>
            <w:r w:rsidRPr="6C4077C4">
              <w:rPr>
                <w:rFonts w:ascii="Calibri" w:eastAsia="Calibri" w:hAnsi="Calibri" w:cs="Calibri"/>
                <w:color w:val="000000" w:themeColor="text1"/>
                <w:sz w:val="18"/>
                <w:szCs w:val="18"/>
                <w:lang w:val="en-GB"/>
              </w:rPr>
              <w:t>.</w:t>
            </w:r>
          </w:p>
          <w:p w14:paraId="1F06063C" w14:textId="4BA300FE" w:rsidR="183DF259" w:rsidRDefault="183DF259" w:rsidP="183DF259">
            <w:pPr>
              <w:rPr>
                <w:b/>
                <w:bCs/>
                <w:szCs w:val="20"/>
                <w:lang w:val="en-GB"/>
              </w:rPr>
            </w:pPr>
          </w:p>
        </w:tc>
        <w:tc>
          <w:tcPr>
            <w:tcW w:w="1134" w:type="dxa"/>
            <w:tcBorders>
              <w:top w:val="single" w:sz="4" w:space="0" w:color="auto"/>
              <w:left w:val="single" w:sz="4" w:space="0" w:color="auto"/>
              <w:bottom w:val="single" w:sz="4" w:space="0" w:color="auto"/>
              <w:right w:val="single" w:sz="4" w:space="0" w:color="auto"/>
            </w:tcBorders>
            <w:vAlign w:val="center"/>
          </w:tcPr>
          <w:p w14:paraId="22733B31" w14:textId="1B3F1341" w:rsidR="183DF259" w:rsidRDefault="6C4077C4" w:rsidP="183DF259">
            <w:pPr>
              <w:jc w:val="center"/>
              <w:rPr>
                <w:szCs w:val="20"/>
                <w:lang w:val="en-GB"/>
              </w:rPr>
            </w:pPr>
            <w:r w:rsidRPr="6C4077C4">
              <w:rPr>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04FB09CA" w14:textId="411440E5" w:rsidR="183DF259" w:rsidRDefault="6C4077C4" w:rsidP="183DF259">
            <w:pPr>
              <w:jc w:val="center"/>
              <w:rPr>
                <w:szCs w:val="20"/>
                <w:lang w:val="en-GB"/>
              </w:rPr>
            </w:pPr>
            <w:r w:rsidRPr="6C4077C4">
              <w:rPr>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484FA065" w14:textId="75E36991" w:rsidR="183DF259" w:rsidRDefault="6C4077C4" w:rsidP="183DF259">
            <w:pPr>
              <w:jc w:val="center"/>
              <w:rPr>
                <w:szCs w:val="20"/>
                <w:lang w:val="en-GB"/>
              </w:rPr>
            </w:pPr>
            <w:r w:rsidRPr="6C4077C4">
              <w:rPr>
                <w:sz w:val="18"/>
                <w:szCs w:val="18"/>
                <w:lang w:val="en-GB"/>
              </w:rPr>
              <w:t>Yes</w:t>
            </w:r>
          </w:p>
        </w:tc>
        <w:tc>
          <w:tcPr>
            <w:tcW w:w="895" w:type="dxa"/>
            <w:tcBorders>
              <w:top w:val="single" w:sz="4" w:space="0" w:color="auto"/>
              <w:left w:val="single" w:sz="4" w:space="0" w:color="auto"/>
              <w:bottom w:val="single" w:sz="4" w:space="0" w:color="auto"/>
              <w:right w:val="single" w:sz="4" w:space="0" w:color="auto"/>
            </w:tcBorders>
            <w:vAlign w:val="center"/>
          </w:tcPr>
          <w:p w14:paraId="08870EAF" w14:textId="17E8FA7C" w:rsidR="183DF259" w:rsidRDefault="6C4077C4" w:rsidP="183DF259">
            <w:pPr>
              <w:jc w:val="center"/>
              <w:rPr>
                <w:szCs w:val="20"/>
                <w:lang w:val="en-GB"/>
              </w:rPr>
            </w:pPr>
            <w:r w:rsidRPr="6C4077C4">
              <w:rPr>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370EC077" w14:textId="66AB4F9B" w:rsidR="183DF259" w:rsidRDefault="6C4077C4" w:rsidP="183DF259">
            <w:pPr>
              <w:jc w:val="center"/>
              <w:rPr>
                <w:szCs w:val="20"/>
                <w:lang w:val="en-GB"/>
              </w:rPr>
            </w:pPr>
            <w:r w:rsidRPr="6C4077C4">
              <w:rPr>
                <w:sz w:val="18"/>
                <w:szCs w:val="18"/>
                <w:lang w:val="en-GB"/>
              </w:rPr>
              <w:t>COBIT</w:t>
            </w:r>
            <w:r w:rsidR="009A2404">
              <w:rPr>
                <w:sz w:val="18"/>
                <w:szCs w:val="18"/>
                <w:lang w:val="en-GB"/>
              </w:rPr>
              <w:t xml:space="preserve"> </w:t>
            </w:r>
            <w:r w:rsidR="009A2404" w:rsidRPr="000723F0">
              <w:rPr>
                <w:rFonts w:ascii="Calibri" w:eastAsia="Calibri" w:hAnsi="Calibri" w:cs="Calibri"/>
                <w:bCs/>
                <w:color w:val="000000" w:themeColor="text1"/>
                <w:sz w:val="18"/>
                <w:szCs w:val="18"/>
                <w:lang w:val="en-GB"/>
              </w:rPr>
              <w:t>APO01.09</w:t>
            </w:r>
          </w:p>
        </w:tc>
      </w:tr>
      <w:tr w:rsidR="183DF259" w14:paraId="0C88F6EF" w14:textId="77777777" w:rsidTr="003E5ACF">
        <w:tc>
          <w:tcPr>
            <w:tcW w:w="421" w:type="dxa"/>
            <w:tcBorders>
              <w:top w:val="single" w:sz="4" w:space="0" w:color="auto"/>
              <w:left w:val="single" w:sz="4" w:space="0" w:color="auto"/>
              <w:bottom w:val="single" w:sz="4" w:space="0" w:color="auto"/>
              <w:right w:val="single" w:sz="4" w:space="0" w:color="auto"/>
            </w:tcBorders>
            <w:vAlign w:val="center"/>
          </w:tcPr>
          <w:p w14:paraId="28817ECB" w14:textId="3B175EB4" w:rsidR="183DF259" w:rsidRPr="000723F0" w:rsidRDefault="6C4077C4" w:rsidP="183DF259">
            <w:pPr>
              <w:jc w:val="center"/>
              <w:rPr>
                <w:bCs/>
                <w:szCs w:val="20"/>
                <w:lang w:val="en-GB"/>
              </w:rPr>
            </w:pPr>
            <w:r w:rsidRPr="000723F0">
              <w:rPr>
                <w:bCs/>
                <w:szCs w:val="20"/>
                <w:lang w:val="en-GB"/>
              </w:rPr>
              <w:t>3</w:t>
            </w:r>
          </w:p>
        </w:tc>
        <w:tc>
          <w:tcPr>
            <w:tcW w:w="3969" w:type="dxa"/>
            <w:tcBorders>
              <w:top w:val="single" w:sz="4" w:space="0" w:color="auto"/>
              <w:left w:val="single" w:sz="4" w:space="0" w:color="auto"/>
              <w:bottom w:val="single" w:sz="4" w:space="0" w:color="auto"/>
              <w:right w:val="single" w:sz="4" w:space="0" w:color="auto"/>
            </w:tcBorders>
          </w:tcPr>
          <w:p w14:paraId="1F8736AD" w14:textId="340A29CE" w:rsidR="183DF259" w:rsidRDefault="6C4077C4" w:rsidP="6C4077C4">
            <w:pPr>
              <w:spacing w:line="259" w:lineRule="auto"/>
              <w:rPr>
                <w:rFonts w:ascii="Calibri" w:eastAsia="Calibri" w:hAnsi="Calibri" w:cs="Calibri"/>
                <w:color w:val="000000" w:themeColor="text1"/>
                <w:sz w:val="18"/>
                <w:szCs w:val="18"/>
                <w:lang w:val="en-GB"/>
              </w:rPr>
            </w:pPr>
            <w:r w:rsidRPr="6C4077C4">
              <w:rPr>
                <w:rFonts w:ascii="Calibri" w:eastAsia="Calibri" w:hAnsi="Calibri" w:cs="Calibri"/>
                <w:b/>
                <w:bCs/>
                <w:color w:val="000000" w:themeColor="text1"/>
                <w:sz w:val="18"/>
                <w:szCs w:val="18"/>
                <w:lang w:val="en-GB"/>
              </w:rPr>
              <w:t>APO04.03 Monitor and scan the technology environment</w:t>
            </w:r>
            <w:r w:rsidRPr="6C4077C4">
              <w:rPr>
                <w:rFonts w:ascii="Calibri" w:eastAsia="Calibri" w:hAnsi="Calibri" w:cs="Calibri"/>
                <w:b/>
                <w:bCs/>
                <w:color w:val="000000" w:themeColor="text1"/>
                <w:sz w:val="18"/>
                <w:szCs w:val="18"/>
                <w:lang w:val="en-GB"/>
              </w:rPr>
              <w:t>.</w:t>
            </w:r>
          </w:p>
          <w:p w14:paraId="38B96A75" w14:textId="56A19B1B" w:rsidR="183DF259" w:rsidRDefault="6C4077C4" w:rsidP="003D2EC6">
            <w:pPr>
              <w:rPr>
                <w:rFonts w:ascii="Calibri" w:eastAsia="Calibri" w:hAnsi="Calibri" w:cs="Calibri"/>
                <w:color w:val="000000" w:themeColor="text1"/>
                <w:szCs w:val="20"/>
                <w:lang w:val="en-GB"/>
              </w:rPr>
            </w:pPr>
            <w:r w:rsidRPr="6C4077C4">
              <w:rPr>
                <w:rFonts w:ascii="Calibri" w:eastAsia="Calibri" w:hAnsi="Calibri" w:cs="Calibri"/>
                <w:color w:val="000000" w:themeColor="text1"/>
                <w:sz w:val="18"/>
                <w:szCs w:val="18"/>
                <w:lang w:val="en-GB"/>
              </w:rPr>
              <w:t>Set up a technology watch process to perform systematic monitoring and scanning of the enterprise external environment to identify emerging technologies that have the potential to create value (e.g., by realizing the enterprise strategy, optimizing costs, avoiding obsolescence, and better enabling enterprise and I&amp;T processes). Monitor the marketplace, competitive landscape, industry sectors, and legal and regulatory trends to be able to analyze emerging technologies or innovation ideas in the enterprise context</w:t>
            </w:r>
            <w:r w:rsidRPr="6C4077C4">
              <w:rPr>
                <w:rFonts w:ascii="Calibri" w:eastAsia="Calibri" w:hAnsi="Calibri" w:cs="Calibri"/>
                <w:color w:val="000000" w:themeColor="text1"/>
                <w:sz w:val="18"/>
                <w:szCs w:val="18"/>
                <w:lang w:val="en-GB"/>
              </w:rPr>
              <w:t>.</w:t>
            </w:r>
          </w:p>
        </w:tc>
        <w:tc>
          <w:tcPr>
            <w:tcW w:w="1134" w:type="dxa"/>
            <w:tcBorders>
              <w:top w:val="single" w:sz="4" w:space="0" w:color="auto"/>
              <w:left w:val="single" w:sz="4" w:space="0" w:color="auto"/>
              <w:bottom w:val="single" w:sz="4" w:space="0" w:color="auto"/>
              <w:right w:val="single" w:sz="4" w:space="0" w:color="auto"/>
            </w:tcBorders>
            <w:vAlign w:val="center"/>
          </w:tcPr>
          <w:p w14:paraId="2587A8F4" w14:textId="7B078EFF" w:rsidR="183DF259" w:rsidRDefault="6C4077C4" w:rsidP="183DF259">
            <w:pPr>
              <w:jc w:val="center"/>
              <w:rPr>
                <w:szCs w:val="20"/>
                <w:lang w:val="en-GB"/>
              </w:rPr>
            </w:pPr>
            <w:r w:rsidRPr="6C4077C4">
              <w:rPr>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260BCFBF" w14:textId="0E3213D8" w:rsidR="183DF259" w:rsidRDefault="6C4077C4" w:rsidP="183DF259">
            <w:pPr>
              <w:jc w:val="center"/>
              <w:rPr>
                <w:szCs w:val="20"/>
                <w:lang w:val="en-GB"/>
              </w:rPr>
            </w:pPr>
            <w:r w:rsidRPr="6C4077C4">
              <w:rPr>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552B3699" w14:textId="2A894D4C" w:rsidR="183DF259" w:rsidRDefault="6C4077C4" w:rsidP="183DF259">
            <w:pPr>
              <w:jc w:val="center"/>
              <w:rPr>
                <w:szCs w:val="20"/>
                <w:lang w:val="en-GB"/>
              </w:rPr>
            </w:pPr>
            <w:r w:rsidRPr="6C4077C4">
              <w:rPr>
                <w:sz w:val="18"/>
                <w:szCs w:val="18"/>
                <w:lang w:val="en-GB"/>
              </w:rPr>
              <w:t>Yes</w:t>
            </w:r>
          </w:p>
        </w:tc>
        <w:tc>
          <w:tcPr>
            <w:tcW w:w="895" w:type="dxa"/>
            <w:tcBorders>
              <w:top w:val="single" w:sz="4" w:space="0" w:color="auto"/>
              <w:left w:val="single" w:sz="4" w:space="0" w:color="auto"/>
              <w:bottom w:val="single" w:sz="4" w:space="0" w:color="auto"/>
              <w:right w:val="single" w:sz="4" w:space="0" w:color="auto"/>
            </w:tcBorders>
            <w:vAlign w:val="center"/>
          </w:tcPr>
          <w:p w14:paraId="47611FE1" w14:textId="363224B1" w:rsidR="183DF259" w:rsidRDefault="6C4077C4" w:rsidP="183DF259">
            <w:pPr>
              <w:jc w:val="center"/>
              <w:rPr>
                <w:szCs w:val="20"/>
                <w:lang w:val="en-GB"/>
              </w:rPr>
            </w:pPr>
            <w:r w:rsidRPr="6C4077C4">
              <w:rPr>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5C595EEC" w14:textId="4E87ADA5" w:rsidR="183DF259" w:rsidRDefault="6C4077C4" w:rsidP="183DF259">
            <w:pPr>
              <w:jc w:val="center"/>
              <w:rPr>
                <w:szCs w:val="20"/>
                <w:lang w:val="en-GB"/>
              </w:rPr>
            </w:pPr>
            <w:r w:rsidRPr="6C4077C4">
              <w:rPr>
                <w:sz w:val="18"/>
                <w:szCs w:val="18"/>
                <w:lang w:val="en-GB"/>
              </w:rPr>
              <w:t>COBIT</w:t>
            </w:r>
            <w:r w:rsidR="009A2404">
              <w:rPr>
                <w:sz w:val="18"/>
                <w:szCs w:val="18"/>
                <w:lang w:val="en-GB"/>
              </w:rPr>
              <w:t xml:space="preserve"> </w:t>
            </w:r>
            <w:r w:rsidR="009A2404" w:rsidRPr="000723F0">
              <w:rPr>
                <w:rFonts w:ascii="Calibri" w:eastAsia="Calibri" w:hAnsi="Calibri" w:cs="Calibri"/>
                <w:bCs/>
                <w:color w:val="000000" w:themeColor="text1"/>
                <w:sz w:val="18"/>
                <w:szCs w:val="18"/>
                <w:lang w:val="en-GB"/>
              </w:rPr>
              <w:t>APO04.03</w:t>
            </w:r>
          </w:p>
        </w:tc>
      </w:tr>
      <w:tr w:rsidR="183DF259" w14:paraId="2B55A5B1" w14:textId="77777777" w:rsidTr="003E5ACF">
        <w:tc>
          <w:tcPr>
            <w:tcW w:w="421" w:type="dxa"/>
            <w:tcBorders>
              <w:top w:val="single" w:sz="4" w:space="0" w:color="auto"/>
              <w:left w:val="single" w:sz="4" w:space="0" w:color="auto"/>
              <w:bottom w:val="single" w:sz="4" w:space="0" w:color="auto"/>
              <w:right w:val="single" w:sz="4" w:space="0" w:color="auto"/>
            </w:tcBorders>
            <w:vAlign w:val="center"/>
          </w:tcPr>
          <w:p w14:paraId="0E536D07" w14:textId="69F45A70" w:rsidR="183DF259" w:rsidRPr="000723F0" w:rsidRDefault="6C4077C4" w:rsidP="183DF259">
            <w:pPr>
              <w:jc w:val="center"/>
              <w:rPr>
                <w:bCs/>
                <w:szCs w:val="20"/>
                <w:lang w:val="en-GB"/>
              </w:rPr>
            </w:pPr>
            <w:r w:rsidRPr="000723F0">
              <w:rPr>
                <w:bCs/>
                <w:szCs w:val="20"/>
                <w:lang w:val="en-GB"/>
              </w:rPr>
              <w:t>4</w:t>
            </w:r>
          </w:p>
        </w:tc>
        <w:tc>
          <w:tcPr>
            <w:tcW w:w="3969" w:type="dxa"/>
            <w:tcBorders>
              <w:top w:val="single" w:sz="4" w:space="0" w:color="auto"/>
              <w:left w:val="single" w:sz="4" w:space="0" w:color="auto"/>
              <w:bottom w:val="single" w:sz="4" w:space="0" w:color="auto"/>
              <w:right w:val="single" w:sz="4" w:space="0" w:color="auto"/>
            </w:tcBorders>
          </w:tcPr>
          <w:p w14:paraId="0C81D386" w14:textId="0B8CE686" w:rsidR="183DF259" w:rsidRDefault="6C4077C4" w:rsidP="6C4077C4">
            <w:pPr>
              <w:spacing w:line="259" w:lineRule="auto"/>
              <w:rPr>
                <w:rFonts w:ascii="Calibri" w:eastAsia="Calibri" w:hAnsi="Calibri" w:cs="Calibri"/>
                <w:color w:val="000000" w:themeColor="text1"/>
                <w:sz w:val="18"/>
                <w:szCs w:val="18"/>
                <w:lang w:val="en-GB"/>
              </w:rPr>
            </w:pPr>
            <w:r w:rsidRPr="6C4077C4">
              <w:rPr>
                <w:rFonts w:ascii="Calibri" w:eastAsia="Calibri" w:hAnsi="Calibri" w:cs="Calibri"/>
                <w:b/>
                <w:bCs/>
                <w:color w:val="000000" w:themeColor="text1"/>
                <w:sz w:val="18"/>
                <w:szCs w:val="18"/>
                <w:lang w:val="en-GB"/>
              </w:rPr>
              <w:t>APO07.03 Maintain the skills and competencies of personnel</w:t>
            </w:r>
            <w:r w:rsidRPr="6C4077C4">
              <w:rPr>
                <w:rFonts w:ascii="Calibri" w:eastAsia="Calibri" w:hAnsi="Calibri" w:cs="Calibri"/>
                <w:b/>
                <w:bCs/>
                <w:color w:val="000000" w:themeColor="text1"/>
                <w:sz w:val="18"/>
                <w:szCs w:val="18"/>
                <w:lang w:val="en-GB"/>
              </w:rPr>
              <w:t xml:space="preserve">. </w:t>
            </w:r>
          </w:p>
          <w:p w14:paraId="6BB1D16C" w14:textId="0E314A07" w:rsidR="183DF259" w:rsidRDefault="6C4077C4" w:rsidP="00697371">
            <w:pPr>
              <w:spacing w:line="259" w:lineRule="auto"/>
              <w:rPr>
                <w:b/>
                <w:bCs/>
                <w:szCs w:val="20"/>
                <w:lang w:val="en-GB"/>
              </w:rPr>
            </w:pPr>
            <w:r w:rsidRPr="6C4077C4">
              <w:rPr>
                <w:rFonts w:ascii="Calibri" w:eastAsia="Calibri" w:hAnsi="Calibri" w:cs="Calibri"/>
                <w:color w:val="000000" w:themeColor="text1"/>
                <w:sz w:val="18"/>
                <w:szCs w:val="18"/>
                <w:lang w:val="en-GB"/>
              </w:rPr>
              <w:t>Define and manage the skills and competencies required of personnel. Regularly verify that personnel have the competencies to fulfill their roles on the basis of their education, training and/or experience. Verify that these competencies are being maintained, using qualification and certification programs where appropriate. Provide employees with ongoing learning and opportunities to maintain their knowledge, skills and competencies at a level required to achieve enterprise goals</w:t>
            </w:r>
            <w:r w:rsidRPr="6C4077C4">
              <w:rPr>
                <w:rFonts w:ascii="Calibri" w:eastAsia="Calibri" w:hAnsi="Calibri" w:cs="Calibri"/>
                <w:color w:val="000000" w:themeColor="text1"/>
                <w:sz w:val="18"/>
                <w:szCs w:val="18"/>
                <w:lang w:val="en-GB"/>
              </w:rPr>
              <w:t>.</w:t>
            </w:r>
          </w:p>
        </w:tc>
        <w:tc>
          <w:tcPr>
            <w:tcW w:w="1134" w:type="dxa"/>
            <w:tcBorders>
              <w:top w:val="single" w:sz="4" w:space="0" w:color="auto"/>
              <w:left w:val="single" w:sz="4" w:space="0" w:color="auto"/>
              <w:bottom w:val="single" w:sz="4" w:space="0" w:color="auto"/>
              <w:right w:val="single" w:sz="4" w:space="0" w:color="auto"/>
            </w:tcBorders>
            <w:vAlign w:val="center"/>
          </w:tcPr>
          <w:p w14:paraId="7A66BE74" w14:textId="11C49B2F" w:rsidR="183DF259" w:rsidRDefault="6C4077C4" w:rsidP="183DF259">
            <w:pPr>
              <w:jc w:val="center"/>
              <w:rPr>
                <w:szCs w:val="20"/>
                <w:lang w:val="en-GB"/>
              </w:rPr>
            </w:pPr>
            <w:r w:rsidRPr="6C4077C4">
              <w:rPr>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731F71B2" w14:textId="49220DE3" w:rsidR="183DF259" w:rsidRDefault="6C4077C4" w:rsidP="183DF259">
            <w:pPr>
              <w:jc w:val="center"/>
              <w:rPr>
                <w:szCs w:val="20"/>
                <w:lang w:val="en-GB"/>
              </w:rPr>
            </w:pPr>
            <w:r w:rsidRPr="6C4077C4">
              <w:rPr>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10D71349" w14:textId="2DFF732B" w:rsidR="183DF259" w:rsidRDefault="6C4077C4" w:rsidP="183DF259">
            <w:pPr>
              <w:jc w:val="center"/>
              <w:rPr>
                <w:szCs w:val="20"/>
                <w:lang w:val="en-GB"/>
              </w:rPr>
            </w:pPr>
            <w:r w:rsidRPr="6C4077C4">
              <w:rPr>
                <w:sz w:val="18"/>
                <w:szCs w:val="18"/>
                <w:lang w:val="en-GB"/>
              </w:rPr>
              <w:t>Yes</w:t>
            </w:r>
          </w:p>
        </w:tc>
        <w:tc>
          <w:tcPr>
            <w:tcW w:w="895" w:type="dxa"/>
            <w:tcBorders>
              <w:top w:val="single" w:sz="4" w:space="0" w:color="auto"/>
              <w:left w:val="single" w:sz="4" w:space="0" w:color="auto"/>
              <w:bottom w:val="single" w:sz="4" w:space="0" w:color="auto"/>
              <w:right w:val="single" w:sz="4" w:space="0" w:color="auto"/>
            </w:tcBorders>
            <w:vAlign w:val="center"/>
          </w:tcPr>
          <w:p w14:paraId="0ED9D58A" w14:textId="6B3A3A59" w:rsidR="183DF259" w:rsidRDefault="6C4077C4" w:rsidP="183DF259">
            <w:pPr>
              <w:jc w:val="center"/>
              <w:rPr>
                <w:szCs w:val="20"/>
                <w:lang w:val="en-GB"/>
              </w:rPr>
            </w:pPr>
            <w:r w:rsidRPr="6C4077C4">
              <w:rPr>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31E5DE02" w14:textId="6B0926EA" w:rsidR="183DF259" w:rsidRDefault="6C4077C4" w:rsidP="183DF259">
            <w:pPr>
              <w:jc w:val="center"/>
              <w:rPr>
                <w:szCs w:val="20"/>
                <w:lang w:val="en-GB"/>
              </w:rPr>
            </w:pPr>
            <w:r w:rsidRPr="6C4077C4">
              <w:rPr>
                <w:sz w:val="18"/>
                <w:szCs w:val="18"/>
                <w:lang w:val="en-GB"/>
              </w:rPr>
              <w:t>COBIT</w:t>
            </w:r>
            <w:r w:rsidR="009A2404">
              <w:rPr>
                <w:sz w:val="18"/>
                <w:szCs w:val="18"/>
                <w:lang w:val="en-GB"/>
              </w:rPr>
              <w:t xml:space="preserve"> </w:t>
            </w:r>
            <w:r w:rsidR="009A2404" w:rsidRPr="000723F0">
              <w:rPr>
                <w:rFonts w:ascii="Calibri" w:eastAsia="Calibri" w:hAnsi="Calibri" w:cs="Calibri"/>
                <w:bCs/>
                <w:color w:val="000000" w:themeColor="text1"/>
                <w:sz w:val="18"/>
                <w:szCs w:val="18"/>
                <w:lang w:val="en-GB"/>
              </w:rPr>
              <w:t>APO07.03</w:t>
            </w:r>
          </w:p>
        </w:tc>
      </w:tr>
      <w:tr w:rsidR="6C4077C4" w14:paraId="6DA78B4B" w14:textId="77777777" w:rsidTr="003E5ACF">
        <w:tc>
          <w:tcPr>
            <w:tcW w:w="421" w:type="dxa"/>
            <w:tcBorders>
              <w:top w:val="single" w:sz="4" w:space="0" w:color="auto"/>
              <w:left w:val="single" w:sz="4" w:space="0" w:color="auto"/>
              <w:bottom w:val="single" w:sz="4" w:space="0" w:color="auto"/>
              <w:right w:val="single" w:sz="4" w:space="0" w:color="auto"/>
            </w:tcBorders>
            <w:vAlign w:val="center"/>
          </w:tcPr>
          <w:p w14:paraId="79680092" w14:textId="6F6C96A8" w:rsidR="6C4077C4" w:rsidRPr="000723F0" w:rsidRDefault="6C4077C4" w:rsidP="6C4077C4">
            <w:pPr>
              <w:jc w:val="center"/>
              <w:rPr>
                <w:bCs/>
                <w:szCs w:val="20"/>
                <w:lang w:val="en-GB"/>
              </w:rPr>
            </w:pPr>
            <w:r w:rsidRPr="000723F0">
              <w:rPr>
                <w:bCs/>
                <w:szCs w:val="20"/>
                <w:lang w:val="en-GB"/>
              </w:rPr>
              <w:t>5</w:t>
            </w:r>
          </w:p>
        </w:tc>
        <w:tc>
          <w:tcPr>
            <w:tcW w:w="3969" w:type="dxa"/>
            <w:tcBorders>
              <w:top w:val="single" w:sz="4" w:space="0" w:color="auto"/>
              <w:left w:val="single" w:sz="4" w:space="0" w:color="auto"/>
              <w:bottom w:val="single" w:sz="4" w:space="0" w:color="auto"/>
              <w:right w:val="single" w:sz="4" w:space="0" w:color="auto"/>
            </w:tcBorders>
          </w:tcPr>
          <w:p w14:paraId="3CA700FF" w14:textId="61F6D68E" w:rsidR="6C4077C4" w:rsidRDefault="6C4077C4" w:rsidP="6C4077C4">
            <w:pPr>
              <w:spacing w:line="259" w:lineRule="auto"/>
              <w:rPr>
                <w:rFonts w:ascii="Calibri" w:eastAsia="Calibri" w:hAnsi="Calibri" w:cs="Calibri"/>
                <w:color w:val="000000" w:themeColor="text1"/>
                <w:sz w:val="18"/>
                <w:szCs w:val="18"/>
                <w:lang w:val="en-GB"/>
              </w:rPr>
            </w:pPr>
            <w:r w:rsidRPr="6C4077C4">
              <w:rPr>
                <w:rFonts w:ascii="Calibri" w:eastAsia="Calibri" w:hAnsi="Calibri" w:cs="Calibri"/>
                <w:b/>
                <w:bCs/>
                <w:color w:val="000000" w:themeColor="text1"/>
                <w:sz w:val="18"/>
                <w:szCs w:val="18"/>
                <w:lang w:val="en-GB"/>
              </w:rPr>
              <w:t xml:space="preserve">APO12.02 </w:t>
            </w:r>
            <w:proofErr w:type="spellStart"/>
            <w:r w:rsidRPr="6C4077C4">
              <w:rPr>
                <w:rFonts w:ascii="Calibri" w:eastAsia="Calibri" w:hAnsi="Calibri" w:cs="Calibri"/>
                <w:b/>
                <w:bCs/>
                <w:color w:val="000000" w:themeColor="text1"/>
                <w:sz w:val="18"/>
                <w:szCs w:val="18"/>
                <w:lang w:val="en-GB"/>
              </w:rPr>
              <w:t>Analyze</w:t>
            </w:r>
            <w:proofErr w:type="spellEnd"/>
            <w:r w:rsidRPr="6C4077C4">
              <w:rPr>
                <w:rFonts w:ascii="Calibri" w:eastAsia="Calibri" w:hAnsi="Calibri" w:cs="Calibri"/>
                <w:b/>
                <w:bCs/>
                <w:color w:val="000000" w:themeColor="text1"/>
                <w:sz w:val="18"/>
                <w:szCs w:val="18"/>
                <w:lang w:val="en-GB"/>
              </w:rPr>
              <w:t xml:space="preserve"> risk.</w:t>
            </w:r>
          </w:p>
          <w:p w14:paraId="28FB78D9" w14:textId="6C3F4E79" w:rsidR="6C4077C4" w:rsidRDefault="6C4077C4" w:rsidP="003D2EC6">
            <w:pPr>
              <w:spacing w:line="259" w:lineRule="auto"/>
              <w:rPr>
                <w:rFonts w:ascii="Calibri" w:eastAsia="Calibri" w:hAnsi="Calibri" w:cs="Calibri"/>
                <w:color w:val="000000" w:themeColor="text1"/>
                <w:sz w:val="18"/>
                <w:szCs w:val="18"/>
                <w:lang w:val="en-GB"/>
              </w:rPr>
            </w:pPr>
            <w:r w:rsidRPr="6C4077C4">
              <w:rPr>
                <w:rFonts w:ascii="Calibri" w:eastAsia="Calibri" w:hAnsi="Calibri" w:cs="Calibri"/>
                <w:color w:val="000000" w:themeColor="text1"/>
                <w:sz w:val="18"/>
                <w:szCs w:val="18"/>
                <w:lang w:val="en-GB"/>
              </w:rPr>
              <w:t xml:space="preserve">Develop a substantiated view on actual I&amp;T risk, in support of </w:t>
            </w:r>
            <w:r w:rsidRPr="00B43718">
              <w:rPr>
                <w:rFonts w:ascii="Calibri" w:eastAsia="Calibri" w:hAnsi="Calibri" w:cs="Calibri"/>
                <w:color w:val="000000" w:themeColor="text1"/>
                <w:sz w:val="18"/>
                <w:szCs w:val="18"/>
                <w:lang w:val="en-GB"/>
              </w:rPr>
              <w:t>risk decisions</w:t>
            </w:r>
            <w:r w:rsidRPr="00B43718">
              <w:rPr>
                <w:rFonts w:ascii="Calibri" w:eastAsia="Calibri" w:hAnsi="Calibri" w:cs="Calibri"/>
                <w:color w:val="000000" w:themeColor="text1"/>
                <w:sz w:val="18"/>
                <w:szCs w:val="18"/>
                <w:lang w:val="en-GB"/>
              </w:rPr>
              <w:t>.</w:t>
            </w:r>
          </w:p>
        </w:tc>
        <w:tc>
          <w:tcPr>
            <w:tcW w:w="1134" w:type="dxa"/>
            <w:tcBorders>
              <w:top w:val="single" w:sz="4" w:space="0" w:color="auto"/>
              <w:left w:val="single" w:sz="4" w:space="0" w:color="auto"/>
              <w:bottom w:val="single" w:sz="4" w:space="0" w:color="auto"/>
              <w:right w:val="single" w:sz="4" w:space="0" w:color="auto"/>
            </w:tcBorders>
            <w:vAlign w:val="center"/>
          </w:tcPr>
          <w:p w14:paraId="02D9DF1B" w14:textId="35793508" w:rsidR="6C4077C4" w:rsidRDefault="6C4077C4" w:rsidP="6C4077C4">
            <w:pPr>
              <w:jc w:val="center"/>
              <w:rPr>
                <w:szCs w:val="20"/>
                <w:lang w:val="en-GB"/>
              </w:rPr>
            </w:pPr>
            <w:r w:rsidRPr="6C4077C4">
              <w:rPr>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4787F5A9" w14:textId="30D0AE56" w:rsidR="6C4077C4" w:rsidRDefault="6C4077C4" w:rsidP="6C4077C4">
            <w:pPr>
              <w:jc w:val="center"/>
              <w:rPr>
                <w:szCs w:val="20"/>
                <w:lang w:val="en-GB"/>
              </w:rPr>
            </w:pPr>
            <w:r w:rsidRPr="6C4077C4">
              <w:rPr>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493E9B55" w14:textId="1BE7F1FC" w:rsidR="6C4077C4" w:rsidRDefault="6C4077C4" w:rsidP="6C4077C4">
            <w:pPr>
              <w:jc w:val="center"/>
              <w:rPr>
                <w:szCs w:val="20"/>
                <w:lang w:val="en-GB"/>
              </w:rPr>
            </w:pPr>
            <w:r w:rsidRPr="6C4077C4">
              <w:rPr>
                <w:sz w:val="18"/>
                <w:szCs w:val="18"/>
                <w:lang w:val="en-GB"/>
              </w:rPr>
              <w:t>Yes</w:t>
            </w:r>
          </w:p>
        </w:tc>
        <w:tc>
          <w:tcPr>
            <w:tcW w:w="895" w:type="dxa"/>
            <w:tcBorders>
              <w:top w:val="single" w:sz="4" w:space="0" w:color="auto"/>
              <w:left w:val="single" w:sz="4" w:space="0" w:color="auto"/>
              <w:bottom w:val="single" w:sz="4" w:space="0" w:color="auto"/>
              <w:right w:val="single" w:sz="4" w:space="0" w:color="auto"/>
            </w:tcBorders>
            <w:vAlign w:val="center"/>
          </w:tcPr>
          <w:p w14:paraId="60855712" w14:textId="56767805" w:rsidR="6C4077C4" w:rsidRDefault="6C4077C4" w:rsidP="6C4077C4">
            <w:pPr>
              <w:jc w:val="center"/>
              <w:rPr>
                <w:szCs w:val="20"/>
                <w:lang w:val="en-GB"/>
              </w:rPr>
            </w:pPr>
            <w:r w:rsidRPr="6C4077C4">
              <w:rPr>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0396AE72" w14:textId="37FBEF5C" w:rsidR="6C4077C4" w:rsidRDefault="6C4077C4" w:rsidP="6C4077C4">
            <w:pPr>
              <w:jc w:val="center"/>
              <w:rPr>
                <w:szCs w:val="20"/>
                <w:lang w:val="en-GB"/>
              </w:rPr>
            </w:pPr>
            <w:r w:rsidRPr="6C4077C4">
              <w:rPr>
                <w:sz w:val="18"/>
                <w:szCs w:val="18"/>
                <w:lang w:val="en-GB"/>
              </w:rPr>
              <w:t>COBIT</w:t>
            </w:r>
            <w:r w:rsidR="009A2404">
              <w:rPr>
                <w:sz w:val="18"/>
                <w:szCs w:val="18"/>
                <w:lang w:val="en-GB"/>
              </w:rPr>
              <w:t xml:space="preserve"> </w:t>
            </w:r>
            <w:r w:rsidR="009A2404" w:rsidRPr="000723F0">
              <w:rPr>
                <w:rFonts w:ascii="Calibri" w:eastAsia="Calibri" w:hAnsi="Calibri" w:cs="Calibri"/>
                <w:bCs/>
                <w:color w:val="000000" w:themeColor="text1"/>
                <w:sz w:val="18"/>
                <w:szCs w:val="18"/>
                <w:lang w:val="en-GB"/>
              </w:rPr>
              <w:t>APO12.02</w:t>
            </w:r>
          </w:p>
        </w:tc>
      </w:tr>
      <w:tr w:rsidR="6C4077C4" w14:paraId="36B68DA7" w14:textId="77777777" w:rsidTr="003E5ACF">
        <w:tc>
          <w:tcPr>
            <w:tcW w:w="421" w:type="dxa"/>
            <w:tcBorders>
              <w:top w:val="single" w:sz="4" w:space="0" w:color="auto"/>
              <w:left w:val="single" w:sz="4" w:space="0" w:color="auto"/>
              <w:bottom w:val="single" w:sz="4" w:space="0" w:color="auto"/>
              <w:right w:val="single" w:sz="4" w:space="0" w:color="auto"/>
            </w:tcBorders>
            <w:vAlign w:val="center"/>
          </w:tcPr>
          <w:p w14:paraId="4C62B0CD" w14:textId="3D84A70B" w:rsidR="6C4077C4" w:rsidRPr="000723F0" w:rsidRDefault="6C4077C4" w:rsidP="6C4077C4">
            <w:pPr>
              <w:jc w:val="center"/>
              <w:rPr>
                <w:bCs/>
                <w:szCs w:val="20"/>
                <w:lang w:val="en-GB"/>
              </w:rPr>
            </w:pPr>
            <w:r w:rsidRPr="000723F0">
              <w:rPr>
                <w:bCs/>
                <w:szCs w:val="20"/>
                <w:lang w:val="en-GB"/>
              </w:rPr>
              <w:t>6</w:t>
            </w:r>
          </w:p>
        </w:tc>
        <w:tc>
          <w:tcPr>
            <w:tcW w:w="3969" w:type="dxa"/>
            <w:tcBorders>
              <w:top w:val="single" w:sz="4" w:space="0" w:color="auto"/>
              <w:left w:val="single" w:sz="4" w:space="0" w:color="auto"/>
              <w:bottom w:val="single" w:sz="4" w:space="0" w:color="auto"/>
              <w:right w:val="single" w:sz="4" w:space="0" w:color="auto"/>
            </w:tcBorders>
          </w:tcPr>
          <w:p w14:paraId="006B31DB" w14:textId="117C037A" w:rsidR="6C4077C4" w:rsidRDefault="6C4077C4" w:rsidP="6C4077C4">
            <w:pPr>
              <w:spacing w:line="259" w:lineRule="auto"/>
              <w:rPr>
                <w:rFonts w:ascii="Calibri" w:eastAsia="Calibri" w:hAnsi="Calibri" w:cs="Calibri"/>
                <w:color w:val="000000" w:themeColor="text1"/>
                <w:sz w:val="18"/>
                <w:szCs w:val="18"/>
                <w:lang w:val="en-GB"/>
              </w:rPr>
            </w:pPr>
            <w:r w:rsidRPr="6C4077C4">
              <w:rPr>
                <w:rFonts w:ascii="Calibri" w:eastAsia="Calibri" w:hAnsi="Calibri" w:cs="Calibri"/>
                <w:b/>
                <w:bCs/>
                <w:color w:val="000000" w:themeColor="text1"/>
                <w:sz w:val="18"/>
                <w:szCs w:val="18"/>
                <w:lang w:val="en-GB"/>
              </w:rPr>
              <w:t>BAI04.02 Assess business impact</w:t>
            </w:r>
            <w:r w:rsidRPr="6C4077C4">
              <w:rPr>
                <w:rFonts w:ascii="Calibri" w:eastAsia="Calibri" w:hAnsi="Calibri" w:cs="Calibri"/>
                <w:b/>
                <w:bCs/>
                <w:color w:val="000000" w:themeColor="text1"/>
                <w:sz w:val="18"/>
                <w:szCs w:val="18"/>
                <w:lang w:val="en-GB"/>
              </w:rPr>
              <w:t xml:space="preserve">. </w:t>
            </w:r>
          </w:p>
          <w:p w14:paraId="4F9B453E" w14:textId="644A208F" w:rsidR="6C4077C4" w:rsidRDefault="6C4077C4" w:rsidP="003D2EC6">
            <w:pPr>
              <w:spacing w:line="259" w:lineRule="auto"/>
              <w:rPr>
                <w:rFonts w:ascii="Calibri" w:eastAsia="Calibri" w:hAnsi="Calibri" w:cs="Calibri"/>
                <w:color w:val="000000" w:themeColor="text1"/>
                <w:sz w:val="18"/>
                <w:szCs w:val="18"/>
                <w:lang w:val="en-GB"/>
              </w:rPr>
            </w:pPr>
            <w:r w:rsidRPr="6C4077C4">
              <w:rPr>
                <w:rFonts w:ascii="Calibri" w:eastAsia="Calibri" w:hAnsi="Calibri" w:cs="Calibri"/>
                <w:color w:val="000000" w:themeColor="text1"/>
                <w:sz w:val="18"/>
                <w:szCs w:val="18"/>
                <w:lang w:val="en-GB"/>
              </w:rPr>
              <w:t>Identify important services to the enterprise. Map services and resources to business processes and identify business dependencies. Ensure that the impact of unavailable resources is fully agreed on and accepted</w:t>
            </w:r>
            <w:r w:rsidR="003D2EC6">
              <w:rPr>
                <w:rFonts w:ascii="Calibri" w:eastAsia="Calibri" w:hAnsi="Calibri" w:cs="Calibri"/>
                <w:color w:val="000000" w:themeColor="text1"/>
                <w:sz w:val="18"/>
                <w:szCs w:val="18"/>
                <w:lang w:val="en-GB"/>
              </w:rPr>
              <w:t xml:space="preserve"> </w:t>
            </w:r>
            <w:r w:rsidRPr="6C4077C4">
              <w:rPr>
                <w:rFonts w:ascii="Calibri" w:eastAsia="Calibri" w:hAnsi="Calibri" w:cs="Calibri"/>
                <w:color w:val="000000" w:themeColor="text1"/>
                <w:sz w:val="18"/>
                <w:szCs w:val="18"/>
                <w:lang w:val="en-GB"/>
              </w:rPr>
              <w:t>by the customer. For vital business functions, ensure that availability requirements can be satisfied per service</w:t>
            </w:r>
            <w:r w:rsidRPr="6C4077C4">
              <w:rPr>
                <w:rFonts w:ascii="Calibri" w:eastAsia="Calibri" w:hAnsi="Calibri" w:cs="Calibri"/>
                <w:color w:val="000000" w:themeColor="text1"/>
                <w:sz w:val="18"/>
                <w:szCs w:val="18"/>
                <w:lang w:val="en-GB"/>
              </w:rPr>
              <w:t xml:space="preserve"> </w:t>
            </w:r>
            <w:r w:rsidRPr="6C4077C4">
              <w:rPr>
                <w:rFonts w:ascii="Calibri" w:eastAsia="Calibri" w:hAnsi="Calibri" w:cs="Calibri"/>
                <w:color w:val="000000" w:themeColor="text1"/>
                <w:sz w:val="18"/>
                <w:szCs w:val="18"/>
                <w:lang w:val="en-GB"/>
              </w:rPr>
              <w:t>level agreement (SLA)</w:t>
            </w:r>
            <w:r w:rsidRPr="6C4077C4">
              <w:rPr>
                <w:rFonts w:ascii="Calibri" w:eastAsia="Calibri" w:hAnsi="Calibri" w:cs="Calibri"/>
                <w:color w:val="000000" w:themeColor="text1"/>
                <w:sz w:val="18"/>
                <w:szCs w:val="18"/>
                <w:lang w:val="en-GB"/>
              </w:rPr>
              <w:t>.</w:t>
            </w:r>
          </w:p>
        </w:tc>
        <w:tc>
          <w:tcPr>
            <w:tcW w:w="1134" w:type="dxa"/>
            <w:tcBorders>
              <w:top w:val="single" w:sz="4" w:space="0" w:color="auto"/>
              <w:left w:val="single" w:sz="4" w:space="0" w:color="auto"/>
              <w:bottom w:val="single" w:sz="4" w:space="0" w:color="auto"/>
              <w:right w:val="single" w:sz="4" w:space="0" w:color="auto"/>
            </w:tcBorders>
            <w:vAlign w:val="center"/>
          </w:tcPr>
          <w:p w14:paraId="629A8C6E" w14:textId="5A2FC08E" w:rsidR="6C4077C4" w:rsidRDefault="6C4077C4" w:rsidP="6C4077C4">
            <w:pPr>
              <w:jc w:val="center"/>
              <w:rPr>
                <w:szCs w:val="20"/>
                <w:lang w:val="en-GB"/>
              </w:rPr>
            </w:pPr>
            <w:r w:rsidRPr="6C4077C4">
              <w:rPr>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7A1D9CD1" w14:textId="3090A6AF" w:rsidR="6C4077C4" w:rsidRDefault="6C4077C4" w:rsidP="6C4077C4">
            <w:pPr>
              <w:jc w:val="center"/>
              <w:rPr>
                <w:szCs w:val="20"/>
                <w:lang w:val="en-GB"/>
              </w:rPr>
            </w:pPr>
            <w:r w:rsidRPr="6C4077C4">
              <w:rPr>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654E49C0" w14:textId="6E5F839F" w:rsidR="6C4077C4" w:rsidRDefault="6C4077C4" w:rsidP="6C4077C4">
            <w:pPr>
              <w:jc w:val="center"/>
              <w:rPr>
                <w:szCs w:val="20"/>
                <w:lang w:val="en-GB"/>
              </w:rPr>
            </w:pPr>
            <w:r w:rsidRPr="6C4077C4">
              <w:rPr>
                <w:sz w:val="18"/>
                <w:szCs w:val="18"/>
                <w:lang w:val="en-GB"/>
              </w:rPr>
              <w:t>Yes</w:t>
            </w:r>
          </w:p>
        </w:tc>
        <w:tc>
          <w:tcPr>
            <w:tcW w:w="895" w:type="dxa"/>
            <w:tcBorders>
              <w:top w:val="single" w:sz="4" w:space="0" w:color="auto"/>
              <w:left w:val="single" w:sz="4" w:space="0" w:color="auto"/>
              <w:bottom w:val="single" w:sz="4" w:space="0" w:color="auto"/>
              <w:right w:val="single" w:sz="4" w:space="0" w:color="auto"/>
            </w:tcBorders>
            <w:vAlign w:val="center"/>
          </w:tcPr>
          <w:p w14:paraId="7039FD70" w14:textId="2F5DC2F4" w:rsidR="6C4077C4" w:rsidRDefault="6C4077C4" w:rsidP="6C4077C4">
            <w:pPr>
              <w:jc w:val="center"/>
              <w:rPr>
                <w:szCs w:val="20"/>
                <w:lang w:val="en-GB"/>
              </w:rPr>
            </w:pPr>
            <w:r w:rsidRPr="6C4077C4">
              <w:rPr>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320E77D4" w14:textId="56263A4A" w:rsidR="6C4077C4" w:rsidRDefault="6C4077C4" w:rsidP="6C4077C4">
            <w:pPr>
              <w:jc w:val="center"/>
              <w:rPr>
                <w:szCs w:val="20"/>
                <w:lang w:val="en-GB"/>
              </w:rPr>
            </w:pPr>
            <w:r w:rsidRPr="6C4077C4">
              <w:rPr>
                <w:sz w:val="18"/>
                <w:szCs w:val="18"/>
                <w:lang w:val="en-GB"/>
              </w:rPr>
              <w:t>COBIT</w:t>
            </w:r>
            <w:r w:rsidR="009A2404">
              <w:rPr>
                <w:sz w:val="18"/>
                <w:szCs w:val="18"/>
                <w:lang w:val="en-GB"/>
              </w:rPr>
              <w:t xml:space="preserve"> </w:t>
            </w:r>
            <w:r w:rsidR="009A2404" w:rsidRPr="000723F0">
              <w:rPr>
                <w:rFonts w:ascii="Calibri" w:eastAsia="Calibri" w:hAnsi="Calibri" w:cs="Calibri"/>
                <w:bCs/>
                <w:color w:val="000000" w:themeColor="text1"/>
                <w:sz w:val="18"/>
                <w:szCs w:val="18"/>
                <w:lang w:val="en-GB"/>
              </w:rPr>
              <w:t>BAI04.02</w:t>
            </w:r>
          </w:p>
        </w:tc>
      </w:tr>
      <w:tr w:rsidR="183DF259" w14:paraId="1F4C65D0" w14:textId="77777777" w:rsidTr="003E5ACF">
        <w:tc>
          <w:tcPr>
            <w:tcW w:w="421" w:type="dxa"/>
            <w:tcBorders>
              <w:top w:val="single" w:sz="4" w:space="0" w:color="auto"/>
              <w:left w:val="single" w:sz="4" w:space="0" w:color="auto"/>
              <w:bottom w:val="single" w:sz="4" w:space="0" w:color="auto"/>
              <w:right w:val="single" w:sz="4" w:space="0" w:color="auto"/>
            </w:tcBorders>
            <w:vAlign w:val="center"/>
          </w:tcPr>
          <w:p w14:paraId="21B7DC55" w14:textId="3541906D" w:rsidR="183DF259" w:rsidRPr="000723F0" w:rsidRDefault="6C4077C4" w:rsidP="183DF259">
            <w:pPr>
              <w:jc w:val="center"/>
              <w:rPr>
                <w:bCs/>
                <w:szCs w:val="20"/>
                <w:lang w:val="en-GB"/>
              </w:rPr>
            </w:pPr>
            <w:r w:rsidRPr="000723F0">
              <w:rPr>
                <w:bCs/>
                <w:szCs w:val="20"/>
                <w:lang w:val="en-GB"/>
              </w:rPr>
              <w:t>7</w:t>
            </w:r>
          </w:p>
        </w:tc>
        <w:tc>
          <w:tcPr>
            <w:tcW w:w="3969" w:type="dxa"/>
            <w:tcBorders>
              <w:top w:val="single" w:sz="4" w:space="0" w:color="auto"/>
              <w:left w:val="single" w:sz="4" w:space="0" w:color="auto"/>
              <w:bottom w:val="single" w:sz="4" w:space="0" w:color="auto"/>
              <w:right w:val="single" w:sz="4" w:space="0" w:color="auto"/>
            </w:tcBorders>
          </w:tcPr>
          <w:p w14:paraId="7A6837D0" w14:textId="7986EA38" w:rsidR="183DF259" w:rsidRDefault="76807B70" w:rsidP="76807B70">
            <w:r w:rsidRPr="76807B70">
              <w:rPr>
                <w:rFonts w:ascii="Calibri" w:eastAsia="Calibri" w:hAnsi="Calibri" w:cs="Calibri"/>
                <w:b/>
                <w:bCs/>
                <w:sz w:val="18"/>
                <w:szCs w:val="18"/>
                <w:lang w:val="en-GB"/>
              </w:rPr>
              <w:t>DSS01.05 Manage facilities</w:t>
            </w:r>
            <w:r w:rsidRPr="76807B70">
              <w:rPr>
                <w:rFonts w:ascii="Calibri" w:eastAsia="Calibri" w:hAnsi="Calibri" w:cs="Calibri"/>
                <w:b/>
                <w:bCs/>
                <w:sz w:val="18"/>
                <w:szCs w:val="18"/>
                <w:lang w:val="en-GB"/>
              </w:rPr>
              <w:t>.</w:t>
            </w:r>
          </w:p>
          <w:p w14:paraId="3B826D03" w14:textId="63C58974" w:rsidR="183DF259" w:rsidRDefault="6C4077C4" w:rsidP="6C4077C4">
            <w:r w:rsidRPr="6C4077C4">
              <w:rPr>
                <w:rFonts w:ascii="Calibri" w:eastAsia="Calibri" w:hAnsi="Calibri" w:cs="Calibri"/>
                <w:sz w:val="18"/>
                <w:szCs w:val="18"/>
                <w:lang w:val="en-GB"/>
              </w:rPr>
              <w:t>Manage facilities, including power and communications equipment, in line with laws and regulations, technical and business requirements, vendor specifications, and health and safety guidelines</w:t>
            </w:r>
            <w:r w:rsidRPr="6C4077C4">
              <w:rPr>
                <w:rFonts w:ascii="Calibri" w:eastAsia="Calibri" w:hAnsi="Calibri" w:cs="Calibri"/>
                <w:sz w:val="18"/>
                <w:szCs w:val="18"/>
                <w:lang w:val="en-GB"/>
              </w:rPr>
              <w:t>.</w:t>
            </w:r>
          </w:p>
        </w:tc>
        <w:tc>
          <w:tcPr>
            <w:tcW w:w="1134" w:type="dxa"/>
            <w:tcBorders>
              <w:top w:val="single" w:sz="4" w:space="0" w:color="auto"/>
              <w:left w:val="single" w:sz="4" w:space="0" w:color="auto"/>
              <w:bottom w:val="single" w:sz="4" w:space="0" w:color="auto"/>
              <w:right w:val="single" w:sz="4" w:space="0" w:color="auto"/>
            </w:tcBorders>
            <w:vAlign w:val="center"/>
          </w:tcPr>
          <w:p w14:paraId="3D8EF4A7" w14:textId="214E836C" w:rsidR="183DF259" w:rsidRDefault="6C4077C4" w:rsidP="183DF259">
            <w:pPr>
              <w:jc w:val="center"/>
              <w:rPr>
                <w:szCs w:val="20"/>
                <w:lang w:val="en-GB"/>
              </w:rPr>
            </w:pPr>
            <w:r w:rsidRPr="6C4077C4">
              <w:rPr>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588B61BD" w14:textId="44CA444C" w:rsidR="183DF259" w:rsidRDefault="6C4077C4" w:rsidP="183DF259">
            <w:pPr>
              <w:jc w:val="center"/>
              <w:rPr>
                <w:szCs w:val="20"/>
                <w:lang w:val="en-GB"/>
              </w:rPr>
            </w:pPr>
            <w:r w:rsidRPr="6C4077C4">
              <w:rPr>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7ECCAA69" w14:textId="7332BC42" w:rsidR="183DF259" w:rsidRDefault="6C4077C4" w:rsidP="183DF259">
            <w:pPr>
              <w:jc w:val="center"/>
              <w:rPr>
                <w:szCs w:val="20"/>
                <w:lang w:val="en-GB"/>
              </w:rPr>
            </w:pPr>
            <w:r w:rsidRPr="6C4077C4">
              <w:rPr>
                <w:sz w:val="18"/>
                <w:szCs w:val="18"/>
                <w:lang w:val="en-GB"/>
              </w:rPr>
              <w:t>Yes</w:t>
            </w:r>
          </w:p>
        </w:tc>
        <w:tc>
          <w:tcPr>
            <w:tcW w:w="895" w:type="dxa"/>
            <w:tcBorders>
              <w:top w:val="single" w:sz="4" w:space="0" w:color="auto"/>
              <w:left w:val="single" w:sz="4" w:space="0" w:color="auto"/>
              <w:bottom w:val="single" w:sz="4" w:space="0" w:color="auto"/>
              <w:right w:val="single" w:sz="4" w:space="0" w:color="auto"/>
            </w:tcBorders>
            <w:vAlign w:val="center"/>
          </w:tcPr>
          <w:p w14:paraId="63B377A0" w14:textId="26AD6E60" w:rsidR="183DF259" w:rsidRDefault="6C4077C4" w:rsidP="183DF259">
            <w:pPr>
              <w:jc w:val="center"/>
              <w:rPr>
                <w:szCs w:val="20"/>
                <w:lang w:val="en-GB"/>
              </w:rPr>
            </w:pPr>
            <w:r w:rsidRPr="6C4077C4">
              <w:rPr>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4A59DB22" w14:textId="40815B1F" w:rsidR="183DF259" w:rsidRDefault="6C4077C4" w:rsidP="183DF259">
            <w:pPr>
              <w:jc w:val="center"/>
              <w:rPr>
                <w:szCs w:val="20"/>
                <w:lang w:val="en-GB"/>
              </w:rPr>
            </w:pPr>
            <w:r w:rsidRPr="6C4077C4">
              <w:rPr>
                <w:sz w:val="18"/>
                <w:szCs w:val="18"/>
                <w:lang w:val="en-GB"/>
              </w:rPr>
              <w:t>COBIT</w:t>
            </w:r>
            <w:r w:rsidR="009A2404">
              <w:rPr>
                <w:sz w:val="18"/>
                <w:szCs w:val="18"/>
                <w:lang w:val="en-GB"/>
              </w:rPr>
              <w:t xml:space="preserve"> </w:t>
            </w:r>
            <w:r w:rsidR="009A2404" w:rsidRPr="000723F0">
              <w:rPr>
                <w:rFonts w:ascii="Calibri" w:eastAsia="Calibri" w:hAnsi="Calibri" w:cs="Calibri"/>
                <w:bCs/>
                <w:sz w:val="18"/>
                <w:szCs w:val="18"/>
                <w:lang w:val="en-GB"/>
              </w:rPr>
              <w:t>DSS01.05</w:t>
            </w:r>
          </w:p>
        </w:tc>
      </w:tr>
      <w:tr w:rsidR="76807B70" w14:paraId="18FDD190" w14:textId="77777777" w:rsidTr="003E5ACF">
        <w:tc>
          <w:tcPr>
            <w:tcW w:w="421" w:type="dxa"/>
            <w:tcBorders>
              <w:top w:val="single" w:sz="4" w:space="0" w:color="auto"/>
              <w:left w:val="single" w:sz="4" w:space="0" w:color="auto"/>
              <w:bottom w:val="single" w:sz="4" w:space="0" w:color="auto"/>
              <w:right w:val="single" w:sz="4" w:space="0" w:color="auto"/>
            </w:tcBorders>
            <w:vAlign w:val="center"/>
          </w:tcPr>
          <w:p w14:paraId="181F4719" w14:textId="53B77EA1" w:rsidR="76807B70" w:rsidRPr="000723F0" w:rsidRDefault="6C4077C4" w:rsidP="76807B70">
            <w:pPr>
              <w:jc w:val="center"/>
              <w:rPr>
                <w:bCs/>
                <w:szCs w:val="20"/>
                <w:lang w:val="en-GB"/>
              </w:rPr>
            </w:pPr>
            <w:r w:rsidRPr="000723F0">
              <w:rPr>
                <w:bCs/>
                <w:szCs w:val="20"/>
                <w:lang w:val="en-GB"/>
              </w:rPr>
              <w:t>8</w:t>
            </w:r>
          </w:p>
        </w:tc>
        <w:tc>
          <w:tcPr>
            <w:tcW w:w="3969" w:type="dxa"/>
            <w:tcBorders>
              <w:top w:val="single" w:sz="4" w:space="0" w:color="auto"/>
              <w:left w:val="single" w:sz="4" w:space="0" w:color="auto"/>
              <w:bottom w:val="single" w:sz="4" w:space="0" w:color="auto"/>
              <w:right w:val="single" w:sz="4" w:space="0" w:color="auto"/>
            </w:tcBorders>
          </w:tcPr>
          <w:p w14:paraId="7AC9A144" w14:textId="4B1A58C8" w:rsidR="76807B70" w:rsidRDefault="6C4077C4">
            <w:r w:rsidRPr="6C4077C4">
              <w:rPr>
                <w:rFonts w:ascii="Calibri" w:eastAsia="Calibri" w:hAnsi="Calibri" w:cs="Calibri"/>
                <w:b/>
                <w:bCs/>
                <w:sz w:val="18"/>
                <w:szCs w:val="18"/>
              </w:rPr>
              <w:t>MEA03.01 Identify external compliance requirements</w:t>
            </w:r>
            <w:r w:rsidRPr="6C4077C4">
              <w:rPr>
                <w:rFonts w:ascii="Calibri" w:eastAsia="Calibri" w:hAnsi="Calibri" w:cs="Calibri"/>
                <w:b/>
                <w:bCs/>
                <w:sz w:val="18"/>
                <w:szCs w:val="18"/>
              </w:rPr>
              <w:t xml:space="preserve">. </w:t>
            </w:r>
          </w:p>
          <w:p w14:paraId="193CD082" w14:textId="39D784E8" w:rsidR="76807B70" w:rsidRDefault="6C4077C4" w:rsidP="003D2EC6">
            <w:r w:rsidRPr="6C4077C4">
              <w:rPr>
                <w:rFonts w:ascii="Calibri" w:eastAsia="Calibri" w:hAnsi="Calibri" w:cs="Calibri"/>
                <w:sz w:val="18"/>
                <w:szCs w:val="18"/>
              </w:rPr>
              <w:t>On a continuous basis, monitor changes in local and international laws, regulations and other external requirements and identify mandates for compliance from an I&amp;T perspective</w:t>
            </w:r>
            <w:r w:rsidRPr="6C4077C4">
              <w:rPr>
                <w:rFonts w:ascii="Calibri" w:eastAsia="Calibri" w:hAnsi="Calibri" w:cs="Calibri"/>
                <w:sz w:val="18"/>
                <w:szCs w:val="18"/>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35CF47A6" w14:textId="038A5271" w:rsidR="76807B70" w:rsidRDefault="6C4077C4" w:rsidP="76807B70">
            <w:pPr>
              <w:jc w:val="center"/>
              <w:rPr>
                <w:szCs w:val="20"/>
                <w:lang w:val="en-GB"/>
              </w:rPr>
            </w:pPr>
            <w:r w:rsidRPr="6C4077C4">
              <w:rPr>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0E965020" w14:textId="40B4675E" w:rsidR="76807B70" w:rsidRDefault="6C4077C4" w:rsidP="76807B70">
            <w:pPr>
              <w:jc w:val="center"/>
              <w:rPr>
                <w:szCs w:val="20"/>
                <w:lang w:val="en-GB"/>
              </w:rPr>
            </w:pPr>
            <w:r w:rsidRPr="6C4077C4">
              <w:rPr>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2B91F71B" w14:textId="5611128D" w:rsidR="76807B70" w:rsidRDefault="6C4077C4" w:rsidP="76807B70">
            <w:pPr>
              <w:jc w:val="center"/>
              <w:rPr>
                <w:szCs w:val="20"/>
                <w:lang w:val="en-GB"/>
              </w:rPr>
            </w:pPr>
            <w:r w:rsidRPr="6C4077C4">
              <w:rPr>
                <w:sz w:val="18"/>
                <w:szCs w:val="18"/>
                <w:lang w:val="en-GB"/>
              </w:rPr>
              <w:t>Yes</w:t>
            </w:r>
          </w:p>
        </w:tc>
        <w:tc>
          <w:tcPr>
            <w:tcW w:w="895" w:type="dxa"/>
            <w:tcBorders>
              <w:top w:val="single" w:sz="4" w:space="0" w:color="auto"/>
              <w:left w:val="single" w:sz="4" w:space="0" w:color="auto"/>
              <w:bottom w:val="single" w:sz="4" w:space="0" w:color="auto"/>
              <w:right w:val="single" w:sz="4" w:space="0" w:color="auto"/>
            </w:tcBorders>
            <w:vAlign w:val="center"/>
          </w:tcPr>
          <w:p w14:paraId="3022B6B8" w14:textId="57C3850D" w:rsidR="76807B70" w:rsidRDefault="6C4077C4" w:rsidP="76807B70">
            <w:pPr>
              <w:jc w:val="center"/>
              <w:rPr>
                <w:szCs w:val="20"/>
                <w:lang w:val="en-GB"/>
              </w:rPr>
            </w:pPr>
            <w:r w:rsidRPr="6C4077C4">
              <w:rPr>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353723F6" w14:textId="1264821D" w:rsidR="76807B70" w:rsidRDefault="6C4077C4" w:rsidP="76807B70">
            <w:pPr>
              <w:jc w:val="center"/>
              <w:rPr>
                <w:szCs w:val="20"/>
                <w:lang w:val="en-GB"/>
              </w:rPr>
            </w:pPr>
            <w:r w:rsidRPr="6C4077C4">
              <w:rPr>
                <w:sz w:val="18"/>
                <w:szCs w:val="18"/>
                <w:lang w:val="en-GB"/>
              </w:rPr>
              <w:t>COBIT</w:t>
            </w:r>
            <w:r w:rsidR="009A2404">
              <w:rPr>
                <w:sz w:val="18"/>
                <w:szCs w:val="18"/>
                <w:lang w:val="en-GB"/>
              </w:rPr>
              <w:t xml:space="preserve"> </w:t>
            </w:r>
            <w:r w:rsidR="009A2404" w:rsidRPr="000723F0">
              <w:rPr>
                <w:rFonts w:ascii="Calibri" w:eastAsia="Calibri" w:hAnsi="Calibri" w:cs="Calibri"/>
                <w:bCs/>
                <w:sz w:val="18"/>
                <w:szCs w:val="18"/>
              </w:rPr>
              <w:t>MEA03.01</w:t>
            </w:r>
          </w:p>
        </w:tc>
      </w:tr>
    </w:tbl>
    <w:p w14:paraId="518E1D79" w14:textId="77777777" w:rsidR="009A2404" w:rsidRDefault="009A2404"/>
    <w:tbl>
      <w:tblPr>
        <w:tblStyle w:val="TableGrid"/>
        <w:tblW w:w="962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421"/>
        <w:gridCol w:w="3543"/>
        <w:gridCol w:w="3686"/>
        <w:gridCol w:w="1975"/>
      </w:tblGrid>
      <w:tr w:rsidR="00F23936" w:rsidRPr="00127CA4" w14:paraId="2D3C68BA" w14:textId="72662C56" w:rsidTr="000723F0">
        <w:tc>
          <w:tcPr>
            <w:tcW w:w="9625" w:type="dxa"/>
            <w:gridSpan w:val="4"/>
            <w:tcBorders>
              <w:top w:val="single" w:sz="4" w:space="0" w:color="FFFFFF" w:themeColor="background1"/>
              <w:left w:val="single" w:sz="4" w:space="0" w:color="FFFFFF" w:themeColor="background1"/>
              <w:bottom w:val="single" w:sz="4" w:space="0" w:color="FFFFFF" w:themeColor="background1"/>
              <w:right w:val="single" w:sz="4" w:space="0" w:color="auto"/>
            </w:tcBorders>
            <w:shd w:val="clear" w:color="auto" w:fill="C45911" w:themeFill="accent2" w:themeFillShade="BF"/>
          </w:tcPr>
          <w:p w14:paraId="465E5DAC" w14:textId="7016426A" w:rsidR="00F23936" w:rsidRPr="000723F0" w:rsidRDefault="00F23936" w:rsidP="000009F1">
            <w:pPr>
              <w:pStyle w:val="ListParagraph"/>
              <w:numPr>
                <w:ilvl w:val="0"/>
                <w:numId w:val="10"/>
              </w:numPr>
              <w:spacing w:before="40" w:after="40"/>
              <w:rPr>
                <w:b/>
                <w:bCs/>
                <w:color w:val="FFFFFF" w:themeColor="background1"/>
                <w:sz w:val="22"/>
                <w:szCs w:val="24"/>
                <w:lang w:val="en-GB"/>
              </w:rPr>
            </w:pPr>
            <w:r w:rsidRPr="000723F0">
              <w:rPr>
                <w:b/>
                <w:bCs/>
                <w:color w:val="FFFFFF" w:themeColor="background1"/>
                <w:sz w:val="22"/>
                <w:szCs w:val="24"/>
                <w:lang w:val="en-GB"/>
              </w:rPr>
              <w:t>Key Risk Indicators</w:t>
            </w:r>
          </w:p>
        </w:tc>
      </w:tr>
      <w:tr w:rsidR="00F23936" w:rsidRPr="003238C1" w14:paraId="03921FCF" w14:textId="77777777" w:rsidTr="003E5ACF">
        <w:tc>
          <w:tcPr>
            <w:tcW w:w="421"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018A67DD" w14:textId="056BA288" w:rsidR="00F23936" w:rsidRPr="003238C1" w:rsidRDefault="00F23936" w:rsidP="000009F1">
            <w:pPr>
              <w:ind w:right="311"/>
              <w:rPr>
                <w:b/>
                <w:bCs/>
                <w:smallCaps/>
                <w:color w:val="FFFFFF" w:themeColor="background1"/>
                <w:sz w:val="18"/>
                <w:szCs w:val="18"/>
                <w:lang w:val="en-GB"/>
              </w:rPr>
            </w:pPr>
          </w:p>
        </w:tc>
        <w:tc>
          <w:tcPr>
            <w:tcW w:w="354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vAlign w:val="center"/>
          </w:tcPr>
          <w:p w14:paraId="35BF36EB" w14:textId="471B74C5" w:rsidR="00F23936" w:rsidRPr="000723F0" w:rsidRDefault="00F23936" w:rsidP="009A2404">
            <w:pPr>
              <w:rPr>
                <w:b/>
                <w:bCs/>
                <w:color w:val="FFFFFF" w:themeColor="background1"/>
                <w:sz w:val="18"/>
                <w:szCs w:val="18"/>
                <w:lang w:val="en-GB"/>
              </w:rPr>
            </w:pPr>
            <w:r>
              <w:rPr>
                <w:b/>
                <w:bCs/>
                <w:color w:val="FFFFFF" w:themeColor="background1"/>
                <w:sz w:val="18"/>
                <w:szCs w:val="18"/>
                <w:lang w:val="en-GB"/>
              </w:rPr>
              <w:t>Indicator</w:t>
            </w:r>
          </w:p>
        </w:tc>
        <w:tc>
          <w:tcPr>
            <w:tcW w:w="3686"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03AAA09B" w14:textId="4CCF263B" w:rsidR="00F23936" w:rsidRPr="003238C1" w:rsidRDefault="00F23936" w:rsidP="009A2404">
            <w:pPr>
              <w:jc w:val="center"/>
              <w:rPr>
                <w:b/>
                <w:bCs/>
                <w:smallCaps/>
                <w:color w:val="FFFFFF" w:themeColor="background1"/>
                <w:sz w:val="18"/>
                <w:szCs w:val="18"/>
                <w:lang w:val="en-GB"/>
              </w:rPr>
            </w:pPr>
            <w:r w:rsidRPr="00875EB9">
              <w:rPr>
                <w:b/>
                <w:bCs/>
                <w:color w:val="FFFFFF" w:themeColor="background1"/>
                <w:sz w:val="18"/>
                <w:szCs w:val="18"/>
                <w:lang w:val="en-GB"/>
              </w:rPr>
              <w:t>KRI Description</w:t>
            </w:r>
          </w:p>
        </w:tc>
        <w:tc>
          <w:tcPr>
            <w:tcW w:w="1975" w:type="dxa"/>
            <w:tcBorders>
              <w:top w:val="single" w:sz="4" w:space="0" w:color="FFFFFF" w:themeColor="background1"/>
              <w:left w:val="single" w:sz="4" w:space="0" w:color="FFFFFF" w:themeColor="background1"/>
              <w:bottom w:val="single" w:sz="4" w:space="0" w:color="auto"/>
              <w:right w:val="single" w:sz="4" w:space="0" w:color="auto"/>
            </w:tcBorders>
            <w:shd w:val="clear" w:color="auto" w:fill="F4B083" w:themeFill="accent2" w:themeFillTint="99"/>
          </w:tcPr>
          <w:p w14:paraId="7D93CFC2" w14:textId="77D9FEB0" w:rsidR="00F23936" w:rsidRPr="000723F0" w:rsidRDefault="00F23936" w:rsidP="000009F1">
            <w:pPr>
              <w:jc w:val="center"/>
              <w:rPr>
                <w:b/>
                <w:bCs/>
                <w:color w:val="FFFFFF" w:themeColor="background1"/>
                <w:sz w:val="18"/>
                <w:szCs w:val="18"/>
                <w:lang w:val="en-GB"/>
              </w:rPr>
            </w:pPr>
            <w:r w:rsidRPr="000723F0">
              <w:rPr>
                <w:b/>
                <w:bCs/>
                <w:color w:val="FFFFFF" w:themeColor="background1"/>
                <w:sz w:val="18"/>
                <w:szCs w:val="18"/>
                <w:lang w:val="en-GB"/>
              </w:rPr>
              <w:t>Lead/Lag</w:t>
            </w:r>
          </w:p>
        </w:tc>
      </w:tr>
      <w:tr w:rsidR="00F23936" w:rsidRPr="003238C1" w14:paraId="0199D40C" w14:textId="77777777" w:rsidTr="003E5ACF">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17DB0964" w14:textId="66B26526" w:rsidR="00F23936" w:rsidRPr="000723F0" w:rsidRDefault="00F23936" w:rsidP="000009F1">
            <w:pPr>
              <w:spacing w:before="40" w:after="40"/>
              <w:ind w:right="-106"/>
              <w:rPr>
                <w:rFonts w:cstheme="minorHAnsi"/>
                <w:bCs/>
                <w:sz w:val="18"/>
                <w:szCs w:val="18"/>
                <w:lang w:val="en-GB"/>
              </w:rPr>
            </w:pPr>
            <w:r w:rsidRPr="000723F0">
              <w:rPr>
                <w:rFonts w:cstheme="minorHAnsi"/>
                <w:bCs/>
                <w:sz w:val="18"/>
                <w:szCs w:val="18"/>
                <w:lang w:val="en-GB"/>
              </w:rPr>
              <w:t>1</w:t>
            </w:r>
          </w:p>
        </w:tc>
        <w:tc>
          <w:tcPr>
            <w:tcW w:w="3543" w:type="dxa"/>
            <w:tcBorders>
              <w:top w:val="single" w:sz="4" w:space="0" w:color="auto"/>
              <w:left w:val="single" w:sz="4" w:space="0" w:color="auto"/>
              <w:bottom w:val="single" w:sz="4" w:space="0" w:color="auto"/>
              <w:right w:val="single" w:sz="4" w:space="0" w:color="auto"/>
            </w:tcBorders>
            <w:vAlign w:val="center"/>
          </w:tcPr>
          <w:p w14:paraId="4903F5DA" w14:textId="7B5B9871" w:rsidR="00F23936" w:rsidRPr="00906B8E" w:rsidRDefault="00F23936" w:rsidP="6C4077C4">
            <w:pPr>
              <w:spacing w:before="40" w:after="40" w:line="259" w:lineRule="auto"/>
              <w:rPr>
                <w:rFonts w:eastAsia="Calibri" w:cstheme="minorHAnsi"/>
                <w:color w:val="000000" w:themeColor="text1"/>
                <w:sz w:val="18"/>
                <w:szCs w:val="18"/>
                <w:lang w:val="en-GB"/>
              </w:rPr>
            </w:pPr>
            <w:r w:rsidRPr="00906B8E">
              <w:rPr>
                <w:rFonts w:eastAsia="Calibri" w:cstheme="minorHAnsi"/>
                <w:color w:val="000000" w:themeColor="text1"/>
                <w:sz w:val="18"/>
                <w:szCs w:val="18"/>
                <w:lang w:val="en-GB"/>
              </w:rPr>
              <w:t>Policies and procedures</w:t>
            </w:r>
          </w:p>
        </w:tc>
        <w:tc>
          <w:tcPr>
            <w:tcW w:w="3686" w:type="dxa"/>
            <w:tcBorders>
              <w:top w:val="single" w:sz="4" w:space="0" w:color="auto"/>
              <w:left w:val="single" w:sz="4" w:space="0" w:color="auto"/>
              <w:bottom w:val="single" w:sz="4" w:space="0" w:color="auto"/>
              <w:right w:val="single" w:sz="4" w:space="0" w:color="auto"/>
            </w:tcBorders>
            <w:vAlign w:val="center"/>
          </w:tcPr>
          <w:p w14:paraId="37FB92B3" w14:textId="2DEFEC39" w:rsidR="00F23936" w:rsidRPr="00906B8E" w:rsidRDefault="00F23936" w:rsidP="6C4077C4">
            <w:pPr>
              <w:spacing w:before="40" w:after="40" w:line="259" w:lineRule="auto"/>
              <w:jc w:val="both"/>
              <w:rPr>
                <w:rFonts w:eastAsia="Calibri" w:cstheme="minorHAnsi"/>
                <w:color w:val="000000" w:themeColor="text1"/>
                <w:sz w:val="18"/>
                <w:szCs w:val="18"/>
                <w:lang w:val="en-GB"/>
              </w:rPr>
            </w:pPr>
            <w:r w:rsidRPr="00906B8E">
              <w:rPr>
                <w:rFonts w:eastAsia="Calibri" w:cstheme="minorHAnsi"/>
                <w:color w:val="000000" w:themeColor="text1"/>
                <w:sz w:val="18"/>
                <w:szCs w:val="18"/>
              </w:rPr>
              <w:t>Percent</w:t>
            </w:r>
            <w:r>
              <w:rPr>
                <w:rFonts w:eastAsia="Calibri" w:cstheme="minorHAnsi"/>
                <w:color w:val="000000" w:themeColor="text1"/>
                <w:sz w:val="18"/>
                <w:szCs w:val="18"/>
              </w:rPr>
              <w:t>age</w:t>
            </w:r>
            <w:r w:rsidRPr="00906B8E">
              <w:rPr>
                <w:rFonts w:eastAsia="Calibri" w:cstheme="minorHAnsi"/>
                <w:color w:val="000000" w:themeColor="text1"/>
                <w:sz w:val="18"/>
                <w:szCs w:val="18"/>
              </w:rPr>
              <w:t xml:space="preserve"> of active policies and procedures that are documented and up to date</w:t>
            </w:r>
          </w:p>
        </w:tc>
        <w:tc>
          <w:tcPr>
            <w:tcW w:w="1975" w:type="dxa"/>
            <w:tcBorders>
              <w:top w:val="single" w:sz="4" w:space="0" w:color="auto"/>
              <w:left w:val="single" w:sz="4" w:space="0" w:color="auto"/>
              <w:bottom w:val="single" w:sz="4" w:space="0" w:color="auto"/>
              <w:right w:val="single" w:sz="4" w:space="0" w:color="auto"/>
            </w:tcBorders>
            <w:vAlign w:val="center"/>
          </w:tcPr>
          <w:p w14:paraId="3294A293" w14:textId="6DF5D077" w:rsidR="00F23936" w:rsidRPr="00906B8E" w:rsidRDefault="00F23936" w:rsidP="005C60C7">
            <w:pPr>
              <w:spacing w:before="40" w:after="40"/>
              <w:ind w:left="35"/>
              <w:jc w:val="center"/>
              <w:rPr>
                <w:rFonts w:cstheme="minorHAnsi"/>
                <w:sz w:val="18"/>
                <w:szCs w:val="18"/>
                <w:lang w:val="en-GB"/>
              </w:rPr>
            </w:pPr>
            <w:r w:rsidRPr="00906B8E">
              <w:rPr>
                <w:rFonts w:cstheme="minorHAnsi"/>
                <w:sz w:val="18"/>
                <w:szCs w:val="18"/>
                <w:lang w:val="en-GB"/>
              </w:rPr>
              <w:t>Lead</w:t>
            </w:r>
          </w:p>
        </w:tc>
      </w:tr>
      <w:tr w:rsidR="00F23936" w14:paraId="559F535B" w14:textId="77777777" w:rsidTr="003E5ACF">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4BDD8CA2" w14:textId="768E0C4E" w:rsidR="00F23936" w:rsidRPr="000723F0" w:rsidRDefault="00F23936" w:rsidP="6C4077C4">
            <w:pPr>
              <w:rPr>
                <w:rFonts w:cstheme="minorHAnsi"/>
                <w:bCs/>
                <w:sz w:val="18"/>
                <w:szCs w:val="18"/>
                <w:lang w:val="en-GB"/>
              </w:rPr>
            </w:pPr>
            <w:r w:rsidRPr="000723F0">
              <w:rPr>
                <w:rFonts w:cstheme="minorHAnsi"/>
                <w:bCs/>
                <w:sz w:val="18"/>
                <w:szCs w:val="18"/>
                <w:lang w:val="en-GB"/>
              </w:rPr>
              <w:t>2</w:t>
            </w:r>
          </w:p>
        </w:tc>
        <w:tc>
          <w:tcPr>
            <w:tcW w:w="3543" w:type="dxa"/>
            <w:tcBorders>
              <w:top w:val="single" w:sz="4" w:space="0" w:color="auto"/>
              <w:left w:val="single" w:sz="4" w:space="0" w:color="auto"/>
              <w:bottom w:val="single" w:sz="4" w:space="0" w:color="auto"/>
              <w:right w:val="single" w:sz="4" w:space="0" w:color="auto"/>
            </w:tcBorders>
            <w:vAlign w:val="center"/>
          </w:tcPr>
          <w:p w14:paraId="4BD3FD24" w14:textId="1016DD79" w:rsidR="00F23936" w:rsidRPr="00906B8E" w:rsidRDefault="00F23936" w:rsidP="6C4077C4">
            <w:pPr>
              <w:spacing w:line="259" w:lineRule="auto"/>
              <w:rPr>
                <w:rFonts w:eastAsia="Calibri" w:cstheme="minorHAnsi"/>
                <w:color w:val="000000" w:themeColor="text1"/>
                <w:sz w:val="18"/>
                <w:szCs w:val="18"/>
                <w:lang w:val="en-GB"/>
              </w:rPr>
            </w:pPr>
            <w:r w:rsidRPr="00906B8E">
              <w:rPr>
                <w:rFonts w:eastAsia="Calibri" w:cstheme="minorHAnsi"/>
                <w:color w:val="000000" w:themeColor="text1"/>
                <w:sz w:val="18"/>
                <w:szCs w:val="18"/>
                <w:lang w:val="en-GB"/>
              </w:rPr>
              <w:t xml:space="preserve">I&amp;T management </w:t>
            </w:r>
            <w:r>
              <w:rPr>
                <w:rFonts w:eastAsia="Calibri" w:cstheme="minorHAnsi"/>
                <w:color w:val="000000" w:themeColor="text1"/>
                <w:sz w:val="18"/>
                <w:szCs w:val="18"/>
                <w:lang w:val="en-GB"/>
              </w:rPr>
              <w:t>c</w:t>
            </w:r>
            <w:r w:rsidRPr="00906B8E">
              <w:rPr>
                <w:rFonts w:eastAsia="Calibri" w:cstheme="minorHAnsi"/>
                <w:color w:val="000000" w:themeColor="text1"/>
                <w:sz w:val="18"/>
                <w:szCs w:val="18"/>
                <w:lang w:val="en-GB"/>
              </w:rPr>
              <w:t>ommunications</w:t>
            </w:r>
          </w:p>
        </w:tc>
        <w:tc>
          <w:tcPr>
            <w:tcW w:w="3686" w:type="dxa"/>
            <w:tcBorders>
              <w:top w:val="single" w:sz="4" w:space="0" w:color="auto"/>
              <w:left w:val="single" w:sz="4" w:space="0" w:color="auto"/>
              <w:bottom w:val="single" w:sz="4" w:space="0" w:color="auto"/>
              <w:right w:val="single" w:sz="4" w:space="0" w:color="auto"/>
            </w:tcBorders>
            <w:vAlign w:val="center"/>
          </w:tcPr>
          <w:p w14:paraId="137C9E92" w14:textId="28617AA9" w:rsidR="00F23936" w:rsidRPr="00906B8E" w:rsidRDefault="00F23936" w:rsidP="6C4077C4">
            <w:pPr>
              <w:spacing w:line="259" w:lineRule="auto"/>
              <w:jc w:val="both"/>
              <w:rPr>
                <w:rFonts w:eastAsia="Calibri" w:cstheme="minorHAnsi"/>
                <w:color w:val="000000" w:themeColor="text1"/>
                <w:sz w:val="18"/>
                <w:szCs w:val="18"/>
              </w:rPr>
            </w:pPr>
            <w:r w:rsidRPr="00906B8E">
              <w:rPr>
                <w:rFonts w:eastAsia="Calibri" w:cstheme="minorHAnsi"/>
                <w:color w:val="000000" w:themeColor="text1"/>
                <w:sz w:val="18"/>
                <w:szCs w:val="18"/>
                <w:lang w:val="en-GB"/>
              </w:rPr>
              <w:t>Frequency of communication on management objectives and direction for I&amp;T</w:t>
            </w:r>
          </w:p>
        </w:tc>
        <w:tc>
          <w:tcPr>
            <w:tcW w:w="1975" w:type="dxa"/>
            <w:tcBorders>
              <w:top w:val="single" w:sz="4" w:space="0" w:color="auto"/>
              <w:left w:val="single" w:sz="4" w:space="0" w:color="auto"/>
              <w:bottom w:val="single" w:sz="4" w:space="0" w:color="auto"/>
              <w:right w:val="single" w:sz="4" w:space="0" w:color="auto"/>
            </w:tcBorders>
            <w:vAlign w:val="center"/>
          </w:tcPr>
          <w:p w14:paraId="5C3D857C" w14:textId="5F61101D" w:rsidR="00F23936" w:rsidRPr="00906B8E" w:rsidRDefault="00F23936" w:rsidP="005E337B">
            <w:pPr>
              <w:spacing w:before="40" w:after="40"/>
              <w:ind w:left="35"/>
              <w:jc w:val="center"/>
              <w:rPr>
                <w:rFonts w:cstheme="minorHAnsi"/>
                <w:sz w:val="18"/>
                <w:szCs w:val="18"/>
                <w:lang w:val="en-GB"/>
              </w:rPr>
            </w:pPr>
            <w:r w:rsidRPr="00906B8E">
              <w:rPr>
                <w:rFonts w:cstheme="minorHAnsi"/>
                <w:sz w:val="18"/>
                <w:szCs w:val="18"/>
                <w:lang w:val="en-GB"/>
              </w:rPr>
              <w:t>Lead</w:t>
            </w:r>
          </w:p>
        </w:tc>
      </w:tr>
      <w:tr w:rsidR="00F23936" w14:paraId="1DAB36A6" w14:textId="77777777" w:rsidTr="003E5ACF">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2B837524" w14:textId="67033C97" w:rsidR="00F23936" w:rsidRPr="000723F0" w:rsidRDefault="00F23936" w:rsidP="183DF259">
            <w:pPr>
              <w:rPr>
                <w:rFonts w:cstheme="minorHAnsi"/>
                <w:bCs/>
                <w:sz w:val="18"/>
                <w:szCs w:val="18"/>
                <w:lang w:val="en-GB"/>
              </w:rPr>
            </w:pPr>
            <w:r w:rsidRPr="000723F0">
              <w:rPr>
                <w:rFonts w:cstheme="minorHAnsi"/>
                <w:bCs/>
                <w:sz w:val="18"/>
                <w:szCs w:val="18"/>
                <w:lang w:val="en-GB"/>
              </w:rPr>
              <w:t>3</w:t>
            </w:r>
          </w:p>
        </w:tc>
        <w:tc>
          <w:tcPr>
            <w:tcW w:w="3543" w:type="dxa"/>
            <w:tcBorders>
              <w:top w:val="single" w:sz="4" w:space="0" w:color="auto"/>
              <w:left w:val="single" w:sz="4" w:space="0" w:color="auto"/>
              <w:bottom w:val="single" w:sz="4" w:space="0" w:color="auto"/>
              <w:right w:val="single" w:sz="4" w:space="0" w:color="auto"/>
            </w:tcBorders>
            <w:vAlign w:val="center"/>
          </w:tcPr>
          <w:p w14:paraId="42AC063A" w14:textId="345148DC" w:rsidR="00F23936" w:rsidRPr="00906B8E" w:rsidRDefault="00F23936" w:rsidP="183DF259">
            <w:pPr>
              <w:rPr>
                <w:rFonts w:cstheme="minorHAnsi"/>
                <w:sz w:val="18"/>
                <w:szCs w:val="18"/>
                <w:lang w:val="en-GB"/>
              </w:rPr>
            </w:pPr>
            <w:r w:rsidRPr="00906B8E">
              <w:rPr>
                <w:rFonts w:eastAsia="Calibri" w:cstheme="minorHAnsi"/>
                <w:color w:val="000000" w:themeColor="text1"/>
                <w:sz w:val="18"/>
                <w:szCs w:val="18"/>
                <w:lang w:val="en-GB"/>
              </w:rPr>
              <w:t xml:space="preserve">Human </w:t>
            </w:r>
            <w:r>
              <w:rPr>
                <w:rFonts w:eastAsia="Calibri" w:cstheme="minorHAnsi"/>
                <w:color w:val="000000" w:themeColor="text1"/>
                <w:sz w:val="18"/>
                <w:szCs w:val="18"/>
                <w:lang w:val="en-GB"/>
              </w:rPr>
              <w:t>r</w:t>
            </w:r>
            <w:r w:rsidRPr="00906B8E">
              <w:rPr>
                <w:rFonts w:eastAsia="Calibri" w:cstheme="minorHAnsi"/>
                <w:color w:val="000000" w:themeColor="text1"/>
                <w:sz w:val="18"/>
                <w:szCs w:val="18"/>
                <w:lang w:val="en-GB"/>
              </w:rPr>
              <w:t>esources management</w:t>
            </w:r>
          </w:p>
        </w:tc>
        <w:tc>
          <w:tcPr>
            <w:tcW w:w="3686" w:type="dxa"/>
            <w:tcBorders>
              <w:top w:val="single" w:sz="4" w:space="0" w:color="auto"/>
              <w:left w:val="single" w:sz="4" w:space="0" w:color="auto"/>
              <w:bottom w:val="single" w:sz="4" w:space="0" w:color="auto"/>
              <w:right w:val="single" w:sz="4" w:space="0" w:color="auto"/>
            </w:tcBorders>
            <w:vAlign w:val="center"/>
          </w:tcPr>
          <w:p w14:paraId="2DE664C5" w14:textId="6472AE1F" w:rsidR="00F23936" w:rsidRPr="00906B8E" w:rsidRDefault="00F23936" w:rsidP="183DF259">
            <w:pPr>
              <w:rPr>
                <w:rFonts w:cstheme="minorHAnsi"/>
                <w:sz w:val="18"/>
                <w:szCs w:val="18"/>
                <w:lang w:val="en-GB"/>
              </w:rPr>
            </w:pPr>
            <w:r w:rsidRPr="00906B8E">
              <w:rPr>
                <w:rFonts w:eastAsia="Calibri" w:cstheme="minorHAnsi"/>
                <w:color w:val="000000" w:themeColor="text1"/>
                <w:sz w:val="18"/>
                <w:szCs w:val="18"/>
                <w:lang w:val="en-GB"/>
              </w:rPr>
              <w:t>Number of training programs provided</w:t>
            </w:r>
          </w:p>
        </w:tc>
        <w:tc>
          <w:tcPr>
            <w:tcW w:w="1975" w:type="dxa"/>
            <w:tcBorders>
              <w:top w:val="single" w:sz="4" w:space="0" w:color="auto"/>
              <w:left w:val="single" w:sz="4" w:space="0" w:color="auto"/>
              <w:bottom w:val="single" w:sz="4" w:space="0" w:color="auto"/>
              <w:right w:val="single" w:sz="4" w:space="0" w:color="auto"/>
            </w:tcBorders>
            <w:vAlign w:val="center"/>
          </w:tcPr>
          <w:p w14:paraId="60FD6967" w14:textId="4880456B" w:rsidR="00F23936" w:rsidRPr="00906B8E" w:rsidRDefault="00F23936" w:rsidP="005E337B">
            <w:pPr>
              <w:spacing w:before="40" w:after="40"/>
              <w:ind w:left="35"/>
              <w:jc w:val="center"/>
              <w:rPr>
                <w:rFonts w:cstheme="minorHAnsi"/>
                <w:sz w:val="18"/>
                <w:szCs w:val="18"/>
                <w:lang w:val="en-GB"/>
              </w:rPr>
            </w:pPr>
            <w:r w:rsidRPr="00906B8E">
              <w:rPr>
                <w:rFonts w:cstheme="minorHAnsi"/>
                <w:sz w:val="18"/>
                <w:szCs w:val="18"/>
                <w:lang w:val="en-GB"/>
              </w:rPr>
              <w:t>Lead</w:t>
            </w:r>
          </w:p>
        </w:tc>
      </w:tr>
      <w:tr w:rsidR="00F23936" w14:paraId="0E55F0FC" w14:textId="77777777" w:rsidTr="003E5ACF">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6D335736" w14:textId="0AB8F5EB" w:rsidR="00F23936" w:rsidRPr="000723F0" w:rsidRDefault="00F23936" w:rsidP="183DF259">
            <w:pPr>
              <w:rPr>
                <w:rFonts w:cstheme="minorHAnsi"/>
                <w:bCs/>
                <w:sz w:val="18"/>
                <w:szCs w:val="18"/>
                <w:lang w:val="en-GB"/>
              </w:rPr>
            </w:pPr>
            <w:r w:rsidRPr="000723F0">
              <w:rPr>
                <w:rFonts w:cstheme="minorHAnsi"/>
                <w:bCs/>
                <w:sz w:val="18"/>
                <w:szCs w:val="18"/>
                <w:lang w:val="en-GB"/>
              </w:rPr>
              <w:t>4</w:t>
            </w:r>
          </w:p>
        </w:tc>
        <w:tc>
          <w:tcPr>
            <w:tcW w:w="3543" w:type="dxa"/>
            <w:tcBorders>
              <w:top w:val="single" w:sz="4" w:space="0" w:color="auto"/>
              <w:left w:val="single" w:sz="4" w:space="0" w:color="auto"/>
              <w:bottom w:val="single" w:sz="4" w:space="0" w:color="auto"/>
              <w:right w:val="single" w:sz="4" w:space="0" w:color="auto"/>
            </w:tcBorders>
            <w:vAlign w:val="center"/>
          </w:tcPr>
          <w:p w14:paraId="1BB77F84" w14:textId="31D2E026" w:rsidR="00F23936" w:rsidRPr="00906B8E" w:rsidRDefault="00F23936" w:rsidP="183DF259">
            <w:pPr>
              <w:rPr>
                <w:rFonts w:cstheme="minorHAnsi"/>
                <w:sz w:val="18"/>
                <w:szCs w:val="18"/>
                <w:lang w:val="en-GB"/>
              </w:rPr>
            </w:pPr>
            <w:r w:rsidRPr="00906B8E">
              <w:rPr>
                <w:rFonts w:eastAsia="Calibri" w:cstheme="minorHAnsi"/>
                <w:color w:val="000000" w:themeColor="text1"/>
                <w:sz w:val="18"/>
                <w:szCs w:val="18"/>
                <w:lang w:val="en-GB"/>
              </w:rPr>
              <w:t xml:space="preserve">Human </w:t>
            </w:r>
            <w:r>
              <w:rPr>
                <w:rFonts w:eastAsia="Calibri" w:cstheme="minorHAnsi"/>
                <w:color w:val="000000" w:themeColor="text1"/>
                <w:sz w:val="18"/>
                <w:szCs w:val="18"/>
                <w:lang w:val="en-GB"/>
              </w:rPr>
              <w:t>r</w:t>
            </w:r>
            <w:r w:rsidRPr="00906B8E">
              <w:rPr>
                <w:rFonts w:eastAsia="Calibri" w:cstheme="minorHAnsi"/>
                <w:color w:val="000000" w:themeColor="text1"/>
                <w:sz w:val="18"/>
                <w:szCs w:val="18"/>
                <w:lang w:val="en-GB"/>
              </w:rPr>
              <w:t>esources management</w:t>
            </w:r>
          </w:p>
        </w:tc>
        <w:tc>
          <w:tcPr>
            <w:tcW w:w="3686" w:type="dxa"/>
            <w:tcBorders>
              <w:top w:val="single" w:sz="4" w:space="0" w:color="auto"/>
              <w:left w:val="single" w:sz="4" w:space="0" w:color="auto"/>
              <w:bottom w:val="single" w:sz="4" w:space="0" w:color="auto"/>
              <w:right w:val="single" w:sz="4" w:space="0" w:color="auto"/>
            </w:tcBorders>
            <w:vAlign w:val="center"/>
          </w:tcPr>
          <w:p w14:paraId="367CAA44" w14:textId="3EEC7792" w:rsidR="00F23936" w:rsidRPr="00906B8E" w:rsidRDefault="00F23936" w:rsidP="183DF259">
            <w:pPr>
              <w:rPr>
                <w:rFonts w:cstheme="minorHAnsi"/>
                <w:sz w:val="18"/>
                <w:szCs w:val="18"/>
                <w:lang w:val="en-GB"/>
              </w:rPr>
            </w:pPr>
            <w:r w:rsidRPr="00906B8E">
              <w:rPr>
                <w:rFonts w:eastAsia="Calibri" w:cstheme="minorHAnsi"/>
                <w:sz w:val="18"/>
                <w:szCs w:val="18"/>
                <w:lang w:val="en-GB"/>
              </w:rPr>
              <w:t>Number of people trained on health and safety guidelines</w:t>
            </w:r>
          </w:p>
        </w:tc>
        <w:tc>
          <w:tcPr>
            <w:tcW w:w="1975" w:type="dxa"/>
            <w:tcBorders>
              <w:top w:val="single" w:sz="4" w:space="0" w:color="auto"/>
              <w:left w:val="single" w:sz="4" w:space="0" w:color="auto"/>
              <w:bottom w:val="single" w:sz="4" w:space="0" w:color="auto"/>
              <w:right w:val="single" w:sz="4" w:space="0" w:color="auto"/>
            </w:tcBorders>
            <w:vAlign w:val="center"/>
          </w:tcPr>
          <w:p w14:paraId="655828DC" w14:textId="0152EB01" w:rsidR="00F23936" w:rsidRPr="00906B8E" w:rsidRDefault="00F23936" w:rsidP="005C60C7">
            <w:pPr>
              <w:jc w:val="center"/>
              <w:rPr>
                <w:rFonts w:cstheme="minorHAnsi"/>
                <w:sz w:val="18"/>
                <w:szCs w:val="18"/>
                <w:lang w:val="en-GB"/>
              </w:rPr>
            </w:pPr>
            <w:r w:rsidRPr="00906B8E">
              <w:rPr>
                <w:rFonts w:cstheme="minorHAnsi"/>
                <w:sz w:val="18"/>
                <w:szCs w:val="18"/>
                <w:lang w:val="en-GB"/>
              </w:rPr>
              <w:t>Lead</w:t>
            </w:r>
          </w:p>
        </w:tc>
      </w:tr>
      <w:tr w:rsidR="00F23936" w14:paraId="35205281" w14:textId="77777777" w:rsidTr="003E5ACF">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5E240AFD" w14:textId="04509D0B" w:rsidR="00F23936" w:rsidRPr="000723F0" w:rsidRDefault="00F23936" w:rsidP="183DF259">
            <w:pPr>
              <w:rPr>
                <w:rFonts w:cstheme="minorHAnsi"/>
                <w:bCs/>
                <w:sz w:val="18"/>
                <w:szCs w:val="18"/>
                <w:lang w:val="en-GB"/>
              </w:rPr>
            </w:pPr>
            <w:r w:rsidRPr="000723F0">
              <w:rPr>
                <w:rFonts w:cstheme="minorHAnsi"/>
                <w:bCs/>
                <w:sz w:val="18"/>
                <w:szCs w:val="18"/>
                <w:lang w:val="en-GB"/>
              </w:rPr>
              <w:t>5</w:t>
            </w:r>
          </w:p>
        </w:tc>
        <w:tc>
          <w:tcPr>
            <w:tcW w:w="3543" w:type="dxa"/>
            <w:tcBorders>
              <w:top w:val="single" w:sz="4" w:space="0" w:color="auto"/>
              <w:left w:val="single" w:sz="4" w:space="0" w:color="auto"/>
              <w:bottom w:val="single" w:sz="4" w:space="0" w:color="auto"/>
              <w:right w:val="single" w:sz="4" w:space="0" w:color="auto"/>
            </w:tcBorders>
            <w:vAlign w:val="center"/>
          </w:tcPr>
          <w:p w14:paraId="6057E163" w14:textId="26DC145F" w:rsidR="00F23936" w:rsidRPr="00906B8E" w:rsidRDefault="00F23936" w:rsidP="183DF259">
            <w:pPr>
              <w:rPr>
                <w:rFonts w:cstheme="minorHAnsi"/>
                <w:sz w:val="18"/>
                <w:szCs w:val="18"/>
                <w:lang w:val="en-GB"/>
              </w:rPr>
            </w:pPr>
            <w:r w:rsidRPr="00906B8E">
              <w:rPr>
                <w:rFonts w:eastAsia="Calibri" w:cstheme="minorHAnsi"/>
                <w:color w:val="000000" w:themeColor="text1"/>
                <w:sz w:val="18"/>
                <w:szCs w:val="18"/>
                <w:lang w:val="en-GB"/>
              </w:rPr>
              <w:t xml:space="preserve">Human </w:t>
            </w:r>
            <w:r>
              <w:rPr>
                <w:rFonts w:eastAsia="Calibri" w:cstheme="minorHAnsi"/>
                <w:color w:val="000000" w:themeColor="text1"/>
                <w:sz w:val="18"/>
                <w:szCs w:val="18"/>
                <w:lang w:val="en-GB"/>
              </w:rPr>
              <w:t>r</w:t>
            </w:r>
            <w:r w:rsidRPr="00906B8E">
              <w:rPr>
                <w:rFonts w:eastAsia="Calibri" w:cstheme="minorHAnsi"/>
                <w:color w:val="000000" w:themeColor="text1"/>
                <w:sz w:val="18"/>
                <w:szCs w:val="18"/>
                <w:lang w:val="en-GB"/>
              </w:rPr>
              <w:t>esources management</w:t>
            </w:r>
          </w:p>
        </w:tc>
        <w:tc>
          <w:tcPr>
            <w:tcW w:w="3686" w:type="dxa"/>
            <w:tcBorders>
              <w:top w:val="single" w:sz="4" w:space="0" w:color="auto"/>
              <w:left w:val="single" w:sz="4" w:space="0" w:color="auto"/>
              <w:bottom w:val="single" w:sz="4" w:space="0" w:color="auto"/>
              <w:right w:val="single" w:sz="4" w:space="0" w:color="auto"/>
            </w:tcBorders>
            <w:vAlign w:val="center"/>
          </w:tcPr>
          <w:p w14:paraId="2816C5A5" w14:textId="252607C8" w:rsidR="00F23936" w:rsidRPr="00906B8E" w:rsidRDefault="00F23936" w:rsidP="6C4077C4">
            <w:pPr>
              <w:rPr>
                <w:rFonts w:eastAsia="Calibri" w:cstheme="minorHAnsi"/>
                <w:color w:val="000000" w:themeColor="text1"/>
                <w:sz w:val="18"/>
                <w:szCs w:val="18"/>
              </w:rPr>
            </w:pPr>
            <w:r w:rsidRPr="00906B8E">
              <w:rPr>
                <w:rFonts w:eastAsia="Calibri" w:cstheme="minorHAnsi"/>
                <w:color w:val="000000" w:themeColor="text1"/>
                <w:sz w:val="18"/>
                <w:szCs w:val="18"/>
              </w:rPr>
              <w:t>Number of staff aware and able to demonstrate competency with respect to policies and procedures</w:t>
            </w:r>
          </w:p>
        </w:tc>
        <w:tc>
          <w:tcPr>
            <w:tcW w:w="1975" w:type="dxa"/>
            <w:tcBorders>
              <w:top w:val="single" w:sz="4" w:space="0" w:color="auto"/>
              <w:left w:val="single" w:sz="4" w:space="0" w:color="auto"/>
              <w:bottom w:val="single" w:sz="4" w:space="0" w:color="auto"/>
              <w:right w:val="single" w:sz="4" w:space="0" w:color="auto"/>
            </w:tcBorders>
            <w:vAlign w:val="center"/>
          </w:tcPr>
          <w:p w14:paraId="6C54C03E" w14:textId="402CF1A0" w:rsidR="00F23936" w:rsidRPr="00906B8E" w:rsidRDefault="00F23936" w:rsidP="005C60C7">
            <w:pPr>
              <w:jc w:val="center"/>
              <w:rPr>
                <w:rFonts w:cstheme="minorHAnsi"/>
                <w:sz w:val="18"/>
                <w:szCs w:val="18"/>
                <w:lang w:val="en-GB"/>
              </w:rPr>
            </w:pPr>
            <w:r w:rsidRPr="00906B8E">
              <w:rPr>
                <w:rFonts w:cstheme="minorHAnsi"/>
                <w:sz w:val="18"/>
                <w:szCs w:val="18"/>
                <w:lang w:val="en-GB"/>
              </w:rPr>
              <w:t>Lead</w:t>
            </w:r>
          </w:p>
        </w:tc>
      </w:tr>
      <w:tr w:rsidR="00F23936" w:rsidRPr="003238C1" w14:paraId="731CAEE3" w14:textId="77777777" w:rsidTr="000723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0568887C" w14:textId="59A438CF" w:rsidR="00F23936" w:rsidRPr="000723F0" w:rsidRDefault="00F23936" w:rsidP="000009F1">
            <w:pPr>
              <w:spacing w:before="40" w:after="40"/>
              <w:ind w:right="-106"/>
              <w:rPr>
                <w:rFonts w:cstheme="minorHAnsi"/>
                <w:bCs/>
                <w:sz w:val="18"/>
                <w:szCs w:val="18"/>
                <w:lang w:val="en-GB"/>
              </w:rPr>
            </w:pPr>
            <w:r w:rsidRPr="000723F0">
              <w:rPr>
                <w:rFonts w:cstheme="minorHAnsi"/>
                <w:bCs/>
                <w:sz w:val="18"/>
                <w:szCs w:val="18"/>
                <w:lang w:val="en-GB"/>
              </w:rPr>
              <w:t>6</w:t>
            </w:r>
          </w:p>
        </w:tc>
        <w:tc>
          <w:tcPr>
            <w:tcW w:w="3543" w:type="dxa"/>
            <w:tcBorders>
              <w:top w:val="single" w:sz="4" w:space="0" w:color="auto"/>
              <w:left w:val="single" w:sz="4" w:space="0" w:color="auto"/>
              <w:bottom w:val="single" w:sz="4" w:space="0" w:color="auto"/>
              <w:right w:val="single" w:sz="4" w:space="0" w:color="auto"/>
            </w:tcBorders>
            <w:vAlign w:val="center"/>
          </w:tcPr>
          <w:p w14:paraId="1648B266" w14:textId="6462B053" w:rsidR="00F23936" w:rsidRPr="00906B8E" w:rsidRDefault="00F23936" w:rsidP="6C4077C4">
            <w:pPr>
              <w:spacing w:before="40" w:after="40"/>
              <w:rPr>
                <w:rFonts w:cstheme="minorHAnsi"/>
                <w:sz w:val="18"/>
                <w:szCs w:val="18"/>
                <w:lang w:val="en-GB"/>
              </w:rPr>
            </w:pPr>
            <w:r w:rsidRPr="00906B8E">
              <w:rPr>
                <w:rFonts w:eastAsia="Calibri" w:cstheme="minorHAnsi"/>
                <w:color w:val="000000" w:themeColor="text1"/>
                <w:sz w:val="18"/>
                <w:szCs w:val="18"/>
                <w:lang w:val="en-GB"/>
              </w:rPr>
              <w:t>Risk management</w:t>
            </w:r>
          </w:p>
        </w:tc>
        <w:tc>
          <w:tcPr>
            <w:tcW w:w="3686" w:type="dxa"/>
            <w:tcBorders>
              <w:top w:val="single" w:sz="4" w:space="0" w:color="auto"/>
              <w:left w:val="single" w:sz="4" w:space="0" w:color="auto"/>
              <w:bottom w:val="single" w:sz="4" w:space="0" w:color="auto"/>
              <w:right w:val="single" w:sz="4" w:space="0" w:color="auto"/>
            </w:tcBorders>
            <w:vAlign w:val="center"/>
          </w:tcPr>
          <w:p w14:paraId="7DF0BE9D" w14:textId="0DE4A290" w:rsidR="00F23936" w:rsidRPr="00906B8E" w:rsidRDefault="00F23936" w:rsidP="000009F1">
            <w:pPr>
              <w:spacing w:before="40" w:after="40"/>
              <w:rPr>
                <w:rFonts w:cstheme="minorHAnsi"/>
                <w:sz w:val="18"/>
                <w:szCs w:val="18"/>
              </w:rPr>
            </w:pPr>
            <w:r w:rsidRPr="00906B8E">
              <w:rPr>
                <w:rFonts w:eastAsia="Calibri" w:cstheme="minorHAnsi"/>
                <w:sz w:val="18"/>
                <w:szCs w:val="18"/>
                <w:lang w:val="en-GB"/>
              </w:rPr>
              <w:t>Number of risk scenarios defined for environmental threats</w:t>
            </w:r>
          </w:p>
        </w:tc>
        <w:tc>
          <w:tcPr>
            <w:tcW w:w="1975" w:type="dxa"/>
            <w:tcBorders>
              <w:top w:val="single" w:sz="4" w:space="0" w:color="auto"/>
              <w:left w:val="single" w:sz="4" w:space="0" w:color="auto"/>
              <w:bottom w:val="single" w:sz="4" w:space="0" w:color="auto"/>
              <w:right w:val="single" w:sz="4" w:space="0" w:color="auto"/>
            </w:tcBorders>
            <w:vAlign w:val="center"/>
          </w:tcPr>
          <w:p w14:paraId="46BE3465" w14:textId="703375C9" w:rsidR="00F23936" w:rsidRPr="00906B8E" w:rsidRDefault="00F23936" w:rsidP="005C60C7">
            <w:pPr>
              <w:spacing w:before="40" w:after="40"/>
              <w:ind w:left="35"/>
              <w:jc w:val="center"/>
              <w:rPr>
                <w:rFonts w:cstheme="minorHAnsi"/>
                <w:sz w:val="18"/>
                <w:szCs w:val="18"/>
                <w:lang w:val="en-GB"/>
              </w:rPr>
            </w:pPr>
            <w:r w:rsidRPr="00906B8E">
              <w:rPr>
                <w:rFonts w:cstheme="minorHAnsi"/>
                <w:sz w:val="18"/>
                <w:szCs w:val="18"/>
                <w:lang w:val="en-GB"/>
              </w:rPr>
              <w:t>Lead</w:t>
            </w:r>
          </w:p>
        </w:tc>
      </w:tr>
      <w:tr w:rsidR="00F23936" w:rsidRPr="003238C1" w14:paraId="49A110FA" w14:textId="77777777" w:rsidTr="000723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2E6E30C7" w14:textId="35A43133" w:rsidR="00F23936" w:rsidRPr="000723F0" w:rsidRDefault="00F23936" w:rsidP="000009F1">
            <w:pPr>
              <w:spacing w:before="40" w:after="40"/>
              <w:ind w:right="-106"/>
              <w:rPr>
                <w:rFonts w:cstheme="minorHAnsi"/>
                <w:bCs/>
                <w:sz w:val="18"/>
                <w:szCs w:val="18"/>
                <w:lang w:val="en-GB"/>
              </w:rPr>
            </w:pPr>
            <w:r w:rsidRPr="000723F0">
              <w:rPr>
                <w:rFonts w:cstheme="minorHAnsi"/>
                <w:bCs/>
                <w:sz w:val="18"/>
                <w:szCs w:val="18"/>
                <w:lang w:val="en-GB"/>
              </w:rPr>
              <w:t>7</w:t>
            </w:r>
          </w:p>
        </w:tc>
        <w:tc>
          <w:tcPr>
            <w:tcW w:w="3543" w:type="dxa"/>
            <w:tcBorders>
              <w:top w:val="single" w:sz="4" w:space="0" w:color="auto"/>
              <w:left w:val="single" w:sz="4" w:space="0" w:color="auto"/>
              <w:bottom w:val="single" w:sz="4" w:space="0" w:color="auto"/>
              <w:right w:val="single" w:sz="4" w:space="0" w:color="auto"/>
            </w:tcBorders>
            <w:vAlign w:val="center"/>
          </w:tcPr>
          <w:p w14:paraId="545214F0" w14:textId="284B87B5" w:rsidR="00F23936" w:rsidRPr="00906B8E" w:rsidRDefault="00F23936" w:rsidP="000009F1">
            <w:pPr>
              <w:spacing w:before="40" w:after="40"/>
              <w:rPr>
                <w:rFonts w:cstheme="minorHAnsi"/>
                <w:sz w:val="18"/>
                <w:szCs w:val="18"/>
                <w:lang w:val="en-GB"/>
              </w:rPr>
            </w:pPr>
            <w:r w:rsidRPr="00906B8E">
              <w:rPr>
                <w:rFonts w:cstheme="minorHAnsi"/>
                <w:sz w:val="18"/>
                <w:szCs w:val="18"/>
                <w:lang w:val="en-GB"/>
              </w:rPr>
              <w:t xml:space="preserve">Risk </w:t>
            </w:r>
            <w:r>
              <w:rPr>
                <w:rFonts w:cstheme="minorHAnsi"/>
                <w:sz w:val="18"/>
                <w:szCs w:val="18"/>
                <w:lang w:val="en-GB"/>
              </w:rPr>
              <w:t>m</w:t>
            </w:r>
            <w:r w:rsidRPr="00906B8E">
              <w:rPr>
                <w:rFonts w:cstheme="minorHAnsi"/>
                <w:sz w:val="18"/>
                <w:szCs w:val="18"/>
                <w:lang w:val="en-GB"/>
              </w:rPr>
              <w:t>anagement</w:t>
            </w:r>
          </w:p>
        </w:tc>
        <w:tc>
          <w:tcPr>
            <w:tcW w:w="3686" w:type="dxa"/>
            <w:tcBorders>
              <w:top w:val="single" w:sz="4" w:space="0" w:color="auto"/>
              <w:left w:val="single" w:sz="4" w:space="0" w:color="auto"/>
              <w:bottom w:val="single" w:sz="4" w:space="0" w:color="auto"/>
              <w:right w:val="single" w:sz="4" w:space="0" w:color="auto"/>
            </w:tcBorders>
            <w:vAlign w:val="center"/>
          </w:tcPr>
          <w:p w14:paraId="6BFA2270" w14:textId="101F52F4" w:rsidR="00F23936" w:rsidRPr="00906B8E" w:rsidRDefault="00F23936" w:rsidP="6C4077C4">
            <w:pPr>
              <w:spacing w:before="40" w:after="40"/>
              <w:rPr>
                <w:rFonts w:eastAsia="Calibri" w:cstheme="minorHAnsi"/>
                <w:sz w:val="18"/>
                <w:szCs w:val="18"/>
                <w:lang w:val="en-GB"/>
              </w:rPr>
            </w:pPr>
            <w:r w:rsidRPr="00906B8E">
              <w:rPr>
                <w:rFonts w:eastAsia="Calibri" w:cstheme="minorHAnsi"/>
                <w:sz w:val="18"/>
                <w:szCs w:val="18"/>
                <w:lang w:val="en-GB"/>
              </w:rPr>
              <w:t>Frequency of compliance requirements reviews</w:t>
            </w:r>
          </w:p>
        </w:tc>
        <w:tc>
          <w:tcPr>
            <w:tcW w:w="1975" w:type="dxa"/>
            <w:tcBorders>
              <w:top w:val="single" w:sz="4" w:space="0" w:color="auto"/>
              <w:left w:val="single" w:sz="4" w:space="0" w:color="auto"/>
              <w:bottom w:val="single" w:sz="4" w:space="0" w:color="auto"/>
              <w:right w:val="single" w:sz="4" w:space="0" w:color="auto"/>
            </w:tcBorders>
            <w:vAlign w:val="center"/>
          </w:tcPr>
          <w:p w14:paraId="100E8098" w14:textId="21E381F8" w:rsidR="00F23936" w:rsidRPr="00906B8E" w:rsidRDefault="00F23936" w:rsidP="005C60C7">
            <w:pPr>
              <w:spacing w:before="40" w:after="40"/>
              <w:ind w:left="35"/>
              <w:jc w:val="center"/>
              <w:rPr>
                <w:rFonts w:cstheme="minorHAnsi"/>
                <w:sz w:val="18"/>
                <w:szCs w:val="18"/>
                <w:lang w:val="en-GB"/>
              </w:rPr>
            </w:pPr>
            <w:r w:rsidRPr="00906B8E">
              <w:rPr>
                <w:rFonts w:cstheme="minorHAnsi"/>
                <w:sz w:val="18"/>
                <w:szCs w:val="18"/>
                <w:lang w:val="en-GB"/>
              </w:rPr>
              <w:t>Lead</w:t>
            </w:r>
          </w:p>
        </w:tc>
      </w:tr>
      <w:tr w:rsidR="00F23936" w:rsidRPr="003238C1" w14:paraId="78183E45" w14:textId="77777777" w:rsidTr="000723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43152B39" w14:textId="49C8E475" w:rsidR="00F23936" w:rsidRPr="000723F0" w:rsidRDefault="00F23936" w:rsidP="000009F1">
            <w:pPr>
              <w:spacing w:before="40" w:after="40"/>
              <w:ind w:right="-106"/>
              <w:rPr>
                <w:rFonts w:cstheme="minorHAnsi"/>
                <w:bCs/>
                <w:sz w:val="18"/>
                <w:szCs w:val="18"/>
                <w:lang w:val="en-GB"/>
              </w:rPr>
            </w:pPr>
            <w:r w:rsidRPr="000723F0">
              <w:rPr>
                <w:rFonts w:cstheme="minorHAnsi"/>
                <w:bCs/>
                <w:sz w:val="18"/>
                <w:szCs w:val="18"/>
                <w:lang w:val="en-GB"/>
              </w:rPr>
              <w:t>8</w:t>
            </w:r>
          </w:p>
        </w:tc>
        <w:tc>
          <w:tcPr>
            <w:tcW w:w="3543" w:type="dxa"/>
            <w:tcBorders>
              <w:top w:val="single" w:sz="4" w:space="0" w:color="auto"/>
              <w:left w:val="single" w:sz="4" w:space="0" w:color="auto"/>
              <w:bottom w:val="single" w:sz="4" w:space="0" w:color="auto"/>
              <w:right w:val="single" w:sz="4" w:space="0" w:color="auto"/>
            </w:tcBorders>
            <w:vAlign w:val="center"/>
          </w:tcPr>
          <w:p w14:paraId="1E2812D5" w14:textId="2FFDD5F1" w:rsidR="00F23936" w:rsidRPr="00906B8E" w:rsidRDefault="00F23936" w:rsidP="6C4077C4">
            <w:pPr>
              <w:spacing w:before="40" w:after="40"/>
              <w:rPr>
                <w:rFonts w:cstheme="minorHAnsi"/>
                <w:sz w:val="18"/>
                <w:szCs w:val="18"/>
                <w:lang w:val="en-GB"/>
              </w:rPr>
            </w:pPr>
            <w:r w:rsidRPr="00906B8E">
              <w:rPr>
                <w:rFonts w:cstheme="minorHAnsi"/>
                <w:sz w:val="18"/>
                <w:szCs w:val="18"/>
                <w:lang w:val="en-GB"/>
              </w:rPr>
              <w:t xml:space="preserve">Risk </w:t>
            </w:r>
            <w:r>
              <w:rPr>
                <w:rFonts w:cstheme="minorHAnsi"/>
                <w:sz w:val="18"/>
                <w:szCs w:val="18"/>
                <w:lang w:val="en-GB"/>
              </w:rPr>
              <w:t>m</w:t>
            </w:r>
            <w:r w:rsidRPr="00906B8E">
              <w:rPr>
                <w:rFonts w:cstheme="minorHAnsi"/>
                <w:sz w:val="18"/>
                <w:szCs w:val="18"/>
                <w:lang w:val="en-GB"/>
              </w:rPr>
              <w:t>anagement</w:t>
            </w:r>
          </w:p>
        </w:tc>
        <w:tc>
          <w:tcPr>
            <w:tcW w:w="3686" w:type="dxa"/>
            <w:tcBorders>
              <w:top w:val="single" w:sz="4" w:space="0" w:color="auto"/>
              <w:left w:val="single" w:sz="4" w:space="0" w:color="auto"/>
              <w:bottom w:val="single" w:sz="4" w:space="0" w:color="auto"/>
              <w:right w:val="single" w:sz="4" w:space="0" w:color="auto"/>
            </w:tcBorders>
            <w:vAlign w:val="center"/>
          </w:tcPr>
          <w:p w14:paraId="02674927" w14:textId="18309B93" w:rsidR="00F23936" w:rsidRPr="00906B8E" w:rsidRDefault="00F23936" w:rsidP="6C4077C4">
            <w:pPr>
              <w:spacing w:before="40" w:after="40" w:line="259" w:lineRule="auto"/>
              <w:rPr>
                <w:rFonts w:eastAsia="Calibri" w:cstheme="minorHAnsi"/>
                <w:color w:val="000000" w:themeColor="text1"/>
                <w:sz w:val="18"/>
                <w:szCs w:val="18"/>
                <w:lang w:val="en-GB"/>
              </w:rPr>
            </w:pPr>
            <w:r w:rsidRPr="00906B8E">
              <w:rPr>
                <w:rFonts w:eastAsia="Calibri" w:cstheme="minorHAnsi"/>
                <w:color w:val="000000" w:themeColor="text1"/>
                <w:sz w:val="18"/>
                <w:szCs w:val="18"/>
              </w:rPr>
              <w:t>Number of critical noncompliance issues identified per year</w:t>
            </w:r>
          </w:p>
        </w:tc>
        <w:tc>
          <w:tcPr>
            <w:tcW w:w="1975" w:type="dxa"/>
            <w:tcBorders>
              <w:top w:val="single" w:sz="4" w:space="0" w:color="auto"/>
              <w:left w:val="single" w:sz="4" w:space="0" w:color="auto"/>
              <w:bottom w:val="single" w:sz="4" w:space="0" w:color="auto"/>
              <w:right w:val="single" w:sz="4" w:space="0" w:color="auto"/>
            </w:tcBorders>
            <w:vAlign w:val="center"/>
          </w:tcPr>
          <w:p w14:paraId="659E8A1F" w14:textId="1785FCBE" w:rsidR="00F23936" w:rsidRPr="00906B8E" w:rsidRDefault="00F23936" w:rsidP="005C60C7">
            <w:pPr>
              <w:spacing w:before="40" w:after="40"/>
              <w:ind w:left="35"/>
              <w:jc w:val="center"/>
              <w:rPr>
                <w:rFonts w:cstheme="minorHAnsi"/>
                <w:sz w:val="18"/>
                <w:szCs w:val="18"/>
                <w:lang w:val="en-GB"/>
              </w:rPr>
            </w:pPr>
            <w:r w:rsidRPr="00906B8E">
              <w:rPr>
                <w:rFonts w:cstheme="minorHAnsi"/>
                <w:sz w:val="18"/>
                <w:szCs w:val="18"/>
                <w:lang w:val="en-GB"/>
              </w:rPr>
              <w:t>Lead</w:t>
            </w:r>
          </w:p>
        </w:tc>
      </w:tr>
      <w:tr w:rsidR="00F23936" w:rsidRPr="003238C1" w14:paraId="19A0D5AB" w14:textId="77777777" w:rsidTr="000723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5FCDACBB" w14:textId="3D1DB317" w:rsidR="00F23936" w:rsidRPr="000723F0" w:rsidRDefault="00F23936" w:rsidP="005620DD">
            <w:pPr>
              <w:spacing w:before="40" w:after="40"/>
              <w:ind w:right="-106"/>
              <w:rPr>
                <w:rFonts w:cstheme="minorHAnsi"/>
                <w:bCs/>
                <w:sz w:val="18"/>
                <w:szCs w:val="18"/>
                <w:lang w:val="en-GB"/>
              </w:rPr>
            </w:pPr>
            <w:r w:rsidRPr="000723F0">
              <w:rPr>
                <w:rFonts w:cstheme="minorHAnsi"/>
                <w:bCs/>
                <w:sz w:val="18"/>
                <w:szCs w:val="18"/>
                <w:lang w:val="en-GB"/>
              </w:rPr>
              <w:t>9</w:t>
            </w:r>
          </w:p>
        </w:tc>
        <w:tc>
          <w:tcPr>
            <w:tcW w:w="3543" w:type="dxa"/>
            <w:tcBorders>
              <w:top w:val="single" w:sz="4" w:space="0" w:color="auto"/>
              <w:left w:val="single" w:sz="4" w:space="0" w:color="auto"/>
              <w:bottom w:val="single" w:sz="4" w:space="0" w:color="auto"/>
              <w:right w:val="single" w:sz="4" w:space="0" w:color="auto"/>
            </w:tcBorders>
            <w:vAlign w:val="center"/>
          </w:tcPr>
          <w:p w14:paraId="70685F84" w14:textId="44D57F4A" w:rsidR="00F23936" w:rsidRPr="00906B8E" w:rsidRDefault="00F23936" w:rsidP="6C4077C4">
            <w:pPr>
              <w:spacing w:before="40" w:after="40"/>
              <w:rPr>
                <w:rFonts w:cstheme="minorHAnsi"/>
                <w:sz w:val="18"/>
                <w:szCs w:val="18"/>
                <w:lang w:val="en-GB"/>
              </w:rPr>
            </w:pPr>
            <w:r w:rsidRPr="00906B8E">
              <w:rPr>
                <w:rFonts w:cstheme="minorHAnsi"/>
                <w:sz w:val="18"/>
                <w:szCs w:val="18"/>
                <w:lang w:val="en-GB"/>
              </w:rPr>
              <w:t xml:space="preserve">Risk </w:t>
            </w:r>
            <w:r>
              <w:rPr>
                <w:rFonts w:cstheme="minorHAnsi"/>
                <w:sz w:val="18"/>
                <w:szCs w:val="18"/>
                <w:lang w:val="en-GB"/>
              </w:rPr>
              <w:t>m</w:t>
            </w:r>
            <w:r w:rsidRPr="00906B8E">
              <w:rPr>
                <w:rFonts w:cstheme="minorHAnsi"/>
                <w:sz w:val="18"/>
                <w:szCs w:val="18"/>
                <w:lang w:val="en-GB"/>
              </w:rPr>
              <w:t>anagement</w:t>
            </w:r>
          </w:p>
        </w:tc>
        <w:tc>
          <w:tcPr>
            <w:tcW w:w="3686" w:type="dxa"/>
            <w:tcBorders>
              <w:top w:val="single" w:sz="4" w:space="0" w:color="auto"/>
              <w:left w:val="single" w:sz="4" w:space="0" w:color="auto"/>
              <w:bottom w:val="single" w:sz="4" w:space="0" w:color="auto"/>
              <w:right w:val="single" w:sz="4" w:space="0" w:color="auto"/>
            </w:tcBorders>
            <w:vAlign w:val="center"/>
          </w:tcPr>
          <w:p w14:paraId="6F254622" w14:textId="6845FFE0" w:rsidR="00F23936" w:rsidRPr="00906B8E" w:rsidRDefault="00F23936" w:rsidP="005620DD">
            <w:pPr>
              <w:spacing w:before="40" w:after="40"/>
              <w:rPr>
                <w:rFonts w:cstheme="minorHAnsi"/>
                <w:sz w:val="18"/>
                <w:szCs w:val="18"/>
              </w:rPr>
            </w:pPr>
            <w:r w:rsidRPr="00906B8E">
              <w:rPr>
                <w:rFonts w:eastAsia="Calibri" w:cstheme="minorHAnsi"/>
                <w:sz w:val="18"/>
                <w:szCs w:val="18"/>
                <w:lang w:val="en-GB"/>
              </w:rPr>
              <w:t>Percent</w:t>
            </w:r>
            <w:r>
              <w:rPr>
                <w:rFonts w:eastAsia="Calibri" w:cstheme="minorHAnsi"/>
                <w:sz w:val="18"/>
                <w:szCs w:val="18"/>
                <w:lang w:val="en-GB"/>
              </w:rPr>
              <w:t>age</w:t>
            </w:r>
            <w:r w:rsidRPr="00906B8E">
              <w:rPr>
                <w:rFonts w:eastAsia="Calibri" w:cstheme="minorHAnsi"/>
                <w:sz w:val="18"/>
                <w:szCs w:val="18"/>
                <w:lang w:val="en-GB"/>
              </w:rPr>
              <w:t xml:space="preserve"> of satisfaction of key stakeholders in regulatory review compliance process</w:t>
            </w:r>
          </w:p>
        </w:tc>
        <w:tc>
          <w:tcPr>
            <w:tcW w:w="1975" w:type="dxa"/>
            <w:tcBorders>
              <w:top w:val="single" w:sz="4" w:space="0" w:color="auto"/>
              <w:left w:val="single" w:sz="4" w:space="0" w:color="auto"/>
              <w:bottom w:val="single" w:sz="4" w:space="0" w:color="auto"/>
              <w:right w:val="single" w:sz="4" w:space="0" w:color="auto"/>
            </w:tcBorders>
            <w:vAlign w:val="center"/>
          </w:tcPr>
          <w:p w14:paraId="040077DF" w14:textId="340674FA" w:rsidR="00F23936" w:rsidRPr="00906B8E" w:rsidRDefault="00F23936" w:rsidP="005C60C7">
            <w:pPr>
              <w:spacing w:before="40" w:after="40"/>
              <w:ind w:left="35"/>
              <w:jc w:val="center"/>
              <w:rPr>
                <w:rFonts w:cstheme="minorHAnsi"/>
                <w:sz w:val="18"/>
                <w:szCs w:val="18"/>
                <w:lang w:val="en-GB"/>
              </w:rPr>
            </w:pPr>
            <w:r w:rsidRPr="00906B8E">
              <w:rPr>
                <w:rFonts w:cstheme="minorHAnsi"/>
                <w:sz w:val="18"/>
                <w:szCs w:val="18"/>
                <w:lang w:val="en-GB"/>
              </w:rPr>
              <w:t>Lead</w:t>
            </w:r>
          </w:p>
        </w:tc>
      </w:tr>
    </w:tbl>
    <w:p w14:paraId="1A84895C" w14:textId="77777777" w:rsidR="00B809CC" w:rsidRDefault="00B809CC"/>
    <w:sectPr w:rsidR="00B809CC" w:rsidSect="00A407EF">
      <w:headerReference w:type="default" r:id="rId10"/>
      <w:footerReference w:type="default" r:id="rId11"/>
      <w:pgSz w:w="11906" w:h="16838"/>
      <w:pgMar w:top="1304" w:right="1304" w:bottom="1304" w:left="13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81A41" w14:textId="77777777" w:rsidR="009F6E16" w:rsidRDefault="009F6E16" w:rsidP="00B809CC">
      <w:pPr>
        <w:spacing w:after="0" w:line="240" w:lineRule="auto"/>
      </w:pPr>
      <w:r>
        <w:separator/>
      </w:r>
    </w:p>
  </w:endnote>
  <w:endnote w:type="continuationSeparator" w:id="0">
    <w:p w14:paraId="1A0F6C66" w14:textId="77777777" w:rsidR="009F6E16" w:rsidRDefault="009F6E16" w:rsidP="00B80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606843"/>
      <w:docPartObj>
        <w:docPartGallery w:val="Page Numbers (Bottom of Page)"/>
        <w:docPartUnique/>
      </w:docPartObj>
    </w:sdtPr>
    <w:sdtEndPr>
      <w:rPr>
        <w:noProof/>
      </w:rPr>
    </w:sdtEndPr>
    <w:sdtContent>
      <w:p w14:paraId="736CE931" w14:textId="593C9FD2" w:rsidR="004F36D6" w:rsidRDefault="375D38EA" w:rsidP="375D38EA">
        <w:pPr>
          <w:pStyle w:val="Footer"/>
          <w:pBdr>
            <w:top w:val="single" w:sz="4" w:space="1" w:color="auto"/>
          </w:pBdr>
          <w:jc w:val="center"/>
          <w:rPr>
            <w:color w:val="000000" w:themeColor="text1"/>
            <w:szCs w:val="20"/>
          </w:rPr>
        </w:pPr>
        <w:r w:rsidRPr="375D38EA">
          <w:rPr>
            <w:color w:val="000000" w:themeColor="text1"/>
            <w:sz w:val="19"/>
            <w:szCs w:val="19"/>
          </w:rPr>
          <w:t>@2022 ISACA. All Rights Reserved.</w:t>
        </w:r>
      </w:p>
      <w:p w14:paraId="02E96770" w14:textId="38216001" w:rsidR="00D47ACF" w:rsidRDefault="00D47ACF" w:rsidP="000767F4">
        <w:pPr>
          <w:pStyle w:val="Footer"/>
          <w:pBdr>
            <w:top w:val="single" w:sz="4" w:space="1" w:color="auto"/>
          </w:pBdr>
          <w:jc w:val="center"/>
        </w:pPr>
        <w:r>
          <w:fldChar w:fldCharType="begin"/>
        </w:r>
        <w:r>
          <w:instrText xml:space="preserve"> PAGE   \* MERGEFORMAT </w:instrText>
        </w:r>
        <w:r>
          <w:fldChar w:fldCharType="separate"/>
        </w:r>
        <w:r w:rsidR="00B43718">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A363E" w14:textId="77777777" w:rsidR="009F6E16" w:rsidRDefault="009F6E16" w:rsidP="00B809CC">
      <w:pPr>
        <w:spacing w:after="0" w:line="240" w:lineRule="auto"/>
      </w:pPr>
      <w:r>
        <w:separator/>
      </w:r>
    </w:p>
  </w:footnote>
  <w:footnote w:type="continuationSeparator" w:id="0">
    <w:p w14:paraId="1AD8F1C7" w14:textId="77777777" w:rsidR="009F6E16" w:rsidRDefault="009F6E16" w:rsidP="00B80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50055" w14:textId="3CF03389" w:rsidR="00D47ACF" w:rsidRDefault="00D47ACF" w:rsidP="375D38EA">
    <w:pPr>
      <w:pStyle w:val="Header"/>
      <w:pBdr>
        <w:bottom w:val="single" w:sz="4" w:space="1" w:color="auto"/>
      </w:pBdr>
      <w:jc w:val="right"/>
      <w:rPr>
        <w:noProof/>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16DF"/>
    <w:multiLevelType w:val="hybridMultilevel"/>
    <w:tmpl w:val="6D0A8712"/>
    <w:lvl w:ilvl="0" w:tplc="10000015">
      <w:start w:val="1"/>
      <w:numFmt w:val="upperLetter"/>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 w15:restartNumberingAfterBreak="0">
    <w:nsid w:val="03515752"/>
    <w:multiLevelType w:val="hybridMultilevel"/>
    <w:tmpl w:val="3EB29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FB47A6"/>
    <w:multiLevelType w:val="hybridMultilevel"/>
    <w:tmpl w:val="F7D2CEBA"/>
    <w:lvl w:ilvl="0" w:tplc="C840EA4A">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01702AC"/>
    <w:multiLevelType w:val="hybridMultilevel"/>
    <w:tmpl w:val="83CA6036"/>
    <w:lvl w:ilvl="0" w:tplc="C840EA4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8E2D12"/>
    <w:multiLevelType w:val="hybridMultilevel"/>
    <w:tmpl w:val="729EB3CA"/>
    <w:lvl w:ilvl="0" w:tplc="DB10928A">
      <w:start w:val="1"/>
      <w:numFmt w:val="bullet"/>
      <w:lvlText w:val="o"/>
      <w:lvlJc w:val="left"/>
      <w:pPr>
        <w:ind w:left="720" w:hanging="360"/>
      </w:pPr>
      <w:rPr>
        <w:rFonts w:ascii="Courier New" w:hAnsi="Courier New" w:hint="default"/>
      </w:rPr>
    </w:lvl>
    <w:lvl w:ilvl="1" w:tplc="66D0C01E">
      <w:start w:val="1"/>
      <w:numFmt w:val="bullet"/>
      <w:lvlText w:val="o"/>
      <w:lvlJc w:val="left"/>
      <w:pPr>
        <w:ind w:left="1440" w:hanging="360"/>
      </w:pPr>
      <w:rPr>
        <w:rFonts w:ascii="Courier New" w:hAnsi="Courier New" w:hint="default"/>
      </w:rPr>
    </w:lvl>
    <w:lvl w:ilvl="2" w:tplc="C4E06634">
      <w:start w:val="1"/>
      <w:numFmt w:val="bullet"/>
      <w:lvlText w:val=""/>
      <w:lvlJc w:val="left"/>
      <w:pPr>
        <w:ind w:left="2160" w:hanging="360"/>
      </w:pPr>
      <w:rPr>
        <w:rFonts w:ascii="Wingdings" w:hAnsi="Wingdings" w:hint="default"/>
      </w:rPr>
    </w:lvl>
    <w:lvl w:ilvl="3" w:tplc="3FC6DD74">
      <w:start w:val="1"/>
      <w:numFmt w:val="bullet"/>
      <w:lvlText w:val=""/>
      <w:lvlJc w:val="left"/>
      <w:pPr>
        <w:ind w:left="2880" w:hanging="360"/>
      </w:pPr>
      <w:rPr>
        <w:rFonts w:ascii="Symbol" w:hAnsi="Symbol" w:hint="default"/>
      </w:rPr>
    </w:lvl>
    <w:lvl w:ilvl="4" w:tplc="638EA254">
      <w:start w:val="1"/>
      <w:numFmt w:val="bullet"/>
      <w:lvlText w:val="o"/>
      <w:lvlJc w:val="left"/>
      <w:pPr>
        <w:ind w:left="3600" w:hanging="360"/>
      </w:pPr>
      <w:rPr>
        <w:rFonts w:ascii="Courier New" w:hAnsi="Courier New" w:hint="default"/>
      </w:rPr>
    </w:lvl>
    <w:lvl w:ilvl="5" w:tplc="188058EC">
      <w:start w:val="1"/>
      <w:numFmt w:val="bullet"/>
      <w:lvlText w:val=""/>
      <w:lvlJc w:val="left"/>
      <w:pPr>
        <w:ind w:left="4320" w:hanging="360"/>
      </w:pPr>
      <w:rPr>
        <w:rFonts w:ascii="Wingdings" w:hAnsi="Wingdings" w:hint="default"/>
      </w:rPr>
    </w:lvl>
    <w:lvl w:ilvl="6" w:tplc="DC2AC544">
      <w:start w:val="1"/>
      <w:numFmt w:val="bullet"/>
      <w:lvlText w:val=""/>
      <w:lvlJc w:val="left"/>
      <w:pPr>
        <w:ind w:left="5040" w:hanging="360"/>
      </w:pPr>
      <w:rPr>
        <w:rFonts w:ascii="Symbol" w:hAnsi="Symbol" w:hint="default"/>
      </w:rPr>
    </w:lvl>
    <w:lvl w:ilvl="7" w:tplc="5D90DA5A">
      <w:start w:val="1"/>
      <w:numFmt w:val="bullet"/>
      <w:lvlText w:val="o"/>
      <w:lvlJc w:val="left"/>
      <w:pPr>
        <w:ind w:left="5760" w:hanging="360"/>
      </w:pPr>
      <w:rPr>
        <w:rFonts w:ascii="Courier New" w:hAnsi="Courier New" w:hint="default"/>
      </w:rPr>
    </w:lvl>
    <w:lvl w:ilvl="8" w:tplc="2BFE1350">
      <w:start w:val="1"/>
      <w:numFmt w:val="bullet"/>
      <w:lvlText w:val=""/>
      <w:lvlJc w:val="left"/>
      <w:pPr>
        <w:ind w:left="6480" w:hanging="360"/>
      </w:pPr>
      <w:rPr>
        <w:rFonts w:ascii="Wingdings" w:hAnsi="Wingdings" w:hint="default"/>
      </w:rPr>
    </w:lvl>
  </w:abstractNum>
  <w:abstractNum w:abstractNumId="5" w15:restartNumberingAfterBreak="0">
    <w:nsid w:val="121555A0"/>
    <w:multiLevelType w:val="hybridMultilevel"/>
    <w:tmpl w:val="7250F396"/>
    <w:lvl w:ilvl="0" w:tplc="0409000D">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 w15:restartNumberingAfterBreak="0">
    <w:nsid w:val="19464AB3"/>
    <w:multiLevelType w:val="hybridMultilevel"/>
    <w:tmpl w:val="F5D2182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2793F45"/>
    <w:multiLevelType w:val="hybridMultilevel"/>
    <w:tmpl w:val="F1FE49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5637FB9"/>
    <w:multiLevelType w:val="hybridMultilevel"/>
    <w:tmpl w:val="498838F8"/>
    <w:lvl w:ilvl="0" w:tplc="9642DF08">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7A17A50"/>
    <w:multiLevelType w:val="hybridMultilevel"/>
    <w:tmpl w:val="5F5C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7B07F6"/>
    <w:multiLevelType w:val="hybridMultilevel"/>
    <w:tmpl w:val="32D0D9F8"/>
    <w:lvl w:ilvl="0" w:tplc="93107414">
      <w:start w:val="1"/>
      <w:numFmt w:val="bullet"/>
      <w:lvlText w:val=""/>
      <w:lvlJc w:val="left"/>
      <w:pPr>
        <w:ind w:left="360" w:hanging="360"/>
      </w:pPr>
      <w:rPr>
        <w:rFonts w:ascii="Symbol" w:hAnsi="Symbol" w:hint="default"/>
      </w:rPr>
    </w:lvl>
    <w:lvl w:ilvl="1" w:tplc="A4D4E546">
      <w:start w:val="1"/>
      <w:numFmt w:val="bullet"/>
      <w:lvlText w:val="o"/>
      <w:lvlJc w:val="left"/>
      <w:pPr>
        <w:ind w:left="1080" w:hanging="360"/>
      </w:pPr>
      <w:rPr>
        <w:rFonts w:ascii="Courier New" w:hAnsi="Courier New" w:hint="default"/>
      </w:rPr>
    </w:lvl>
    <w:lvl w:ilvl="2" w:tplc="3D983FDE">
      <w:start w:val="1"/>
      <w:numFmt w:val="bullet"/>
      <w:lvlText w:val=""/>
      <w:lvlJc w:val="left"/>
      <w:pPr>
        <w:ind w:left="1800" w:hanging="360"/>
      </w:pPr>
      <w:rPr>
        <w:rFonts w:ascii="Wingdings" w:hAnsi="Wingdings" w:hint="default"/>
      </w:rPr>
    </w:lvl>
    <w:lvl w:ilvl="3" w:tplc="76143E64">
      <w:start w:val="1"/>
      <w:numFmt w:val="bullet"/>
      <w:lvlText w:val=""/>
      <w:lvlJc w:val="left"/>
      <w:pPr>
        <w:ind w:left="2520" w:hanging="360"/>
      </w:pPr>
      <w:rPr>
        <w:rFonts w:ascii="Symbol" w:hAnsi="Symbol" w:hint="default"/>
      </w:rPr>
    </w:lvl>
    <w:lvl w:ilvl="4" w:tplc="06BA4726">
      <w:start w:val="1"/>
      <w:numFmt w:val="bullet"/>
      <w:lvlText w:val="o"/>
      <w:lvlJc w:val="left"/>
      <w:pPr>
        <w:ind w:left="3240" w:hanging="360"/>
      </w:pPr>
      <w:rPr>
        <w:rFonts w:ascii="Courier New" w:hAnsi="Courier New" w:hint="default"/>
      </w:rPr>
    </w:lvl>
    <w:lvl w:ilvl="5" w:tplc="D812E3BA">
      <w:start w:val="1"/>
      <w:numFmt w:val="bullet"/>
      <w:lvlText w:val=""/>
      <w:lvlJc w:val="left"/>
      <w:pPr>
        <w:ind w:left="3960" w:hanging="360"/>
      </w:pPr>
      <w:rPr>
        <w:rFonts w:ascii="Wingdings" w:hAnsi="Wingdings" w:hint="default"/>
      </w:rPr>
    </w:lvl>
    <w:lvl w:ilvl="6" w:tplc="11543EEE">
      <w:start w:val="1"/>
      <w:numFmt w:val="bullet"/>
      <w:lvlText w:val=""/>
      <w:lvlJc w:val="left"/>
      <w:pPr>
        <w:ind w:left="4680" w:hanging="360"/>
      </w:pPr>
      <w:rPr>
        <w:rFonts w:ascii="Symbol" w:hAnsi="Symbol" w:hint="default"/>
      </w:rPr>
    </w:lvl>
    <w:lvl w:ilvl="7" w:tplc="ABDED512">
      <w:start w:val="1"/>
      <w:numFmt w:val="bullet"/>
      <w:lvlText w:val="o"/>
      <w:lvlJc w:val="left"/>
      <w:pPr>
        <w:ind w:left="5400" w:hanging="360"/>
      </w:pPr>
      <w:rPr>
        <w:rFonts w:ascii="Courier New" w:hAnsi="Courier New" w:hint="default"/>
      </w:rPr>
    </w:lvl>
    <w:lvl w:ilvl="8" w:tplc="B11E65EE">
      <w:start w:val="1"/>
      <w:numFmt w:val="bullet"/>
      <w:lvlText w:val=""/>
      <w:lvlJc w:val="left"/>
      <w:pPr>
        <w:ind w:left="6120" w:hanging="360"/>
      </w:pPr>
      <w:rPr>
        <w:rFonts w:ascii="Wingdings" w:hAnsi="Wingdings" w:hint="default"/>
      </w:rPr>
    </w:lvl>
  </w:abstractNum>
  <w:abstractNum w:abstractNumId="11" w15:restartNumberingAfterBreak="0">
    <w:nsid w:val="33184AED"/>
    <w:multiLevelType w:val="hybridMultilevel"/>
    <w:tmpl w:val="436E46E4"/>
    <w:lvl w:ilvl="0" w:tplc="90B6260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B961674"/>
    <w:multiLevelType w:val="hybridMultilevel"/>
    <w:tmpl w:val="1D409D4E"/>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4C392A"/>
    <w:multiLevelType w:val="hybridMultilevel"/>
    <w:tmpl w:val="454CF424"/>
    <w:lvl w:ilvl="0" w:tplc="90B6260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4D091CFA"/>
    <w:multiLevelType w:val="hybridMultilevel"/>
    <w:tmpl w:val="5E2C2994"/>
    <w:lvl w:ilvl="0" w:tplc="04090001">
      <w:start w:val="1"/>
      <w:numFmt w:val="bullet"/>
      <w:lvlText w:val=""/>
      <w:lvlJc w:val="left"/>
      <w:pPr>
        <w:ind w:left="720" w:hanging="360"/>
      </w:pPr>
      <w:rPr>
        <w:rFonts w:ascii="Symbol" w:hAnsi="Symbol" w:hint="default"/>
      </w:rPr>
    </w:lvl>
    <w:lvl w:ilvl="1" w:tplc="84923F86">
      <w:start w:val="1"/>
      <w:numFmt w:val="bullet"/>
      <w:lvlText w:val="o"/>
      <w:lvlJc w:val="left"/>
      <w:pPr>
        <w:ind w:left="1440" w:hanging="360"/>
      </w:pPr>
      <w:rPr>
        <w:rFonts w:ascii="Courier New" w:hAnsi="Courier New" w:hint="default"/>
      </w:rPr>
    </w:lvl>
    <w:lvl w:ilvl="2" w:tplc="56C417C2">
      <w:start w:val="1"/>
      <w:numFmt w:val="bullet"/>
      <w:lvlText w:val=""/>
      <w:lvlJc w:val="left"/>
      <w:pPr>
        <w:ind w:left="2160" w:hanging="360"/>
      </w:pPr>
      <w:rPr>
        <w:rFonts w:ascii="Wingdings" w:hAnsi="Wingdings" w:hint="default"/>
      </w:rPr>
    </w:lvl>
    <w:lvl w:ilvl="3" w:tplc="AD4823F2">
      <w:start w:val="1"/>
      <w:numFmt w:val="bullet"/>
      <w:lvlText w:val=""/>
      <w:lvlJc w:val="left"/>
      <w:pPr>
        <w:ind w:left="2880" w:hanging="360"/>
      </w:pPr>
      <w:rPr>
        <w:rFonts w:ascii="Symbol" w:hAnsi="Symbol" w:hint="default"/>
      </w:rPr>
    </w:lvl>
    <w:lvl w:ilvl="4" w:tplc="60B2EB0A">
      <w:start w:val="1"/>
      <w:numFmt w:val="bullet"/>
      <w:lvlText w:val="o"/>
      <w:lvlJc w:val="left"/>
      <w:pPr>
        <w:ind w:left="3600" w:hanging="360"/>
      </w:pPr>
      <w:rPr>
        <w:rFonts w:ascii="Courier New" w:hAnsi="Courier New" w:hint="default"/>
      </w:rPr>
    </w:lvl>
    <w:lvl w:ilvl="5" w:tplc="67C6728A">
      <w:start w:val="1"/>
      <w:numFmt w:val="bullet"/>
      <w:lvlText w:val=""/>
      <w:lvlJc w:val="left"/>
      <w:pPr>
        <w:ind w:left="4320" w:hanging="360"/>
      </w:pPr>
      <w:rPr>
        <w:rFonts w:ascii="Wingdings" w:hAnsi="Wingdings" w:hint="default"/>
      </w:rPr>
    </w:lvl>
    <w:lvl w:ilvl="6" w:tplc="9E0000FA">
      <w:start w:val="1"/>
      <w:numFmt w:val="bullet"/>
      <w:lvlText w:val=""/>
      <w:lvlJc w:val="left"/>
      <w:pPr>
        <w:ind w:left="5040" w:hanging="360"/>
      </w:pPr>
      <w:rPr>
        <w:rFonts w:ascii="Symbol" w:hAnsi="Symbol" w:hint="default"/>
      </w:rPr>
    </w:lvl>
    <w:lvl w:ilvl="7" w:tplc="D79ACCB2">
      <w:start w:val="1"/>
      <w:numFmt w:val="bullet"/>
      <w:lvlText w:val="o"/>
      <w:lvlJc w:val="left"/>
      <w:pPr>
        <w:ind w:left="5760" w:hanging="360"/>
      </w:pPr>
      <w:rPr>
        <w:rFonts w:ascii="Courier New" w:hAnsi="Courier New" w:hint="default"/>
      </w:rPr>
    </w:lvl>
    <w:lvl w:ilvl="8" w:tplc="75326C0E">
      <w:start w:val="1"/>
      <w:numFmt w:val="bullet"/>
      <w:lvlText w:val=""/>
      <w:lvlJc w:val="left"/>
      <w:pPr>
        <w:ind w:left="6480" w:hanging="360"/>
      </w:pPr>
      <w:rPr>
        <w:rFonts w:ascii="Wingdings" w:hAnsi="Wingdings" w:hint="default"/>
      </w:rPr>
    </w:lvl>
  </w:abstractNum>
  <w:abstractNum w:abstractNumId="15" w15:restartNumberingAfterBreak="0">
    <w:nsid w:val="4F1232CC"/>
    <w:multiLevelType w:val="hybridMultilevel"/>
    <w:tmpl w:val="ED6CEF86"/>
    <w:lvl w:ilvl="0" w:tplc="90B6260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7A04B9E"/>
    <w:multiLevelType w:val="hybridMultilevel"/>
    <w:tmpl w:val="40C08882"/>
    <w:lvl w:ilvl="0" w:tplc="9642DF08">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63800232"/>
    <w:multiLevelType w:val="hybridMultilevel"/>
    <w:tmpl w:val="C87CC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6EA78B5"/>
    <w:multiLevelType w:val="hybridMultilevel"/>
    <w:tmpl w:val="F76A5104"/>
    <w:lvl w:ilvl="0" w:tplc="90B6260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70F2421B"/>
    <w:multiLevelType w:val="hybridMultilevel"/>
    <w:tmpl w:val="F4F04AE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75E827E4"/>
    <w:multiLevelType w:val="hybridMultilevel"/>
    <w:tmpl w:val="D2B4CBE6"/>
    <w:lvl w:ilvl="0" w:tplc="10000015">
      <w:start w:val="1"/>
      <w:numFmt w:val="upperLetter"/>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1" w15:restartNumberingAfterBreak="0">
    <w:nsid w:val="79C30450"/>
    <w:multiLevelType w:val="hybridMultilevel"/>
    <w:tmpl w:val="6420BA9A"/>
    <w:lvl w:ilvl="0" w:tplc="10000003">
      <w:start w:val="1"/>
      <w:numFmt w:val="bullet"/>
      <w:lvlText w:val="o"/>
      <w:lvlJc w:val="left"/>
      <w:pPr>
        <w:ind w:left="360" w:hanging="360"/>
      </w:pPr>
      <w:rPr>
        <w:rFonts w:ascii="Courier New" w:hAnsi="Courier New" w:cs="Courier New"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2" w15:restartNumberingAfterBreak="0">
    <w:nsid w:val="7CC02643"/>
    <w:multiLevelType w:val="hybridMultilevel"/>
    <w:tmpl w:val="3620F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4824134">
    <w:abstractNumId w:val="4"/>
  </w:num>
  <w:num w:numId="2" w16cid:durableId="2090030327">
    <w:abstractNumId w:val="14"/>
  </w:num>
  <w:num w:numId="3" w16cid:durableId="127284999">
    <w:abstractNumId w:val="10"/>
  </w:num>
  <w:num w:numId="4" w16cid:durableId="1344817762">
    <w:abstractNumId w:val="8"/>
  </w:num>
  <w:num w:numId="5" w16cid:durableId="566960285">
    <w:abstractNumId w:val="16"/>
  </w:num>
  <w:num w:numId="6" w16cid:durableId="640503108">
    <w:abstractNumId w:val="5"/>
  </w:num>
  <w:num w:numId="7" w16cid:durableId="602304441">
    <w:abstractNumId w:val="2"/>
  </w:num>
  <w:num w:numId="8" w16cid:durableId="778529354">
    <w:abstractNumId w:val="0"/>
  </w:num>
  <w:num w:numId="9" w16cid:durableId="1540781279">
    <w:abstractNumId w:val="21"/>
  </w:num>
  <w:num w:numId="10" w16cid:durableId="607279446">
    <w:abstractNumId w:val="20"/>
  </w:num>
  <w:num w:numId="11" w16cid:durableId="1323700374">
    <w:abstractNumId w:val="7"/>
  </w:num>
  <w:num w:numId="12" w16cid:durableId="808985650">
    <w:abstractNumId w:val="6"/>
  </w:num>
  <w:num w:numId="13" w16cid:durableId="1515997624">
    <w:abstractNumId w:val="13"/>
  </w:num>
  <w:num w:numId="14" w16cid:durableId="1508211499">
    <w:abstractNumId w:val="15"/>
  </w:num>
  <w:num w:numId="15" w16cid:durableId="734860738">
    <w:abstractNumId w:val="11"/>
  </w:num>
  <w:num w:numId="16" w16cid:durableId="1670407185">
    <w:abstractNumId w:val="18"/>
  </w:num>
  <w:num w:numId="17" w16cid:durableId="2113816776">
    <w:abstractNumId w:val="19"/>
  </w:num>
  <w:num w:numId="18" w16cid:durableId="1331329275">
    <w:abstractNumId w:val="9"/>
  </w:num>
  <w:num w:numId="19" w16cid:durableId="1372148428">
    <w:abstractNumId w:val="22"/>
  </w:num>
  <w:num w:numId="20" w16cid:durableId="724068541">
    <w:abstractNumId w:val="12"/>
  </w:num>
  <w:num w:numId="21" w16cid:durableId="295646856">
    <w:abstractNumId w:val="3"/>
  </w:num>
  <w:num w:numId="22" w16cid:durableId="1255474207">
    <w:abstractNumId w:val="17"/>
  </w:num>
  <w:num w:numId="23" w16cid:durableId="456876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9CC"/>
    <w:rsid w:val="000009F1"/>
    <w:rsid w:val="00001D30"/>
    <w:rsid w:val="000118F2"/>
    <w:rsid w:val="00013867"/>
    <w:rsid w:val="000173F0"/>
    <w:rsid w:val="0002301D"/>
    <w:rsid w:val="0002302A"/>
    <w:rsid w:val="00030F0F"/>
    <w:rsid w:val="00060396"/>
    <w:rsid w:val="000723F0"/>
    <w:rsid w:val="0007582C"/>
    <w:rsid w:val="000767F4"/>
    <w:rsid w:val="0008663F"/>
    <w:rsid w:val="0009634A"/>
    <w:rsid w:val="000A6457"/>
    <w:rsid w:val="000F35BD"/>
    <w:rsid w:val="00114E90"/>
    <w:rsid w:val="0012517A"/>
    <w:rsid w:val="00140E84"/>
    <w:rsid w:val="00165125"/>
    <w:rsid w:val="00165759"/>
    <w:rsid w:val="001702B0"/>
    <w:rsid w:val="00171239"/>
    <w:rsid w:val="001B59A0"/>
    <w:rsid w:val="001C7EEA"/>
    <w:rsid w:val="001D1308"/>
    <w:rsid w:val="001D63C2"/>
    <w:rsid w:val="001F6410"/>
    <w:rsid w:val="00203900"/>
    <w:rsid w:val="002447B1"/>
    <w:rsid w:val="00265256"/>
    <w:rsid w:val="00266606"/>
    <w:rsid w:val="0027307E"/>
    <w:rsid w:val="002D4B6E"/>
    <w:rsid w:val="002F55A1"/>
    <w:rsid w:val="0032511C"/>
    <w:rsid w:val="00335DE8"/>
    <w:rsid w:val="00366F53"/>
    <w:rsid w:val="00390711"/>
    <w:rsid w:val="00397836"/>
    <w:rsid w:val="003D123D"/>
    <w:rsid w:val="003D27C2"/>
    <w:rsid w:val="003D2EC6"/>
    <w:rsid w:val="003E475C"/>
    <w:rsid w:val="003E5ACF"/>
    <w:rsid w:val="003F0CC4"/>
    <w:rsid w:val="003F185F"/>
    <w:rsid w:val="00403435"/>
    <w:rsid w:val="00404978"/>
    <w:rsid w:val="004559A2"/>
    <w:rsid w:val="00464EA4"/>
    <w:rsid w:val="0049535D"/>
    <w:rsid w:val="004B5CC9"/>
    <w:rsid w:val="004C3918"/>
    <w:rsid w:val="004D349F"/>
    <w:rsid w:val="004D6811"/>
    <w:rsid w:val="004E1063"/>
    <w:rsid w:val="004F36D6"/>
    <w:rsid w:val="00500D30"/>
    <w:rsid w:val="0050319E"/>
    <w:rsid w:val="0050630F"/>
    <w:rsid w:val="00520672"/>
    <w:rsid w:val="00527494"/>
    <w:rsid w:val="00533368"/>
    <w:rsid w:val="0054719E"/>
    <w:rsid w:val="00560B09"/>
    <w:rsid w:val="005620DD"/>
    <w:rsid w:val="00593477"/>
    <w:rsid w:val="005A0423"/>
    <w:rsid w:val="005B5F99"/>
    <w:rsid w:val="005C1B6C"/>
    <w:rsid w:val="005C60C7"/>
    <w:rsid w:val="005D5B84"/>
    <w:rsid w:val="005E337B"/>
    <w:rsid w:val="005E76E9"/>
    <w:rsid w:val="005F0AC4"/>
    <w:rsid w:val="005F2DD3"/>
    <w:rsid w:val="005F3C27"/>
    <w:rsid w:val="005F69FC"/>
    <w:rsid w:val="0060729F"/>
    <w:rsid w:val="0061723B"/>
    <w:rsid w:val="00643A6E"/>
    <w:rsid w:val="006502E4"/>
    <w:rsid w:val="00681DF6"/>
    <w:rsid w:val="00691E51"/>
    <w:rsid w:val="00697371"/>
    <w:rsid w:val="006A4DF5"/>
    <w:rsid w:val="006B73DD"/>
    <w:rsid w:val="006C32ED"/>
    <w:rsid w:val="006E560D"/>
    <w:rsid w:val="006F00D6"/>
    <w:rsid w:val="006F0FB3"/>
    <w:rsid w:val="00721BB4"/>
    <w:rsid w:val="00775F85"/>
    <w:rsid w:val="00786983"/>
    <w:rsid w:val="007C4C8C"/>
    <w:rsid w:val="007D00C1"/>
    <w:rsid w:val="008016B1"/>
    <w:rsid w:val="00805BDC"/>
    <w:rsid w:val="00814CAC"/>
    <w:rsid w:val="0082122B"/>
    <w:rsid w:val="00831F42"/>
    <w:rsid w:val="0084025C"/>
    <w:rsid w:val="0089038A"/>
    <w:rsid w:val="00894072"/>
    <w:rsid w:val="008A1A5A"/>
    <w:rsid w:val="008A2DF2"/>
    <w:rsid w:val="008A7E6E"/>
    <w:rsid w:val="008B1F76"/>
    <w:rsid w:val="008C6D1C"/>
    <w:rsid w:val="008D7C9A"/>
    <w:rsid w:val="008E030A"/>
    <w:rsid w:val="008E1E0B"/>
    <w:rsid w:val="00906B8E"/>
    <w:rsid w:val="0092408E"/>
    <w:rsid w:val="00931518"/>
    <w:rsid w:val="009553E3"/>
    <w:rsid w:val="0096321B"/>
    <w:rsid w:val="00972BDC"/>
    <w:rsid w:val="00991ABB"/>
    <w:rsid w:val="009A2404"/>
    <w:rsid w:val="009B7C5E"/>
    <w:rsid w:val="009E345A"/>
    <w:rsid w:val="009F3B61"/>
    <w:rsid w:val="009F6E16"/>
    <w:rsid w:val="00A006AA"/>
    <w:rsid w:val="00A20101"/>
    <w:rsid w:val="00A325D2"/>
    <w:rsid w:val="00A35078"/>
    <w:rsid w:val="00A3591D"/>
    <w:rsid w:val="00A36F28"/>
    <w:rsid w:val="00A407EF"/>
    <w:rsid w:val="00A42FD5"/>
    <w:rsid w:val="00A86CEE"/>
    <w:rsid w:val="00A87BB4"/>
    <w:rsid w:val="00A902C4"/>
    <w:rsid w:val="00A91705"/>
    <w:rsid w:val="00AF292A"/>
    <w:rsid w:val="00AF33EC"/>
    <w:rsid w:val="00B02C14"/>
    <w:rsid w:val="00B073A2"/>
    <w:rsid w:val="00B07EFC"/>
    <w:rsid w:val="00B10065"/>
    <w:rsid w:val="00B139F6"/>
    <w:rsid w:val="00B371EE"/>
    <w:rsid w:val="00B37C68"/>
    <w:rsid w:val="00B43718"/>
    <w:rsid w:val="00B46B93"/>
    <w:rsid w:val="00B56D98"/>
    <w:rsid w:val="00B63BFC"/>
    <w:rsid w:val="00B77C1E"/>
    <w:rsid w:val="00B80219"/>
    <w:rsid w:val="00B809CC"/>
    <w:rsid w:val="00B8743A"/>
    <w:rsid w:val="00BC30B1"/>
    <w:rsid w:val="00BE7483"/>
    <w:rsid w:val="00C31483"/>
    <w:rsid w:val="00C61451"/>
    <w:rsid w:val="00C647D3"/>
    <w:rsid w:val="00C74152"/>
    <w:rsid w:val="00C92343"/>
    <w:rsid w:val="00CB12AB"/>
    <w:rsid w:val="00CC0B36"/>
    <w:rsid w:val="00CD2FA9"/>
    <w:rsid w:val="00D104DA"/>
    <w:rsid w:val="00D16538"/>
    <w:rsid w:val="00D36FFF"/>
    <w:rsid w:val="00D47ACF"/>
    <w:rsid w:val="00D648DB"/>
    <w:rsid w:val="00D72C74"/>
    <w:rsid w:val="00D757F8"/>
    <w:rsid w:val="00D83AF6"/>
    <w:rsid w:val="00D97497"/>
    <w:rsid w:val="00DC2622"/>
    <w:rsid w:val="00DC73C6"/>
    <w:rsid w:val="00DC7B4A"/>
    <w:rsid w:val="00DE24AB"/>
    <w:rsid w:val="00DE675C"/>
    <w:rsid w:val="00E0144C"/>
    <w:rsid w:val="00E10320"/>
    <w:rsid w:val="00E12DE0"/>
    <w:rsid w:val="00E143D5"/>
    <w:rsid w:val="00E244C8"/>
    <w:rsid w:val="00E4171F"/>
    <w:rsid w:val="00E634BC"/>
    <w:rsid w:val="00E67C7B"/>
    <w:rsid w:val="00E75188"/>
    <w:rsid w:val="00E77044"/>
    <w:rsid w:val="00E80C1D"/>
    <w:rsid w:val="00E825C8"/>
    <w:rsid w:val="00EB15FD"/>
    <w:rsid w:val="00EB499E"/>
    <w:rsid w:val="00ED2F3B"/>
    <w:rsid w:val="00EE2207"/>
    <w:rsid w:val="00EF30C0"/>
    <w:rsid w:val="00EF3D3B"/>
    <w:rsid w:val="00EF42A3"/>
    <w:rsid w:val="00EF5910"/>
    <w:rsid w:val="00F23936"/>
    <w:rsid w:val="00F241F5"/>
    <w:rsid w:val="00F50F6E"/>
    <w:rsid w:val="00F53C22"/>
    <w:rsid w:val="00F5792F"/>
    <w:rsid w:val="00F80283"/>
    <w:rsid w:val="00F8655F"/>
    <w:rsid w:val="00F95869"/>
    <w:rsid w:val="00F958E7"/>
    <w:rsid w:val="00FC09E0"/>
    <w:rsid w:val="00FF363D"/>
    <w:rsid w:val="183DF259"/>
    <w:rsid w:val="20C94C84"/>
    <w:rsid w:val="22CFA39B"/>
    <w:rsid w:val="23BAD706"/>
    <w:rsid w:val="375D38EA"/>
    <w:rsid w:val="5A2F4139"/>
    <w:rsid w:val="6C4077C4"/>
    <w:rsid w:val="76807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4630"/>
  <w15:chartTrackingRefBased/>
  <w15:docId w15:val="{B46849E5-73C2-47B1-A91C-6982D3529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9CC"/>
    <w:rPr>
      <w:sz w:val="20"/>
    </w:rPr>
  </w:style>
  <w:style w:type="paragraph" w:styleId="Heading1">
    <w:name w:val="heading 1"/>
    <w:basedOn w:val="Normal"/>
    <w:next w:val="Normal"/>
    <w:link w:val="Heading1Char"/>
    <w:uiPriority w:val="9"/>
    <w:qFormat/>
    <w:rsid w:val="005333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7C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53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9CC"/>
    <w:pPr>
      <w:ind w:left="720"/>
      <w:contextualSpacing/>
    </w:pPr>
  </w:style>
  <w:style w:type="table" w:styleId="TableGrid">
    <w:name w:val="Table Grid"/>
    <w:basedOn w:val="TableNormal"/>
    <w:uiPriority w:val="39"/>
    <w:rsid w:val="00B80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809CC"/>
    <w:pPr>
      <w:spacing w:after="0" w:line="240" w:lineRule="auto"/>
    </w:pPr>
    <w:rPr>
      <w:szCs w:val="20"/>
    </w:rPr>
  </w:style>
  <w:style w:type="character" w:customStyle="1" w:styleId="FootnoteTextChar">
    <w:name w:val="Footnote Text Char"/>
    <w:basedOn w:val="DefaultParagraphFont"/>
    <w:link w:val="FootnoteText"/>
    <w:uiPriority w:val="99"/>
    <w:rsid w:val="00B809CC"/>
    <w:rPr>
      <w:sz w:val="20"/>
      <w:szCs w:val="20"/>
      <w:lang w:val="en-US"/>
    </w:rPr>
  </w:style>
  <w:style w:type="character" w:styleId="FootnoteReference">
    <w:name w:val="footnote reference"/>
    <w:basedOn w:val="DefaultParagraphFont"/>
    <w:uiPriority w:val="99"/>
    <w:unhideWhenUsed/>
    <w:rsid w:val="00B809CC"/>
    <w:rPr>
      <w:vertAlign w:val="superscript"/>
    </w:rPr>
  </w:style>
  <w:style w:type="character" w:customStyle="1" w:styleId="Heading1Char">
    <w:name w:val="Heading 1 Char"/>
    <w:basedOn w:val="DefaultParagraphFont"/>
    <w:link w:val="Heading1"/>
    <w:uiPriority w:val="9"/>
    <w:rsid w:val="0053336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37C68"/>
    <w:rPr>
      <w:rFonts w:asciiTheme="majorHAnsi" w:eastAsiaTheme="majorEastAsia" w:hAnsiTheme="majorHAnsi" w:cstheme="majorBidi"/>
      <w:color w:val="2F5496" w:themeColor="accent1" w:themeShade="BF"/>
      <w:sz w:val="26"/>
      <w:szCs w:val="26"/>
      <w:lang w:val="en-US"/>
    </w:rPr>
  </w:style>
  <w:style w:type="table" w:styleId="GridTable4-Accent1">
    <w:name w:val="Grid Table 4 Accent 1"/>
    <w:basedOn w:val="TableNormal"/>
    <w:uiPriority w:val="49"/>
    <w:rsid w:val="00B1006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8A2D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D47A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ACF"/>
    <w:rPr>
      <w:sz w:val="20"/>
      <w:lang w:val="en-US"/>
    </w:rPr>
  </w:style>
  <w:style w:type="paragraph" w:styleId="Footer">
    <w:name w:val="footer"/>
    <w:basedOn w:val="Normal"/>
    <w:link w:val="FooterChar"/>
    <w:uiPriority w:val="99"/>
    <w:unhideWhenUsed/>
    <w:rsid w:val="00D47A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ACF"/>
    <w:rPr>
      <w:sz w:val="20"/>
      <w:lang w:val="en-US"/>
    </w:rPr>
  </w:style>
  <w:style w:type="table" w:styleId="GridTable4-Accent6">
    <w:name w:val="Grid Table 4 Accent 6"/>
    <w:basedOn w:val="TableNormal"/>
    <w:uiPriority w:val="49"/>
    <w:rsid w:val="009553E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3Char">
    <w:name w:val="Heading 3 Char"/>
    <w:basedOn w:val="DefaultParagraphFont"/>
    <w:link w:val="Heading3"/>
    <w:uiPriority w:val="9"/>
    <w:rsid w:val="009553E3"/>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semiHidden/>
    <w:unhideWhenUsed/>
    <w:rsid w:val="00A902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02C4"/>
    <w:rPr>
      <w:color w:val="0563C1" w:themeColor="hyperlink"/>
      <w:u w:val="single"/>
    </w:rPr>
  </w:style>
  <w:style w:type="character" w:styleId="CommentReference">
    <w:name w:val="annotation reference"/>
    <w:basedOn w:val="DefaultParagraphFont"/>
    <w:uiPriority w:val="99"/>
    <w:semiHidden/>
    <w:unhideWhenUsed/>
    <w:rsid w:val="006C32ED"/>
    <w:rPr>
      <w:sz w:val="16"/>
      <w:szCs w:val="16"/>
    </w:rPr>
  </w:style>
  <w:style w:type="paragraph" w:styleId="CommentText">
    <w:name w:val="annotation text"/>
    <w:basedOn w:val="Normal"/>
    <w:link w:val="CommentTextChar"/>
    <w:uiPriority w:val="99"/>
    <w:unhideWhenUsed/>
    <w:rsid w:val="006C32ED"/>
    <w:pPr>
      <w:spacing w:line="240" w:lineRule="auto"/>
    </w:pPr>
    <w:rPr>
      <w:szCs w:val="20"/>
    </w:rPr>
  </w:style>
  <w:style w:type="character" w:customStyle="1" w:styleId="CommentTextChar">
    <w:name w:val="Comment Text Char"/>
    <w:basedOn w:val="DefaultParagraphFont"/>
    <w:link w:val="CommentText"/>
    <w:uiPriority w:val="99"/>
    <w:rsid w:val="006C32ED"/>
    <w:rPr>
      <w:sz w:val="20"/>
      <w:szCs w:val="20"/>
    </w:rPr>
  </w:style>
  <w:style w:type="paragraph" w:styleId="CommentSubject">
    <w:name w:val="annotation subject"/>
    <w:basedOn w:val="CommentText"/>
    <w:next w:val="CommentText"/>
    <w:link w:val="CommentSubjectChar"/>
    <w:uiPriority w:val="99"/>
    <w:semiHidden/>
    <w:unhideWhenUsed/>
    <w:rsid w:val="006C32ED"/>
    <w:rPr>
      <w:b/>
      <w:bCs/>
    </w:rPr>
  </w:style>
  <w:style w:type="character" w:customStyle="1" w:styleId="CommentSubjectChar">
    <w:name w:val="Comment Subject Char"/>
    <w:basedOn w:val="CommentTextChar"/>
    <w:link w:val="CommentSubject"/>
    <w:uiPriority w:val="99"/>
    <w:semiHidden/>
    <w:rsid w:val="006C32ED"/>
    <w:rPr>
      <w:b/>
      <w:bCs/>
      <w:sz w:val="20"/>
      <w:szCs w:val="20"/>
    </w:rPr>
  </w:style>
  <w:style w:type="paragraph" w:styleId="Revision">
    <w:name w:val="Revision"/>
    <w:hidden/>
    <w:uiPriority w:val="99"/>
    <w:semiHidden/>
    <w:rsid w:val="00CB12AB"/>
    <w:pPr>
      <w:spacing w:after="0" w:line="240" w:lineRule="auto"/>
    </w:pPr>
    <w:rPr>
      <w:sz w:val="20"/>
    </w:rPr>
  </w:style>
  <w:style w:type="paragraph" w:styleId="BalloonText">
    <w:name w:val="Balloon Text"/>
    <w:basedOn w:val="Normal"/>
    <w:link w:val="BalloonTextChar"/>
    <w:uiPriority w:val="99"/>
    <w:semiHidden/>
    <w:unhideWhenUsed/>
    <w:rsid w:val="008B1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F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F1E1194F6E6FA46A9105088486D2D65" ma:contentTypeVersion="4" ma:contentTypeDescription="Create a new document." ma:contentTypeScope="" ma:versionID="ee7d3ee65258301a5d0fd9b959a8ddbd">
  <xsd:schema xmlns:xsd="http://www.w3.org/2001/XMLSchema" xmlns:xs="http://www.w3.org/2001/XMLSchema" xmlns:p="http://schemas.microsoft.com/office/2006/metadata/properties" xmlns:ns2="7741558f-0b27-46b7-aa72-df617592c633" xmlns:ns3="1a06a05d-c994-4f05-8e8b-fc1fcbeb1b31" targetNamespace="http://schemas.microsoft.com/office/2006/metadata/properties" ma:root="true" ma:fieldsID="25a17ee3e3e966c49ee3c0f9683963b7" ns2:_="" ns3:_="">
    <xsd:import namespace="7741558f-0b27-46b7-aa72-df617592c633"/>
    <xsd:import namespace="1a06a05d-c994-4f05-8e8b-fc1fcbeb1b3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41558f-0b27-46b7-aa72-df617592c6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06a05d-c994-4f05-8e8b-fc1fcbeb1b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317E2E-E415-4846-A12E-B129C7873D0C}">
  <ds:schemaRefs>
    <ds:schemaRef ds:uri="http://schemas.microsoft.com/sharepoint/v3/contenttype/forms"/>
  </ds:schemaRefs>
</ds:datastoreItem>
</file>

<file path=customXml/itemProps2.xml><?xml version="1.0" encoding="utf-8"?>
<ds:datastoreItem xmlns:ds="http://schemas.openxmlformats.org/officeDocument/2006/customXml" ds:itemID="{A1B49931-2874-4CDF-A3A4-ADA028093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41558f-0b27-46b7-aa72-df617592c633"/>
    <ds:schemaRef ds:uri="1a06a05d-c994-4f05-8e8b-fc1fcbeb1b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834038-B11F-4679-9A67-304CBC2C27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1199</Words>
  <Characters>6836</Characters>
  <Application>Microsoft Office Word</Application>
  <DocSecurity>4</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steuperaert</dc:creator>
  <cp:keywords/>
  <dc:description/>
  <cp:lastModifiedBy>Karen Heslop</cp:lastModifiedBy>
  <cp:revision>2</cp:revision>
  <cp:lastPrinted>2021-04-28T07:47:00Z</cp:lastPrinted>
  <dcterms:created xsi:type="dcterms:W3CDTF">2022-06-19T18:06:00Z</dcterms:created>
  <dcterms:modified xsi:type="dcterms:W3CDTF">2022-06-19T18:06:00Z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0x0101006F1E1194F6E6FA46A9105088486D2D65</vt:lpwstr>
  </property>
</Properties>
</file>