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24A9" w14:textId="2357963D" w:rsidR="00B37C68" w:rsidRDefault="00B37C68" w:rsidP="00A513E3"/>
    <w:tbl>
      <w:tblPr>
        <w:tblStyle w:val="TableGrid"/>
        <w:tblW w:w="962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3604"/>
        <w:gridCol w:w="1046"/>
        <w:gridCol w:w="3243"/>
      </w:tblGrid>
      <w:tr w:rsidR="00B809CC" w:rsidRPr="00127CA4" w14:paraId="5B81A215" w14:textId="77777777" w:rsidTr="21B3C893">
        <w:trPr>
          <w:tblHeader/>
        </w:trPr>
        <w:tc>
          <w:tcPr>
            <w:tcW w:w="9628" w:type="dxa"/>
            <w:gridSpan w:val="4"/>
            <w:shd w:val="clear" w:color="auto" w:fill="833C0B" w:themeFill="accent2" w:themeFillShade="80"/>
          </w:tcPr>
          <w:p w14:paraId="0992B049" w14:textId="7B250727" w:rsidR="00B809CC" w:rsidRPr="00127CA4" w:rsidRDefault="6B98DAD6" w:rsidP="00265519">
            <w:pPr>
              <w:spacing w:before="60" w:after="60"/>
              <w:jc w:val="center"/>
              <w:rPr>
                <w:b/>
                <w:bCs/>
                <w:smallCaps/>
                <w:color w:val="FFFFFF" w:themeColor="background1"/>
                <w:sz w:val="28"/>
                <w:szCs w:val="28"/>
                <w:lang w:val="en-GB"/>
              </w:rPr>
            </w:pPr>
            <w:r w:rsidRPr="21B3C893">
              <w:rPr>
                <w:b/>
                <w:bCs/>
                <w:smallCaps/>
                <w:color w:val="FFFFFF" w:themeColor="background1"/>
                <w:sz w:val="28"/>
                <w:szCs w:val="28"/>
                <w:lang w:val="en-GB"/>
              </w:rPr>
              <w:t>IT R</w:t>
            </w:r>
            <w:r w:rsidR="00A63397" w:rsidRPr="00A63397"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  <w:t>isk</w:t>
            </w:r>
            <w:r w:rsidRPr="21B3C893">
              <w:rPr>
                <w:b/>
                <w:bCs/>
                <w:smallCaps/>
                <w:color w:val="FFFFFF" w:themeColor="background1"/>
                <w:sz w:val="28"/>
                <w:szCs w:val="28"/>
                <w:lang w:val="en-GB"/>
              </w:rPr>
              <w:t xml:space="preserve"> S</w:t>
            </w:r>
            <w:r w:rsidRPr="00A513E3"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  <w:t>cenario</w:t>
            </w:r>
            <w:r w:rsidR="00A63397">
              <w:rPr>
                <w:b/>
                <w:bCs/>
                <w:smallCaps/>
                <w:color w:val="FFFFFF" w:themeColor="background1"/>
                <w:sz w:val="28"/>
                <w:szCs w:val="28"/>
                <w:lang w:val="en-GB"/>
              </w:rPr>
              <w:t>:</w:t>
            </w:r>
            <w:r w:rsidRPr="21B3C893">
              <w:rPr>
                <w:b/>
                <w:bCs/>
                <w:smallCaps/>
                <w:color w:val="FFFFFF" w:themeColor="background1"/>
                <w:sz w:val="28"/>
                <w:szCs w:val="28"/>
                <w:lang w:val="en-GB"/>
              </w:rPr>
              <w:t xml:space="preserve"> I</w:t>
            </w:r>
            <w:r w:rsidRPr="00A513E3"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  <w:t>nability</w:t>
            </w:r>
            <w:r w:rsidRPr="21B3C893">
              <w:rPr>
                <w:b/>
                <w:bCs/>
                <w:smallCaps/>
                <w:color w:val="FFFFFF" w:themeColor="background1"/>
                <w:sz w:val="28"/>
                <w:szCs w:val="28"/>
                <w:lang w:val="en-GB"/>
              </w:rPr>
              <w:t xml:space="preserve"> </w:t>
            </w:r>
            <w:r w:rsidRPr="00A513E3"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  <w:t>to</w:t>
            </w:r>
            <w:r w:rsidRPr="21B3C893">
              <w:rPr>
                <w:b/>
                <w:bCs/>
                <w:smallCaps/>
                <w:color w:val="FFFFFF" w:themeColor="background1"/>
                <w:sz w:val="28"/>
                <w:szCs w:val="28"/>
                <w:lang w:val="en-GB"/>
              </w:rPr>
              <w:t xml:space="preserve"> R</w:t>
            </w:r>
            <w:r w:rsidRPr="00A513E3"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  <w:t>ecruit</w:t>
            </w:r>
            <w:r w:rsidRPr="21B3C893">
              <w:rPr>
                <w:b/>
                <w:bCs/>
                <w:smallCaps/>
                <w:color w:val="FFFFFF" w:themeColor="background1"/>
                <w:sz w:val="28"/>
                <w:szCs w:val="28"/>
                <w:lang w:val="en-GB"/>
              </w:rPr>
              <w:t xml:space="preserve"> </w:t>
            </w:r>
            <w:r w:rsidRPr="00A513E3"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  <w:t>or</w:t>
            </w:r>
            <w:r w:rsidRPr="21B3C893">
              <w:rPr>
                <w:b/>
                <w:bCs/>
                <w:smallCaps/>
                <w:color w:val="FFFFFF" w:themeColor="background1"/>
                <w:sz w:val="28"/>
                <w:szCs w:val="28"/>
                <w:lang w:val="en-GB"/>
              </w:rPr>
              <w:t xml:space="preserve"> </w:t>
            </w:r>
            <w:r w:rsidRPr="00A513E3"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  <w:t>Retain</w:t>
            </w:r>
            <w:r w:rsidRPr="21B3C893">
              <w:rPr>
                <w:b/>
                <w:bCs/>
                <w:smallCaps/>
                <w:color w:val="FFFFFF" w:themeColor="background1"/>
                <w:sz w:val="28"/>
                <w:szCs w:val="28"/>
                <w:lang w:val="en-GB"/>
              </w:rPr>
              <w:t xml:space="preserve"> IT </w:t>
            </w:r>
            <w:r w:rsidRPr="00A63397">
              <w:rPr>
                <w:b/>
                <w:bCs/>
                <w:smallCaps/>
                <w:color w:val="FFFFFF" w:themeColor="background1"/>
                <w:sz w:val="28"/>
                <w:szCs w:val="28"/>
                <w:lang w:val="en-GB"/>
              </w:rPr>
              <w:t>S</w:t>
            </w:r>
            <w:r w:rsidRPr="00A513E3">
              <w:rPr>
                <w:b/>
                <w:bCs/>
                <w:color w:val="FFFFFF" w:themeColor="background1"/>
                <w:sz w:val="28"/>
                <w:szCs w:val="28"/>
                <w:lang w:val="en-GB"/>
              </w:rPr>
              <w:t>taff</w:t>
            </w:r>
          </w:p>
        </w:tc>
      </w:tr>
      <w:tr w:rsidR="00B809CC" w:rsidRPr="00127CA4" w14:paraId="3ACBC689" w14:textId="77777777" w:rsidTr="000C7A8D">
        <w:tc>
          <w:tcPr>
            <w:tcW w:w="9628" w:type="dxa"/>
            <w:gridSpan w:val="4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1733D700" w14:textId="77777777" w:rsidR="00B809CC" w:rsidRPr="00695103" w:rsidRDefault="00B809CC" w:rsidP="00B809CC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</w:pPr>
            <w:r w:rsidRPr="00695103"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  <w:t>R</w:t>
            </w:r>
            <w:r w:rsidRPr="00A513E3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isk</w:t>
            </w:r>
            <w:r w:rsidRPr="00695103"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  <w:t xml:space="preserve"> S</w:t>
            </w:r>
            <w:r w:rsidRPr="00A513E3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cenario</w:t>
            </w:r>
            <w:r w:rsidRPr="00695103"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  <w:t xml:space="preserve"> D</w:t>
            </w:r>
            <w:r w:rsidRPr="00A513E3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escription</w:t>
            </w:r>
          </w:p>
        </w:tc>
      </w:tr>
      <w:tr w:rsidR="00B809CC" w:rsidRPr="002E7042" w14:paraId="3E6C5E7D" w14:textId="77777777" w:rsidTr="000C7A8D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3DB4" w14:textId="77777777" w:rsidR="00B809CC" w:rsidRPr="00C24C00" w:rsidRDefault="00B809CC" w:rsidP="00265519">
            <w:pPr>
              <w:spacing w:before="40" w:after="40"/>
              <w:rPr>
                <w:rFonts w:cstheme="minorHAnsi"/>
                <w:b/>
                <w:bCs/>
                <w:smallCaps/>
                <w:szCs w:val="20"/>
                <w:lang w:val="en-GB"/>
              </w:rPr>
            </w:pP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>R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isk</w:t>
            </w: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 xml:space="preserve"> S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cenario</w:t>
            </w: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 xml:space="preserve"> T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itle</w:t>
            </w: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 xml:space="preserve"> 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E441" w14:textId="1FBF580E" w:rsidR="00B809CC" w:rsidRPr="00A513E3" w:rsidRDefault="00C24C00" w:rsidP="00265519">
            <w:pPr>
              <w:spacing w:before="40" w:after="40"/>
              <w:rPr>
                <w:rFonts w:cstheme="minorHAnsi"/>
                <w:iCs/>
                <w:szCs w:val="20"/>
                <w:lang w:val="en-GB"/>
              </w:rPr>
            </w:pPr>
            <w:r w:rsidRPr="00A53B63">
              <w:rPr>
                <w:rFonts w:cstheme="minorHAnsi"/>
                <w:color w:val="231F20"/>
                <w:spacing w:val="-3"/>
                <w:szCs w:val="20"/>
              </w:rPr>
              <w:t>The</w:t>
            </w:r>
            <w:r w:rsidRPr="00A53B63">
              <w:rPr>
                <w:rFonts w:cstheme="minorHAnsi"/>
                <w:color w:val="231F20"/>
                <w:spacing w:val="-18"/>
                <w:szCs w:val="20"/>
              </w:rPr>
              <w:t xml:space="preserve"> </w:t>
            </w:r>
            <w:r w:rsidRPr="00A53B63">
              <w:rPr>
                <w:rFonts w:cstheme="minorHAnsi"/>
                <w:color w:val="231F20"/>
                <w:spacing w:val="-3"/>
                <w:szCs w:val="20"/>
              </w:rPr>
              <w:t>enterprise</w:t>
            </w:r>
            <w:r w:rsidRPr="00A53B63">
              <w:rPr>
                <w:rFonts w:cstheme="minorHAnsi"/>
                <w:color w:val="231F20"/>
                <w:spacing w:val="-17"/>
                <w:szCs w:val="20"/>
              </w:rPr>
              <w:t xml:space="preserve"> </w:t>
            </w:r>
            <w:r w:rsidRPr="00A53B63">
              <w:rPr>
                <w:rFonts w:cstheme="minorHAnsi"/>
                <w:color w:val="231F20"/>
                <w:spacing w:val="-2"/>
                <w:szCs w:val="20"/>
              </w:rPr>
              <w:t>is</w:t>
            </w:r>
            <w:r w:rsidRPr="00A53B63">
              <w:rPr>
                <w:rFonts w:cstheme="minorHAnsi"/>
                <w:color w:val="231F20"/>
                <w:spacing w:val="-17"/>
                <w:szCs w:val="20"/>
              </w:rPr>
              <w:t xml:space="preserve"> </w:t>
            </w:r>
            <w:r w:rsidRPr="00A53B63">
              <w:rPr>
                <w:rFonts w:cstheme="minorHAnsi"/>
                <w:color w:val="231F20"/>
                <w:spacing w:val="-2"/>
                <w:szCs w:val="20"/>
              </w:rPr>
              <w:t>unable</w:t>
            </w:r>
            <w:r w:rsidRPr="00A53B63">
              <w:rPr>
                <w:rFonts w:cstheme="minorHAnsi"/>
                <w:color w:val="231F20"/>
                <w:spacing w:val="-18"/>
                <w:szCs w:val="20"/>
              </w:rPr>
              <w:t xml:space="preserve"> </w:t>
            </w:r>
            <w:r w:rsidRPr="00A53B63">
              <w:rPr>
                <w:rFonts w:cstheme="minorHAnsi"/>
                <w:color w:val="231F20"/>
                <w:spacing w:val="-2"/>
                <w:szCs w:val="20"/>
              </w:rPr>
              <w:t>to</w:t>
            </w:r>
            <w:r w:rsidRPr="00A53B63">
              <w:rPr>
                <w:rFonts w:cstheme="minorHAnsi"/>
                <w:color w:val="231F20"/>
                <w:spacing w:val="-17"/>
                <w:szCs w:val="20"/>
              </w:rPr>
              <w:t xml:space="preserve"> </w:t>
            </w:r>
            <w:r w:rsidRPr="00A53B63">
              <w:rPr>
                <w:rFonts w:cstheme="minorHAnsi"/>
                <w:color w:val="231F20"/>
                <w:spacing w:val="-2"/>
                <w:szCs w:val="20"/>
              </w:rPr>
              <w:t xml:space="preserve">recruit </w:t>
            </w:r>
            <w:r w:rsidRPr="00A53B63">
              <w:rPr>
                <w:rFonts w:cstheme="minorHAnsi"/>
                <w:color w:val="231F20"/>
                <w:spacing w:val="-3"/>
                <w:szCs w:val="20"/>
              </w:rPr>
              <w:t>and</w:t>
            </w:r>
            <w:r w:rsidRPr="00A53B63">
              <w:rPr>
                <w:rFonts w:cstheme="minorHAnsi"/>
                <w:color w:val="231F20"/>
                <w:spacing w:val="-19"/>
                <w:szCs w:val="20"/>
              </w:rPr>
              <w:t xml:space="preserve"> </w:t>
            </w:r>
            <w:r w:rsidRPr="00A53B63">
              <w:rPr>
                <w:rFonts w:cstheme="minorHAnsi"/>
                <w:color w:val="231F20"/>
                <w:spacing w:val="-3"/>
                <w:szCs w:val="20"/>
              </w:rPr>
              <w:t>retain</w:t>
            </w:r>
            <w:r w:rsidRPr="00A53B63">
              <w:rPr>
                <w:rFonts w:cstheme="minorHAnsi"/>
                <w:color w:val="231F20"/>
                <w:spacing w:val="-19"/>
                <w:szCs w:val="20"/>
              </w:rPr>
              <w:t xml:space="preserve"> </w:t>
            </w:r>
            <w:r w:rsidRPr="00A53B63">
              <w:rPr>
                <w:rFonts w:cstheme="minorHAnsi"/>
                <w:color w:val="231F20"/>
                <w:spacing w:val="-3"/>
                <w:szCs w:val="20"/>
              </w:rPr>
              <w:t>IT</w:t>
            </w:r>
            <w:r w:rsidRPr="00A53B63">
              <w:rPr>
                <w:rFonts w:cstheme="minorHAnsi"/>
                <w:color w:val="231F20"/>
                <w:spacing w:val="-23"/>
                <w:szCs w:val="20"/>
              </w:rPr>
              <w:t xml:space="preserve"> </w:t>
            </w:r>
            <w:r w:rsidRPr="00A53B63">
              <w:rPr>
                <w:rFonts w:cstheme="minorHAnsi"/>
                <w:color w:val="231F20"/>
                <w:spacing w:val="-3"/>
                <w:szCs w:val="20"/>
              </w:rPr>
              <w:t>staff</w:t>
            </w:r>
          </w:p>
        </w:tc>
      </w:tr>
      <w:tr w:rsidR="00B809CC" w:rsidRPr="002E7042" w14:paraId="0847C1CA" w14:textId="77777777" w:rsidTr="000C7A8D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C92F" w14:textId="77777777" w:rsidR="00B809CC" w:rsidRPr="00720397" w:rsidRDefault="00B809CC" w:rsidP="00265519">
            <w:pPr>
              <w:spacing w:before="40" w:after="40"/>
              <w:rPr>
                <w:rFonts w:cstheme="minorHAnsi"/>
                <w:b/>
                <w:bCs/>
                <w:smallCaps/>
                <w:szCs w:val="20"/>
                <w:lang w:val="en-GB"/>
              </w:rPr>
            </w:pPr>
            <w:r w:rsidRPr="00720397">
              <w:rPr>
                <w:rFonts w:cstheme="minorHAnsi"/>
                <w:b/>
                <w:bCs/>
                <w:smallCaps/>
                <w:szCs w:val="20"/>
                <w:lang w:val="en-GB"/>
              </w:rPr>
              <w:t>R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isk</w:t>
            </w:r>
            <w:r w:rsidRPr="00720397">
              <w:rPr>
                <w:rFonts w:cstheme="minorHAnsi"/>
                <w:b/>
                <w:bCs/>
                <w:smallCaps/>
                <w:szCs w:val="20"/>
                <w:lang w:val="en-GB"/>
              </w:rPr>
              <w:t xml:space="preserve"> T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ype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FFDE" w14:textId="15487B4B" w:rsidR="00B809CC" w:rsidRPr="00A513E3" w:rsidRDefault="4EA59FA8" w:rsidP="4EA59FA8">
            <w:pPr>
              <w:spacing w:before="40" w:after="40" w:line="259" w:lineRule="auto"/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</w:pPr>
            <w:r w:rsidRPr="00A513E3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 xml:space="preserve">2-Service quality; 6-Product &amp; </w:t>
            </w:r>
            <w:r w:rsidR="00F95BA3" w:rsidRPr="00A513E3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s</w:t>
            </w:r>
            <w:r w:rsidRPr="00A513E3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ervice cost</w:t>
            </w:r>
          </w:p>
        </w:tc>
      </w:tr>
      <w:tr w:rsidR="00B809CC" w:rsidRPr="002E7042" w14:paraId="71F5EBDA" w14:textId="77777777" w:rsidTr="000C7A8D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2991" w14:textId="4786CEA5" w:rsidR="00B809CC" w:rsidRPr="00C24C00" w:rsidRDefault="00B809CC" w:rsidP="00265519">
            <w:pPr>
              <w:spacing w:before="40" w:after="40"/>
              <w:rPr>
                <w:rFonts w:cstheme="minorHAnsi"/>
                <w:b/>
                <w:bCs/>
                <w:smallCaps/>
                <w:szCs w:val="20"/>
                <w:lang w:val="en-GB"/>
              </w:rPr>
            </w:pP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>R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isk</w:t>
            </w: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 xml:space="preserve"> S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cenario</w:t>
            </w: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 xml:space="preserve"> C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ategory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6894" w14:textId="27A7BD4D" w:rsidR="00B809CC" w:rsidRPr="00C24C00" w:rsidRDefault="00C24C00" w:rsidP="37E76025">
            <w:pPr>
              <w:spacing w:before="40" w:after="40"/>
              <w:rPr>
                <w:rFonts w:ascii="Calibri" w:eastAsia="Calibri" w:hAnsi="Calibri" w:cs="Calibri"/>
                <w:color w:val="000000" w:themeColor="text1"/>
                <w:szCs w:val="20"/>
                <w:lang w:val="en-GB"/>
              </w:rPr>
            </w:pPr>
            <w:r w:rsidRPr="37E76025">
              <w:rPr>
                <w:color w:val="231F20"/>
                <w:spacing w:val="-4"/>
                <w:w w:val="95"/>
              </w:rPr>
              <w:t xml:space="preserve">IT expertise, </w:t>
            </w:r>
            <w:r w:rsidRPr="37E76025">
              <w:rPr>
                <w:color w:val="231F20"/>
                <w:spacing w:val="-1"/>
                <w:w w:val="90"/>
              </w:rPr>
              <w:t xml:space="preserve">skills </w:t>
            </w:r>
            <w:r w:rsidRPr="37E76025">
              <w:rPr>
                <w:color w:val="231F20"/>
                <w:w w:val="90"/>
              </w:rPr>
              <w:t>and</w:t>
            </w:r>
            <w:r w:rsidRPr="37E76025">
              <w:rPr>
                <w:color w:val="231F20"/>
                <w:spacing w:val="1"/>
                <w:w w:val="90"/>
              </w:rPr>
              <w:t xml:space="preserve"> </w:t>
            </w:r>
            <w:r w:rsidRPr="37E76025">
              <w:rPr>
                <w:color w:val="231F20"/>
              </w:rPr>
              <w:t>behavior</w:t>
            </w:r>
            <w:r w:rsidR="280D55B0" w:rsidRPr="37E76025">
              <w:rPr>
                <w:rFonts w:ascii="Calibri" w:eastAsia="Calibri" w:hAnsi="Calibri" w:cs="Calibri"/>
                <w:color w:val="231F20"/>
                <w:szCs w:val="20"/>
              </w:rPr>
              <w:t>:</w:t>
            </w:r>
            <w:r w:rsidR="280D55B0" w:rsidRPr="37E76025">
              <w:rPr>
                <w:rFonts w:ascii="Calibri" w:eastAsia="Calibri" w:hAnsi="Calibri" w:cs="Calibri"/>
                <w:color w:val="000000" w:themeColor="text1"/>
                <w:szCs w:val="20"/>
                <w:lang w:val="en-GB"/>
              </w:rPr>
              <w:t xml:space="preserve"> Inability to recruit and maintain adequate IT staffing levels to support business needs</w:t>
            </w:r>
          </w:p>
        </w:tc>
      </w:tr>
      <w:tr w:rsidR="00B809CC" w:rsidRPr="002E7042" w14:paraId="56515DF1" w14:textId="77777777" w:rsidTr="000C7A8D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EE3B" w14:textId="5DAE67AA" w:rsidR="00B809CC" w:rsidRPr="00C24C00" w:rsidRDefault="00B809CC" w:rsidP="00A63397">
            <w:pPr>
              <w:rPr>
                <w:rFonts w:cstheme="minorHAnsi"/>
                <w:b/>
                <w:bCs/>
                <w:smallCaps/>
                <w:szCs w:val="20"/>
                <w:lang w:val="en-GB"/>
              </w:rPr>
            </w:pP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>R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isk</w:t>
            </w: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 xml:space="preserve"> S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cenario</w:t>
            </w: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 xml:space="preserve"> R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eference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ED6E" w14:textId="222FF076" w:rsidR="00B809CC" w:rsidRPr="00C24C00" w:rsidRDefault="492B15CB" w:rsidP="1B36BD82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Cs w:val="20"/>
                <w:lang w:val="en-GB"/>
              </w:rPr>
            </w:pPr>
            <w:r w:rsidRPr="1B36BD82">
              <w:rPr>
                <w:rFonts w:ascii="Calibri" w:eastAsia="Calibri" w:hAnsi="Calibri" w:cs="Calibri"/>
                <w:color w:val="000000" w:themeColor="text1"/>
                <w:szCs w:val="20"/>
                <w:lang w:val="en-GB"/>
              </w:rPr>
              <w:t>4C</w:t>
            </w:r>
          </w:p>
        </w:tc>
      </w:tr>
      <w:tr w:rsidR="00B809CC" w:rsidRPr="002E7042" w14:paraId="417B4CF0" w14:textId="77777777" w:rsidTr="000C7A8D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D440" w14:textId="77777777" w:rsidR="00B809CC" w:rsidRPr="00C24C00" w:rsidRDefault="00B809CC" w:rsidP="00265519">
            <w:pPr>
              <w:rPr>
                <w:rFonts w:cstheme="minorHAnsi"/>
                <w:b/>
                <w:bCs/>
                <w:smallCaps/>
                <w:szCs w:val="20"/>
                <w:lang w:val="en-GB"/>
              </w:rPr>
            </w:pP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>R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isk</w:t>
            </w: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 xml:space="preserve"> S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tatement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236F" w14:textId="523A6588" w:rsidR="00B809CC" w:rsidRPr="00F06475" w:rsidRDefault="00C24C00" w:rsidP="00F06475">
            <w:pPr>
              <w:pStyle w:val="TableParagraph"/>
              <w:tabs>
                <w:tab w:val="left" w:pos="402"/>
              </w:tabs>
              <w:spacing w:line="242" w:lineRule="auto"/>
              <w:ind w:right="184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24C00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>The</w:t>
            </w:r>
            <w:r w:rsidRPr="00F06475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 xml:space="preserve"> </w:t>
            </w:r>
            <w:r w:rsidR="00F06475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>organization</w:t>
            </w:r>
            <w:r w:rsidRPr="00F06475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 xml:space="preserve"> </w:t>
            </w:r>
            <w:r w:rsidRPr="00C24C00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>chronically</w:t>
            </w:r>
            <w:r w:rsidRPr="00F06475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 xml:space="preserve"> fails to recruit sufﬁciently </w:t>
            </w:r>
            <w:r w:rsidRPr="00C24C00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>skilled</w:t>
            </w:r>
            <w:r w:rsidRPr="00F06475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 xml:space="preserve"> </w:t>
            </w:r>
            <w:r w:rsidR="00F06475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>IT workers</w:t>
            </w:r>
            <w:r w:rsidRPr="00C24C00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>,</w:t>
            </w:r>
            <w:r w:rsidRPr="00F06475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 xml:space="preserve"> leading to </w:t>
            </w:r>
            <w:r w:rsidR="00F06475" w:rsidRPr="00F06475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 xml:space="preserve">a loss of efficiency in overall technology operation and an </w:t>
            </w:r>
            <w:r w:rsidRPr="00F06475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 xml:space="preserve">increased </w:t>
            </w:r>
            <w:r w:rsidR="00F06475" w:rsidRPr="00F06475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 xml:space="preserve">security </w:t>
            </w:r>
            <w:r w:rsidRPr="00C24C00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>exposure</w:t>
            </w:r>
            <w:r w:rsidR="00F06475">
              <w:rPr>
                <w:rFonts w:asciiTheme="minorHAnsi" w:hAnsiTheme="minorHAnsi" w:cstheme="minorHAnsi"/>
                <w:color w:val="231F20"/>
                <w:spacing w:val="-2"/>
                <w:sz w:val="20"/>
                <w:szCs w:val="20"/>
              </w:rPr>
              <w:t>.</w:t>
            </w:r>
          </w:p>
        </w:tc>
      </w:tr>
      <w:tr w:rsidR="00B809CC" w:rsidRPr="002E7042" w14:paraId="63879F76" w14:textId="77777777" w:rsidTr="000C7A8D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7785" w14:textId="77777777" w:rsidR="00B809CC" w:rsidRPr="00C24C00" w:rsidRDefault="00B809CC" w:rsidP="00265519">
            <w:pPr>
              <w:rPr>
                <w:rFonts w:cstheme="minorHAnsi"/>
                <w:b/>
                <w:bCs/>
                <w:smallCaps/>
                <w:szCs w:val="20"/>
                <w:lang w:val="en-GB"/>
              </w:rPr>
            </w:pP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>R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isk</w:t>
            </w:r>
            <w:r w:rsidRPr="00C24C00">
              <w:rPr>
                <w:rFonts w:cstheme="minorHAnsi"/>
                <w:b/>
                <w:bCs/>
                <w:smallCaps/>
                <w:szCs w:val="20"/>
                <w:lang w:val="en-GB"/>
              </w:rPr>
              <w:t xml:space="preserve"> O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wner</w:t>
            </w:r>
          </w:p>
        </w:tc>
        <w:tc>
          <w:tcPr>
            <w:tcW w:w="3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3B10" w14:textId="738540E9" w:rsidR="00B809CC" w:rsidRPr="00C24C00" w:rsidRDefault="6B98DAD6" w:rsidP="6B98DAD6">
            <w:pPr>
              <w:rPr>
                <w:i/>
                <w:iCs/>
                <w:szCs w:val="20"/>
                <w:lang w:val="en-GB"/>
              </w:rPr>
            </w:pPr>
            <w:r w:rsidRPr="00A513E3">
              <w:rPr>
                <w:iCs/>
                <w:lang w:val="en-GB"/>
              </w:rPr>
              <w:t>Head Human Resources, Business Process Owner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B11F" w14:textId="77777777" w:rsidR="00B809CC" w:rsidRPr="00377D4A" w:rsidRDefault="00B809CC" w:rsidP="00265519">
            <w:pPr>
              <w:rPr>
                <w:rFonts w:cstheme="minorHAnsi"/>
                <w:i/>
                <w:iCs/>
                <w:szCs w:val="20"/>
                <w:lang w:val="en-GB"/>
              </w:rPr>
            </w:pPr>
            <w:r w:rsidRPr="00377D4A">
              <w:rPr>
                <w:rFonts w:cstheme="minorHAnsi"/>
                <w:b/>
                <w:bCs/>
                <w:smallCaps/>
                <w:szCs w:val="20"/>
                <w:lang w:val="en-GB"/>
              </w:rPr>
              <w:t>R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isk</w:t>
            </w:r>
            <w:r w:rsidRPr="00377D4A">
              <w:rPr>
                <w:rFonts w:cstheme="minorHAnsi"/>
                <w:b/>
                <w:bCs/>
                <w:smallCaps/>
                <w:szCs w:val="20"/>
                <w:lang w:val="en-GB"/>
              </w:rPr>
              <w:t xml:space="preserve"> O</w:t>
            </w:r>
            <w:r w:rsidRPr="00A513E3">
              <w:rPr>
                <w:rFonts w:cstheme="minorHAnsi"/>
                <w:b/>
                <w:bCs/>
                <w:szCs w:val="20"/>
                <w:lang w:val="en-GB"/>
              </w:rPr>
              <w:t>versight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EA13" w14:textId="29E1FCA2" w:rsidR="00B809CC" w:rsidRPr="00A513E3" w:rsidRDefault="6B98DAD6" w:rsidP="00554FFD">
            <w:pPr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COO/CRO</w:t>
            </w:r>
          </w:p>
        </w:tc>
      </w:tr>
    </w:tbl>
    <w:p w14:paraId="7DDC12D6" w14:textId="77777777" w:rsidR="00A63397" w:rsidRDefault="00A63397"/>
    <w:tbl>
      <w:tblPr>
        <w:tblStyle w:val="TableGrid"/>
        <w:tblW w:w="962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1857"/>
        <w:gridCol w:w="2762"/>
        <w:gridCol w:w="3274"/>
      </w:tblGrid>
      <w:tr w:rsidR="00B37C68" w:rsidRPr="00127CA4" w14:paraId="04F939BB" w14:textId="77777777" w:rsidTr="000C7A8D">
        <w:tc>
          <w:tcPr>
            <w:tcW w:w="9628" w:type="dxa"/>
            <w:gridSpan w:val="4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6576431A" w14:textId="400474E7" w:rsidR="00B37C68" w:rsidRPr="00B37C68" w:rsidRDefault="00B37C68" w:rsidP="00B37C68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</w:pPr>
            <w:r w:rsidRPr="00B37C68"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  <w:t>R</w:t>
            </w:r>
            <w:r w:rsidRPr="00A513E3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isk</w:t>
            </w:r>
            <w:r w:rsidRPr="00B37C68"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  <w:t xml:space="preserve"> S</w:t>
            </w:r>
            <w:r w:rsidRPr="00A513E3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cenario</w:t>
            </w:r>
            <w:r w:rsidRPr="00B37C68"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  <w:t xml:space="preserve"> C</w:t>
            </w:r>
            <w:r w:rsidRPr="00A513E3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omponents</w:t>
            </w:r>
            <w:r w:rsidRPr="00B37C68"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  <w:t xml:space="preserve"> </w:t>
            </w:r>
          </w:p>
        </w:tc>
      </w:tr>
      <w:tr w:rsidR="00FA4A42" w:rsidRPr="002E7042" w14:paraId="57E5B134" w14:textId="77777777" w:rsidTr="000C7A8D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6305" w14:textId="77777777" w:rsidR="00FA4A42" w:rsidRPr="002E70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  <w:r w:rsidRPr="002E7042">
              <w:rPr>
                <w:b/>
                <w:bCs/>
                <w:smallCaps/>
                <w:szCs w:val="20"/>
                <w:lang w:val="en-GB"/>
              </w:rPr>
              <w:t>A</w:t>
            </w:r>
            <w:r w:rsidRPr="00A513E3">
              <w:rPr>
                <w:b/>
                <w:bCs/>
                <w:szCs w:val="20"/>
                <w:lang w:val="en-GB"/>
              </w:rPr>
              <w:t>ctor</w:t>
            </w:r>
            <w:r w:rsidRPr="002E7042">
              <w:rPr>
                <w:b/>
                <w:bCs/>
                <w:smallCaps/>
                <w:szCs w:val="20"/>
                <w:lang w:val="en-GB"/>
              </w:rPr>
              <w:t>/T</w:t>
            </w:r>
            <w:r w:rsidRPr="00A513E3">
              <w:rPr>
                <w:b/>
                <w:bCs/>
                <w:szCs w:val="20"/>
                <w:lang w:val="en-GB"/>
              </w:rPr>
              <w:t>hreat</w:t>
            </w:r>
            <w:r w:rsidRPr="002E7042">
              <w:rPr>
                <w:b/>
                <w:bCs/>
                <w:smallCaps/>
                <w:szCs w:val="20"/>
                <w:lang w:val="en-GB"/>
              </w:rPr>
              <w:t xml:space="preserve"> C</w:t>
            </w:r>
            <w:r w:rsidRPr="00A513E3">
              <w:rPr>
                <w:b/>
                <w:bCs/>
                <w:szCs w:val="20"/>
                <w:lang w:val="en-GB"/>
              </w:rPr>
              <w:t>ommunity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CCE7" w14:textId="77845020" w:rsidR="00FA4A42" w:rsidRPr="00A513E3" w:rsidRDefault="002B7EBA" w:rsidP="6B98DAD6">
            <w:pPr>
              <w:spacing w:before="40" w:after="40"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Human resources, hiring managers</w:t>
            </w:r>
          </w:p>
        </w:tc>
      </w:tr>
      <w:tr w:rsidR="00FA4A42" w:rsidRPr="002E7042" w14:paraId="5A25CE13" w14:textId="77777777" w:rsidTr="000C7A8D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F853" w14:textId="3CCE04DC" w:rsidR="00FA4A42" w:rsidRPr="002E70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  <w:r w:rsidRPr="002E7042">
              <w:rPr>
                <w:b/>
                <w:bCs/>
                <w:smallCaps/>
                <w:szCs w:val="20"/>
                <w:lang w:val="en-GB"/>
              </w:rPr>
              <w:t>I</w:t>
            </w:r>
            <w:r w:rsidRPr="00A513E3">
              <w:rPr>
                <w:b/>
                <w:bCs/>
                <w:szCs w:val="20"/>
                <w:lang w:val="en-GB"/>
              </w:rPr>
              <w:t>ntent</w:t>
            </w:r>
            <w:r w:rsidRPr="002E7042">
              <w:rPr>
                <w:b/>
                <w:bCs/>
                <w:smallCaps/>
                <w:szCs w:val="20"/>
                <w:lang w:val="en-GB"/>
              </w:rPr>
              <w:t>/</w:t>
            </w:r>
            <w:r w:rsidR="00A513E3">
              <w:rPr>
                <w:b/>
                <w:bCs/>
                <w:smallCaps/>
                <w:szCs w:val="20"/>
                <w:lang w:val="en-GB"/>
              </w:rPr>
              <w:t xml:space="preserve"> </w:t>
            </w:r>
            <w:r w:rsidRPr="002E7042">
              <w:rPr>
                <w:b/>
                <w:bCs/>
                <w:smallCaps/>
                <w:szCs w:val="20"/>
                <w:lang w:val="en-GB"/>
              </w:rPr>
              <w:t>M</w:t>
            </w:r>
            <w:r w:rsidRPr="00A513E3">
              <w:rPr>
                <w:b/>
                <w:bCs/>
                <w:szCs w:val="20"/>
                <w:lang w:val="en-GB"/>
              </w:rPr>
              <w:t>otivation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593A" w14:textId="567CE5C7" w:rsidR="0037009C" w:rsidRPr="00A513E3" w:rsidRDefault="4EA59FA8" w:rsidP="4EA59FA8">
            <w:pPr>
              <w:spacing w:before="40" w:after="40"/>
              <w:contextualSpacing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The organization may be unable to attract and retain IT staff due to various internal reasons. Insufficient staff retention can also result in an early departure of trained IT staff.</w:t>
            </w:r>
          </w:p>
        </w:tc>
      </w:tr>
      <w:tr w:rsidR="00FA4A42" w:rsidRPr="002E7042" w14:paraId="17F112F8" w14:textId="77777777" w:rsidTr="000C7A8D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9E18" w14:textId="77777777" w:rsidR="00FA4A42" w:rsidRPr="002E70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  <w:r w:rsidRPr="002E7042">
              <w:rPr>
                <w:b/>
                <w:bCs/>
                <w:smallCaps/>
                <w:szCs w:val="20"/>
                <w:lang w:val="en-GB"/>
              </w:rPr>
              <w:t>T</w:t>
            </w:r>
            <w:r w:rsidRPr="00A513E3">
              <w:rPr>
                <w:b/>
                <w:bCs/>
                <w:szCs w:val="20"/>
                <w:lang w:val="en-GB"/>
              </w:rPr>
              <w:t>hreat</w:t>
            </w:r>
            <w:r w:rsidRPr="002E7042">
              <w:rPr>
                <w:b/>
                <w:bCs/>
                <w:smallCaps/>
                <w:szCs w:val="20"/>
                <w:lang w:val="en-GB"/>
              </w:rPr>
              <w:t xml:space="preserve"> E</w:t>
            </w:r>
            <w:r w:rsidRPr="00A513E3">
              <w:rPr>
                <w:b/>
                <w:bCs/>
                <w:szCs w:val="20"/>
                <w:lang w:val="en-GB"/>
              </w:rPr>
              <w:t>vent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EDD7" w14:textId="1051C07F" w:rsidR="00E4779C" w:rsidRPr="00A513E3" w:rsidRDefault="4EA59FA8" w:rsidP="4EA59FA8">
            <w:pPr>
              <w:spacing w:before="40" w:after="40"/>
              <w:contextualSpacing/>
              <w:rPr>
                <w:iCs/>
                <w:szCs w:val="20"/>
                <w:lang w:val="en-GB"/>
              </w:rPr>
            </w:pPr>
            <w:r w:rsidRPr="00A513E3">
              <w:rPr>
                <w:iCs/>
                <w:lang w:val="en-GB"/>
              </w:rPr>
              <w:t xml:space="preserve">The most likely threat event is increased costs, mistakes, </w:t>
            </w:r>
            <w:proofErr w:type="gramStart"/>
            <w:r w:rsidRPr="00A513E3">
              <w:rPr>
                <w:iCs/>
                <w:lang w:val="en-GB"/>
              </w:rPr>
              <w:t>errors</w:t>
            </w:r>
            <w:proofErr w:type="gramEnd"/>
            <w:r w:rsidR="0050156D" w:rsidRPr="00A513E3">
              <w:rPr>
                <w:iCs/>
                <w:lang w:val="en-GB"/>
              </w:rPr>
              <w:t xml:space="preserve"> and</w:t>
            </w:r>
            <w:r w:rsidRPr="00A513E3">
              <w:rPr>
                <w:iCs/>
                <w:lang w:val="en-GB"/>
              </w:rPr>
              <w:t xml:space="preserve"> omissions, and missed deadlines</w:t>
            </w:r>
            <w:r w:rsidR="0050156D" w:rsidRPr="00A513E3">
              <w:rPr>
                <w:iCs/>
                <w:lang w:val="en-GB"/>
              </w:rPr>
              <w:t>,</w:t>
            </w:r>
            <w:r w:rsidRPr="00A513E3">
              <w:rPr>
                <w:iCs/>
                <w:lang w:val="en-GB"/>
              </w:rPr>
              <w:t xml:space="preserve"> or taking more time </w:t>
            </w:r>
            <w:r w:rsidR="0050156D" w:rsidRPr="00A513E3">
              <w:rPr>
                <w:iCs/>
                <w:lang w:val="en-GB"/>
              </w:rPr>
              <w:t>to</w:t>
            </w:r>
            <w:r w:rsidRPr="00A513E3">
              <w:rPr>
                <w:iCs/>
                <w:lang w:val="en-GB"/>
              </w:rPr>
              <w:t xml:space="preserve"> resolv</w:t>
            </w:r>
            <w:r w:rsidR="0050156D" w:rsidRPr="00A513E3">
              <w:rPr>
                <w:iCs/>
                <w:lang w:val="en-GB"/>
              </w:rPr>
              <w:t>e</w:t>
            </w:r>
            <w:r w:rsidRPr="00A513E3">
              <w:rPr>
                <w:iCs/>
                <w:lang w:val="en-GB"/>
              </w:rPr>
              <w:t xml:space="preserve"> an issue</w:t>
            </w:r>
            <w:r w:rsidR="0050156D" w:rsidRPr="00A513E3">
              <w:rPr>
                <w:iCs/>
                <w:lang w:val="en-GB"/>
              </w:rPr>
              <w:t>,</w:t>
            </w:r>
            <w:r w:rsidRPr="00A513E3">
              <w:rPr>
                <w:iCs/>
                <w:lang w:val="en-GB"/>
              </w:rPr>
              <w:t xml:space="preserve"> </w:t>
            </w:r>
            <w:r w:rsidR="0050156D" w:rsidRPr="00A513E3">
              <w:rPr>
                <w:iCs/>
                <w:lang w:val="en-GB"/>
              </w:rPr>
              <w:t xml:space="preserve">because </w:t>
            </w:r>
            <w:r w:rsidRPr="00A513E3">
              <w:rPr>
                <w:iCs/>
                <w:lang w:val="en-GB"/>
              </w:rPr>
              <w:t>the staffing is not sufficient for the work to be done.</w:t>
            </w:r>
          </w:p>
        </w:tc>
      </w:tr>
      <w:tr w:rsidR="00FA4A42" w:rsidRPr="002E7042" w14:paraId="72B28630" w14:textId="77777777" w:rsidTr="000C7A8D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80F9" w14:textId="77777777" w:rsidR="00FA4A42" w:rsidRPr="002E70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  <w:r w:rsidRPr="002E7042">
              <w:rPr>
                <w:b/>
                <w:bCs/>
                <w:smallCaps/>
                <w:szCs w:val="20"/>
                <w:lang w:val="en-GB"/>
              </w:rPr>
              <w:t>A</w:t>
            </w:r>
            <w:r w:rsidRPr="00A513E3">
              <w:rPr>
                <w:b/>
                <w:bCs/>
                <w:szCs w:val="20"/>
                <w:lang w:val="en-GB"/>
              </w:rPr>
              <w:t>ssets</w:t>
            </w:r>
            <w:r w:rsidRPr="002E7042">
              <w:rPr>
                <w:b/>
                <w:bCs/>
                <w:smallCaps/>
                <w:szCs w:val="20"/>
                <w:lang w:val="en-GB"/>
              </w:rPr>
              <w:t>/R</w:t>
            </w:r>
            <w:r w:rsidRPr="00A513E3">
              <w:rPr>
                <w:b/>
                <w:bCs/>
                <w:szCs w:val="20"/>
                <w:lang w:val="en-GB"/>
              </w:rPr>
              <w:t>esources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DD73" w14:textId="05168710" w:rsidR="00C1186D" w:rsidRPr="00554FFD" w:rsidRDefault="0050156D" w:rsidP="6B98DAD6">
            <w:pPr>
              <w:spacing w:before="40" w:after="40" w:line="259" w:lineRule="auto"/>
              <w:contextualSpacing/>
              <w:rPr>
                <w:rFonts w:ascii="Calibri" w:eastAsia="Calibri" w:hAnsi="Calibri" w:cs="Calibri"/>
                <w:color w:val="000000" w:themeColor="text1"/>
                <w:szCs w:val="20"/>
                <w:lang w:val="en-GB"/>
              </w:rPr>
            </w:pPr>
            <w:r w:rsidRPr="00A513E3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 xml:space="preserve">Enterprise </w:t>
            </w:r>
            <w:r w:rsidR="6B98DAD6" w:rsidRPr="00A513E3">
              <w:rPr>
                <w:rFonts w:ascii="Calibri" w:eastAsia="Calibri" w:hAnsi="Calibri" w:cs="Calibri"/>
                <w:iCs/>
                <w:color w:val="000000" w:themeColor="text1"/>
                <w:szCs w:val="20"/>
                <w:lang w:val="en-GB"/>
              </w:rPr>
              <w:t>systems, data, productivity and reputation</w:t>
            </w:r>
          </w:p>
          <w:p w14:paraId="5581E171" w14:textId="275B1660" w:rsidR="00C1186D" w:rsidRPr="008E0564" w:rsidRDefault="00C1186D" w:rsidP="6B98DAD6">
            <w:pPr>
              <w:spacing w:before="40" w:after="40"/>
              <w:contextualSpacing/>
              <w:rPr>
                <w:i/>
                <w:iCs/>
                <w:szCs w:val="20"/>
                <w:lang w:val="en-GB"/>
              </w:rPr>
            </w:pPr>
          </w:p>
        </w:tc>
      </w:tr>
      <w:tr w:rsidR="00FA4A42" w:rsidRPr="002E7042" w14:paraId="2466F99C" w14:textId="77777777" w:rsidTr="000C7A8D"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CCFC" w14:textId="5CFE65C9" w:rsidR="00FA4A42" w:rsidRPr="002E7042" w:rsidRDefault="00FA4A42" w:rsidP="00A63397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  <w:r>
              <w:rPr>
                <w:b/>
                <w:bCs/>
                <w:smallCaps/>
                <w:szCs w:val="20"/>
                <w:lang w:val="en-GB"/>
              </w:rPr>
              <w:t>C</w:t>
            </w:r>
            <w:r w:rsidRPr="00A513E3">
              <w:rPr>
                <w:b/>
                <w:bCs/>
                <w:szCs w:val="20"/>
                <w:lang w:val="en-GB"/>
              </w:rPr>
              <w:t>onsequence</w:t>
            </w:r>
          </w:p>
        </w:tc>
        <w:tc>
          <w:tcPr>
            <w:tcW w:w="78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4B2D" w14:textId="77777777" w:rsidR="00FA4A42" w:rsidRPr="00A513E3" w:rsidRDefault="4EA59FA8" w:rsidP="4EA59FA8">
            <w:pPr>
              <w:pStyle w:val="ListParagraph"/>
              <w:numPr>
                <w:ilvl w:val="0"/>
                <w:numId w:val="26"/>
              </w:numPr>
              <w:spacing w:before="40" w:after="40"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Increased hiring costs</w:t>
            </w:r>
          </w:p>
          <w:p w14:paraId="6C191604" w14:textId="718B796F" w:rsidR="005E4696" w:rsidRPr="00A513E3" w:rsidRDefault="4EA59FA8" w:rsidP="4EA59FA8">
            <w:pPr>
              <w:pStyle w:val="ListParagraph"/>
              <w:numPr>
                <w:ilvl w:val="0"/>
                <w:numId w:val="26"/>
              </w:numPr>
              <w:spacing w:before="40" w:after="40"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Consultant/external staffing expenses</w:t>
            </w:r>
          </w:p>
          <w:p w14:paraId="1A61B689" w14:textId="77777777" w:rsidR="004E2D6A" w:rsidRPr="00A513E3" w:rsidRDefault="6B98DAD6" w:rsidP="6B98DAD6">
            <w:pPr>
              <w:pStyle w:val="ListParagraph"/>
              <w:numPr>
                <w:ilvl w:val="0"/>
                <w:numId w:val="26"/>
              </w:numPr>
              <w:spacing w:before="40" w:after="40"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Poor return on investments in staff training</w:t>
            </w:r>
          </w:p>
          <w:p w14:paraId="0962532A" w14:textId="1B9E6FE1" w:rsidR="00FF310D" w:rsidRPr="00A513E3" w:rsidRDefault="00FF310D" w:rsidP="00FF310D">
            <w:pPr>
              <w:pStyle w:val="ListParagraph"/>
              <w:numPr>
                <w:ilvl w:val="0"/>
                <w:numId w:val="26"/>
              </w:numPr>
              <w:rPr>
                <w:iCs/>
                <w:szCs w:val="20"/>
                <w:lang w:val="en-GB"/>
              </w:rPr>
            </w:pPr>
            <w:r w:rsidRPr="00A513E3">
              <w:rPr>
                <w:iCs/>
                <w:szCs w:val="20"/>
                <w:lang w:val="en-GB"/>
              </w:rPr>
              <w:t xml:space="preserve">Productivity loss, possible reputation </w:t>
            </w:r>
            <w:r w:rsidR="007056FA" w:rsidRPr="00A513E3">
              <w:rPr>
                <w:iCs/>
                <w:szCs w:val="20"/>
                <w:lang w:val="en-GB"/>
              </w:rPr>
              <w:t xml:space="preserve">loss </w:t>
            </w:r>
            <w:r w:rsidRPr="00A513E3">
              <w:rPr>
                <w:iCs/>
                <w:szCs w:val="20"/>
                <w:lang w:val="en-GB"/>
              </w:rPr>
              <w:t xml:space="preserve">and loss of competitive advantage due </w:t>
            </w:r>
            <w:r w:rsidR="005926EA">
              <w:rPr>
                <w:iCs/>
                <w:szCs w:val="20"/>
                <w:lang w:val="en-GB"/>
              </w:rPr>
              <w:t xml:space="preserve">to </w:t>
            </w:r>
            <w:r w:rsidRPr="00A513E3">
              <w:rPr>
                <w:iCs/>
                <w:szCs w:val="20"/>
                <w:lang w:val="en-GB"/>
              </w:rPr>
              <w:t>system outages</w:t>
            </w:r>
          </w:p>
          <w:p w14:paraId="430EA89A" w14:textId="0A8143C0" w:rsidR="00FF310D" w:rsidRPr="00A513E3" w:rsidRDefault="6B98DAD6" w:rsidP="6B98DAD6">
            <w:pPr>
              <w:pStyle w:val="ListParagraph"/>
              <w:numPr>
                <w:ilvl w:val="0"/>
                <w:numId w:val="26"/>
              </w:numPr>
              <w:spacing w:before="40" w:after="40"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Uptime requirements, SLAs, and contractual and legal obligations may also be affected</w:t>
            </w:r>
          </w:p>
        </w:tc>
      </w:tr>
      <w:tr w:rsidR="00FA4A42" w:rsidRPr="002E7042" w14:paraId="4423A0C0" w14:textId="77777777" w:rsidTr="000C7A8D">
        <w:trPr>
          <w:trHeight w:val="308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8B19" w14:textId="77777777" w:rsidR="00FA4A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051D" w14:textId="77777777" w:rsidR="00FA4A42" w:rsidRDefault="00FA4A42" w:rsidP="00FA4A42">
            <w:pPr>
              <w:spacing w:before="40" w:after="40"/>
              <w:contextualSpacing/>
              <w:rPr>
                <w:i/>
                <w:iCs/>
                <w:szCs w:val="20"/>
                <w:lang w:val="en-GB"/>
              </w:rPr>
            </w:pPr>
            <w:r>
              <w:rPr>
                <w:b/>
                <w:bCs/>
                <w:smallCaps/>
                <w:szCs w:val="20"/>
                <w:lang w:val="en-GB"/>
              </w:rPr>
              <w:t>I</w:t>
            </w:r>
            <w:r w:rsidRPr="00A513E3">
              <w:rPr>
                <w:b/>
                <w:bCs/>
                <w:szCs w:val="20"/>
                <w:lang w:val="en-GB"/>
              </w:rPr>
              <w:t>mpact</w:t>
            </w:r>
            <w:r>
              <w:rPr>
                <w:b/>
                <w:bCs/>
                <w:smallCaps/>
                <w:szCs w:val="20"/>
                <w:lang w:val="en-GB"/>
              </w:rPr>
              <w:t xml:space="preserve"> D</w:t>
            </w:r>
            <w:r w:rsidRPr="00A513E3">
              <w:rPr>
                <w:b/>
                <w:bCs/>
                <w:szCs w:val="20"/>
                <w:lang w:val="en-GB"/>
              </w:rPr>
              <w:t>imensions</w:t>
            </w:r>
            <w:r>
              <w:rPr>
                <w:b/>
                <w:bCs/>
                <w:smallCaps/>
                <w:szCs w:val="20"/>
                <w:lang w:val="en-GB"/>
              </w:rPr>
              <w:t xml:space="preserve"> (</w:t>
            </w:r>
            <w:r w:rsidRPr="00A513E3">
              <w:rPr>
                <w:b/>
                <w:bCs/>
                <w:szCs w:val="20"/>
                <w:lang w:val="en-GB"/>
              </w:rPr>
              <w:t>potential forms of loss</w:t>
            </w:r>
            <w:r>
              <w:rPr>
                <w:b/>
                <w:bCs/>
                <w:smallCaps/>
                <w:szCs w:val="20"/>
                <w:lang w:val="en-GB"/>
              </w:rPr>
              <w:t>)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BE9E" w14:textId="3D375530" w:rsidR="00FA4A42" w:rsidRPr="00180808" w:rsidRDefault="4EA59FA8" w:rsidP="4EA59FA8">
            <w:pPr>
              <w:pStyle w:val="ListParagraph"/>
              <w:numPr>
                <w:ilvl w:val="0"/>
                <w:numId w:val="32"/>
              </w:numPr>
              <w:spacing w:before="40" w:after="40" w:line="288" w:lineRule="auto"/>
              <w:rPr>
                <w:rFonts w:eastAsiaTheme="minorEastAsia"/>
                <w:szCs w:val="20"/>
                <w:lang w:val="en-GB"/>
              </w:rPr>
            </w:pPr>
            <w:r w:rsidRPr="4EA59FA8">
              <w:rPr>
                <w:lang w:val="en-GB"/>
              </w:rPr>
              <w:t>Productivity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7051" w14:textId="21D890CC" w:rsidR="00FA4A42" w:rsidRPr="00A513E3" w:rsidRDefault="4EA59FA8" w:rsidP="4EA59FA8">
            <w:pPr>
              <w:spacing w:before="40" w:after="40"/>
              <w:contextualSpacing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If the organization is not able to recruit and retain IT staff</w:t>
            </w:r>
            <w:r w:rsidR="007056FA" w:rsidRPr="00A513E3">
              <w:rPr>
                <w:iCs/>
                <w:lang w:val="en-GB"/>
              </w:rPr>
              <w:t>,</w:t>
            </w:r>
            <w:r w:rsidRPr="00A513E3">
              <w:rPr>
                <w:iCs/>
                <w:lang w:val="en-GB"/>
              </w:rPr>
              <w:t xml:space="preserve"> this reduce</w:t>
            </w:r>
            <w:r w:rsidR="007056FA" w:rsidRPr="00A513E3">
              <w:rPr>
                <w:iCs/>
                <w:lang w:val="en-GB"/>
              </w:rPr>
              <w:t>s</w:t>
            </w:r>
            <w:r w:rsidRPr="00A513E3">
              <w:rPr>
                <w:iCs/>
                <w:lang w:val="en-GB"/>
              </w:rPr>
              <w:t xml:space="preserve"> overall productivity of the organization.</w:t>
            </w:r>
          </w:p>
        </w:tc>
      </w:tr>
      <w:tr w:rsidR="00FA4A42" w:rsidRPr="002E7042" w14:paraId="39E0DA2B" w14:textId="77777777" w:rsidTr="000C7A8D">
        <w:trPr>
          <w:trHeight w:val="306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D0F9" w14:textId="77777777" w:rsidR="00FA4A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B786" w14:textId="77777777" w:rsidR="00FA4A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A097" w14:textId="30B3222C" w:rsidR="00FA4A42" w:rsidRPr="00180808" w:rsidRDefault="4EA59FA8" w:rsidP="4EA59FA8">
            <w:pPr>
              <w:pStyle w:val="ListParagraph"/>
              <w:numPr>
                <w:ilvl w:val="0"/>
                <w:numId w:val="31"/>
              </w:numPr>
              <w:spacing w:before="40" w:after="40" w:line="288" w:lineRule="auto"/>
              <w:rPr>
                <w:rFonts w:eastAsiaTheme="minorEastAsia"/>
                <w:szCs w:val="20"/>
                <w:lang w:val="en-GB"/>
              </w:rPr>
            </w:pPr>
            <w:r w:rsidRPr="4EA59FA8">
              <w:rPr>
                <w:lang w:val="en-GB"/>
              </w:rPr>
              <w:t>Cost of Response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A794" w14:textId="7601232B" w:rsidR="00FA4A42" w:rsidRPr="00554FFD" w:rsidRDefault="4EA59FA8" w:rsidP="002B7EBA">
            <w:pPr>
              <w:spacing w:before="40" w:after="40"/>
              <w:contextualSpacing/>
              <w:rPr>
                <w:lang w:val="en-GB"/>
              </w:rPr>
            </w:pPr>
            <w:r w:rsidRPr="00A513E3">
              <w:rPr>
                <w:iCs/>
                <w:lang w:val="en-GB"/>
              </w:rPr>
              <w:t>If the organization is not able to recruit and retain IT staff</w:t>
            </w:r>
            <w:r w:rsidR="007056FA" w:rsidRPr="00A513E3">
              <w:rPr>
                <w:iCs/>
                <w:lang w:val="en-GB"/>
              </w:rPr>
              <w:t>,</w:t>
            </w:r>
            <w:r w:rsidRPr="00A513E3">
              <w:rPr>
                <w:iCs/>
                <w:lang w:val="en-GB"/>
              </w:rPr>
              <w:t xml:space="preserve"> the overall cost of operations increase</w:t>
            </w:r>
            <w:r w:rsidR="007056FA" w:rsidRPr="00A513E3">
              <w:rPr>
                <w:iCs/>
                <w:lang w:val="en-GB"/>
              </w:rPr>
              <w:t>s</w:t>
            </w:r>
            <w:r w:rsidRPr="00A513E3">
              <w:rPr>
                <w:iCs/>
                <w:lang w:val="en-GB"/>
              </w:rPr>
              <w:t xml:space="preserve"> due to hiring of external experts or outsourcing the work.</w:t>
            </w:r>
          </w:p>
        </w:tc>
      </w:tr>
      <w:tr w:rsidR="00FA4A42" w:rsidRPr="002E7042" w14:paraId="140CFA47" w14:textId="77777777" w:rsidTr="000C7A8D">
        <w:trPr>
          <w:trHeight w:val="306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71C7" w14:textId="77777777" w:rsidR="00FA4A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7DB6" w14:textId="77777777" w:rsidR="00FA4A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1647" w14:textId="77777777" w:rsidR="00FA4A42" w:rsidRPr="00767A98" w:rsidRDefault="00FA4A42" w:rsidP="00FA4A42">
            <w:pPr>
              <w:pStyle w:val="ListParagraph"/>
              <w:numPr>
                <w:ilvl w:val="0"/>
                <w:numId w:val="5"/>
              </w:numPr>
              <w:spacing w:before="40" w:after="40" w:line="288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Replacement Cost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70C5" w14:textId="24EDC726" w:rsidR="00FA4A42" w:rsidRPr="00A513E3" w:rsidRDefault="6B98DAD6" w:rsidP="6B98DAD6">
            <w:pPr>
              <w:spacing w:before="40" w:after="40" w:line="288" w:lineRule="auto"/>
              <w:contextualSpacing/>
              <w:rPr>
                <w:iCs/>
                <w:szCs w:val="20"/>
                <w:lang w:val="en-GB"/>
              </w:rPr>
            </w:pPr>
            <w:r w:rsidRPr="00A513E3">
              <w:rPr>
                <w:iCs/>
                <w:lang w:val="en-GB"/>
              </w:rPr>
              <w:t>N/A</w:t>
            </w:r>
          </w:p>
        </w:tc>
      </w:tr>
      <w:tr w:rsidR="00FA4A42" w:rsidRPr="002E7042" w14:paraId="09CA5DD9" w14:textId="77777777" w:rsidTr="000C7A8D">
        <w:trPr>
          <w:trHeight w:val="306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3EEC" w14:textId="77777777" w:rsidR="00FA4A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85D" w14:textId="77777777" w:rsidR="00FA4A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7C8C" w14:textId="77777777" w:rsidR="00FA4A42" w:rsidRPr="00742D1B" w:rsidRDefault="00FA4A42" w:rsidP="0055795E">
            <w:pPr>
              <w:pStyle w:val="ListParagraph"/>
              <w:numPr>
                <w:ilvl w:val="0"/>
                <w:numId w:val="23"/>
              </w:numPr>
              <w:spacing w:before="40" w:after="40" w:line="288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Competitive Advantage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E4AC" w14:textId="2C4656B4" w:rsidR="00FA4A42" w:rsidRPr="00A513E3" w:rsidRDefault="00BC3F22" w:rsidP="0057634A">
            <w:pPr>
              <w:spacing w:before="40" w:after="40"/>
              <w:contextualSpacing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 xml:space="preserve">Insufficient </w:t>
            </w:r>
            <w:r w:rsidR="00EF1ECD" w:rsidRPr="00A513E3">
              <w:rPr>
                <w:iCs/>
                <w:lang w:val="en-GB"/>
              </w:rPr>
              <w:t>competent IT staff impact</w:t>
            </w:r>
            <w:r w:rsidR="007056FA" w:rsidRPr="00A513E3">
              <w:rPr>
                <w:iCs/>
                <w:lang w:val="en-GB"/>
              </w:rPr>
              <w:t>s</w:t>
            </w:r>
            <w:r w:rsidR="00EF1ECD" w:rsidRPr="00A513E3">
              <w:rPr>
                <w:iCs/>
                <w:lang w:val="en-GB"/>
              </w:rPr>
              <w:t xml:space="preserve"> productivity and quality</w:t>
            </w:r>
            <w:r w:rsidR="007056FA" w:rsidRPr="00A513E3">
              <w:rPr>
                <w:iCs/>
                <w:lang w:val="en-GB"/>
              </w:rPr>
              <w:t>,</w:t>
            </w:r>
            <w:r w:rsidR="00EF1ECD" w:rsidRPr="00A513E3">
              <w:rPr>
                <w:iCs/>
                <w:lang w:val="en-GB"/>
              </w:rPr>
              <w:t xml:space="preserve"> which</w:t>
            </w:r>
            <w:r w:rsidR="007056FA" w:rsidRPr="00A513E3">
              <w:rPr>
                <w:iCs/>
                <w:lang w:val="en-GB"/>
              </w:rPr>
              <w:t>,</w:t>
            </w:r>
            <w:r w:rsidR="00EF1ECD" w:rsidRPr="00A513E3">
              <w:rPr>
                <w:iCs/>
                <w:lang w:val="en-GB"/>
              </w:rPr>
              <w:t xml:space="preserve"> in turn</w:t>
            </w:r>
            <w:r w:rsidR="007056FA" w:rsidRPr="00A513E3">
              <w:rPr>
                <w:iCs/>
                <w:lang w:val="en-GB"/>
              </w:rPr>
              <w:t>,</w:t>
            </w:r>
            <w:r w:rsidR="00EF1ECD" w:rsidRPr="00A513E3">
              <w:rPr>
                <w:iCs/>
                <w:lang w:val="en-GB"/>
              </w:rPr>
              <w:t xml:space="preserve"> impact </w:t>
            </w:r>
            <w:r w:rsidR="00AF4BC9" w:rsidRPr="00A513E3">
              <w:rPr>
                <w:iCs/>
                <w:lang w:val="en-GB"/>
              </w:rPr>
              <w:t xml:space="preserve">the enterprise </w:t>
            </w:r>
            <w:r w:rsidR="00EF1ECD" w:rsidRPr="00A513E3">
              <w:rPr>
                <w:iCs/>
                <w:lang w:val="en-GB"/>
              </w:rPr>
              <w:t>competitive advantage.</w:t>
            </w:r>
          </w:p>
        </w:tc>
      </w:tr>
      <w:tr w:rsidR="00FA4A42" w:rsidRPr="002E7042" w14:paraId="75E9A603" w14:textId="77777777" w:rsidTr="000C7A8D">
        <w:trPr>
          <w:trHeight w:val="306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0C9F" w14:textId="77777777" w:rsidR="00FA4A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11D8" w14:textId="77777777" w:rsidR="00FA4A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48C3" w14:textId="77777777" w:rsidR="00FA4A42" w:rsidRPr="00742D1B" w:rsidRDefault="00FA4A42" w:rsidP="0055795E">
            <w:pPr>
              <w:pStyle w:val="ListParagraph"/>
              <w:numPr>
                <w:ilvl w:val="0"/>
                <w:numId w:val="24"/>
              </w:numPr>
              <w:spacing w:before="40" w:after="40" w:line="288" w:lineRule="auto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Reputation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31E9" w14:textId="03534278" w:rsidR="00FA4A42" w:rsidRPr="00A513E3" w:rsidRDefault="4EA59FA8" w:rsidP="0057634A">
            <w:pPr>
              <w:spacing w:before="40" w:after="40"/>
              <w:contextualSpacing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 xml:space="preserve">Poor customer service </w:t>
            </w:r>
            <w:r w:rsidR="00AF4BC9" w:rsidRPr="00A513E3">
              <w:rPr>
                <w:iCs/>
                <w:lang w:val="en-GB"/>
              </w:rPr>
              <w:t xml:space="preserve">has the </w:t>
            </w:r>
            <w:r w:rsidRPr="00A513E3">
              <w:rPr>
                <w:iCs/>
                <w:lang w:val="en-GB"/>
              </w:rPr>
              <w:t>most impact</w:t>
            </w:r>
            <w:r w:rsidR="00AF4BC9" w:rsidRPr="00A513E3">
              <w:rPr>
                <w:iCs/>
                <w:lang w:val="en-GB"/>
              </w:rPr>
              <w:t xml:space="preserve"> on</w:t>
            </w:r>
            <w:r w:rsidRPr="00A513E3">
              <w:rPr>
                <w:iCs/>
                <w:lang w:val="en-GB"/>
              </w:rPr>
              <w:t xml:space="preserve"> the </w:t>
            </w:r>
            <w:r w:rsidR="00AF4BC9" w:rsidRPr="00A513E3">
              <w:rPr>
                <w:iCs/>
                <w:lang w:val="en-GB"/>
              </w:rPr>
              <w:t xml:space="preserve">enterprise </w:t>
            </w:r>
            <w:r w:rsidRPr="00A513E3">
              <w:rPr>
                <w:iCs/>
                <w:lang w:val="en-GB"/>
              </w:rPr>
              <w:t>reputation.</w:t>
            </w:r>
          </w:p>
        </w:tc>
      </w:tr>
      <w:tr w:rsidR="00FA4A42" w:rsidRPr="002E7042" w14:paraId="1778A7AE" w14:textId="77777777" w:rsidTr="000C7A8D">
        <w:trPr>
          <w:trHeight w:val="306"/>
        </w:trPr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B049" w14:textId="77777777" w:rsidR="00FA4A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A946" w14:textId="77777777" w:rsidR="00FA4A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7C0B" w14:textId="77777777" w:rsidR="00FA4A42" w:rsidRPr="00767A98" w:rsidRDefault="6B98DAD6" w:rsidP="6B98DAD6">
            <w:pPr>
              <w:pStyle w:val="ListParagraph"/>
              <w:numPr>
                <w:ilvl w:val="0"/>
                <w:numId w:val="25"/>
              </w:numPr>
              <w:spacing w:before="40" w:after="40" w:line="288" w:lineRule="auto"/>
              <w:rPr>
                <w:lang w:val="en-GB"/>
              </w:rPr>
            </w:pPr>
            <w:r w:rsidRPr="6B98DAD6">
              <w:rPr>
                <w:lang w:val="en-GB"/>
              </w:rPr>
              <w:t xml:space="preserve">Fines and </w:t>
            </w:r>
            <w:r w:rsidRPr="005926EA">
              <w:rPr>
                <w:lang w:val="en-GB"/>
              </w:rPr>
              <w:t>Judgements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512A" w14:textId="7293952C" w:rsidR="00FA4A42" w:rsidRPr="00A513E3" w:rsidRDefault="6B98DAD6" w:rsidP="6B98DAD6">
            <w:pPr>
              <w:spacing w:before="40" w:after="40" w:line="288" w:lineRule="auto"/>
              <w:contextualSpacing/>
              <w:rPr>
                <w:iCs/>
                <w:szCs w:val="20"/>
                <w:lang w:val="en-GB"/>
              </w:rPr>
            </w:pPr>
            <w:r w:rsidRPr="00A513E3">
              <w:rPr>
                <w:iCs/>
                <w:lang w:val="en-GB"/>
              </w:rPr>
              <w:t>N/A</w:t>
            </w:r>
          </w:p>
        </w:tc>
      </w:tr>
    </w:tbl>
    <w:p w14:paraId="6CD268DA" w14:textId="77777777" w:rsidR="009E52A2" w:rsidRDefault="009E52A2">
      <w:r>
        <w:br w:type="page"/>
      </w:r>
    </w:p>
    <w:tbl>
      <w:tblPr>
        <w:tblStyle w:val="TableGrid"/>
        <w:tblW w:w="962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7893"/>
      </w:tblGrid>
      <w:tr w:rsidR="00FA4A42" w:rsidRPr="002E7042" w14:paraId="2A23A351" w14:textId="77777777" w:rsidTr="00877A1C">
        <w:tc>
          <w:tcPr>
            <w:tcW w:w="1735" w:type="dxa"/>
          </w:tcPr>
          <w:p w14:paraId="0AC58C84" w14:textId="2430524F" w:rsidR="00FA4A42" w:rsidRPr="002E7042" w:rsidRDefault="00FA4A42" w:rsidP="00FA4A42">
            <w:pPr>
              <w:spacing w:before="40" w:after="40"/>
              <w:contextualSpacing/>
              <w:rPr>
                <w:b/>
                <w:bCs/>
                <w:smallCaps/>
                <w:szCs w:val="20"/>
                <w:lang w:val="en-GB"/>
              </w:rPr>
            </w:pPr>
            <w:r w:rsidRPr="002E7042">
              <w:rPr>
                <w:b/>
                <w:bCs/>
                <w:smallCaps/>
                <w:szCs w:val="20"/>
                <w:lang w:val="en-GB"/>
              </w:rPr>
              <w:lastRenderedPageBreak/>
              <w:t>T</w:t>
            </w:r>
            <w:r w:rsidRPr="00A513E3">
              <w:rPr>
                <w:b/>
                <w:bCs/>
                <w:szCs w:val="20"/>
                <w:lang w:val="en-GB"/>
              </w:rPr>
              <w:t>iming</w:t>
            </w:r>
          </w:p>
        </w:tc>
        <w:tc>
          <w:tcPr>
            <w:tcW w:w="7893" w:type="dxa"/>
          </w:tcPr>
          <w:p w14:paraId="3DD289E6" w14:textId="166EBD61" w:rsidR="00D24888" w:rsidRPr="00A513E3" w:rsidRDefault="4EA59FA8" w:rsidP="4EA59FA8">
            <w:pPr>
              <w:pStyle w:val="ListParagraph"/>
              <w:numPr>
                <w:ilvl w:val="0"/>
                <w:numId w:val="29"/>
              </w:numPr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The duration depends on how promptly the hiring issues are addressed</w:t>
            </w:r>
            <w:r w:rsidR="00AF4BC9" w:rsidRPr="00A513E3">
              <w:rPr>
                <w:iCs/>
                <w:lang w:val="en-GB"/>
              </w:rPr>
              <w:t>.</w:t>
            </w:r>
          </w:p>
          <w:p w14:paraId="14EED9BB" w14:textId="381BF7F6" w:rsidR="00D24888" w:rsidRPr="00A513E3" w:rsidRDefault="4EA59FA8" w:rsidP="4EA59FA8">
            <w:pPr>
              <w:pStyle w:val="ListParagraph"/>
              <w:numPr>
                <w:ilvl w:val="0"/>
                <w:numId w:val="29"/>
              </w:numPr>
              <w:spacing w:before="40" w:after="40"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Early detection minimize</w:t>
            </w:r>
            <w:r w:rsidR="00AF4BC9" w:rsidRPr="00A513E3">
              <w:rPr>
                <w:iCs/>
                <w:lang w:val="en-GB"/>
              </w:rPr>
              <w:t>s</w:t>
            </w:r>
            <w:r w:rsidRPr="00A513E3">
              <w:rPr>
                <w:iCs/>
                <w:lang w:val="en-GB"/>
              </w:rPr>
              <w:t xml:space="preserve"> the impact of insufficient IT staff and is key to limit the scope of the services affected.</w:t>
            </w:r>
          </w:p>
        </w:tc>
      </w:tr>
    </w:tbl>
    <w:p w14:paraId="641C0561" w14:textId="77777777" w:rsidR="00A63397" w:rsidRDefault="00A63397"/>
    <w:tbl>
      <w:tblPr>
        <w:tblStyle w:val="TableGrid"/>
        <w:tblW w:w="962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1890"/>
        <w:gridCol w:w="6033"/>
      </w:tblGrid>
      <w:tr w:rsidR="00FA4A42" w:rsidRPr="00127CA4" w14:paraId="54D77439" w14:textId="77777777" w:rsidTr="00434428">
        <w:tc>
          <w:tcPr>
            <w:tcW w:w="9628" w:type="dxa"/>
            <w:gridSpan w:val="3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27F749D0" w14:textId="36B0E4A7" w:rsidR="00FA4A42" w:rsidRPr="00B37C68" w:rsidRDefault="00FA4A42" w:rsidP="00FA4A42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</w:pPr>
            <w:r w:rsidRPr="00B37C68"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  <w:t>R</w:t>
            </w:r>
            <w:r w:rsidRPr="00A513E3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isk</w:t>
            </w:r>
            <w:r w:rsidRPr="00B37C68"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  <w:t xml:space="preserve"> S</w:t>
            </w:r>
            <w:r w:rsidRPr="00A513E3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cenario Scope &amp; Extent</w:t>
            </w:r>
            <w:r w:rsidRPr="00B37C68">
              <w:rPr>
                <w:b/>
                <w:bCs/>
                <w:smallCaps/>
                <w:color w:val="FFFFFF" w:themeColor="background1"/>
                <w:sz w:val="22"/>
                <w:szCs w:val="24"/>
                <w:lang w:val="en-GB"/>
              </w:rPr>
              <w:t xml:space="preserve"> </w:t>
            </w:r>
          </w:p>
        </w:tc>
      </w:tr>
      <w:tr w:rsidR="002C5639" w:rsidRPr="002E7042" w14:paraId="15115340" w14:textId="77777777" w:rsidTr="000C7A8D"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895E" w14:textId="3436316A" w:rsidR="002C5639" w:rsidRPr="002E7042" w:rsidRDefault="002C5639" w:rsidP="002C5639">
            <w:pPr>
              <w:rPr>
                <w:b/>
                <w:bCs/>
                <w:smallCaps/>
                <w:szCs w:val="20"/>
                <w:lang w:val="en-GB"/>
              </w:rPr>
            </w:pPr>
            <w:r>
              <w:rPr>
                <w:b/>
                <w:bCs/>
                <w:smallCaps/>
                <w:szCs w:val="20"/>
                <w:lang w:val="en-GB"/>
              </w:rPr>
              <w:t>E</w:t>
            </w:r>
            <w:r w:rsidRPr="00A513E3">
              <w:rPr>
                <w:b/>
                <w:bCs/>
                <w:szCs w:val="20"/>
                <w:lang w:val="en-GB"/>
              </w:rPr>
              <w:t xml:space="preserve">xtent of the </w:t>
            </w:r>
            <w:r w:rsidR="00A63397">
              <w:rPr>
                <w:b/>
                <w:bCs/>
                <w:szCs w:val="20"/>
                <w:lang w:val="en-GB"/>
              </w:rPr>
              <w:t>S</w:t>
            </w:r>
            <w:r w:rsidRPr="00A513E3">
              <w:rPr>
                <w:b/>
                <w:bCs/>
                <w:szCs w:val="20"/>
                <w:lang w:val="en-GB"/>
              </w:rPr>
              <w:t>cenario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D31C" w14:textId="0F80F0F9" w:rsidR="002C5639" w:rsidRPr="00A3525D" w:rsidRDefault="002C5639" w:rsidP="002C5639">
            <w:pPr>
              <w:rPr>
                <w:b/>
                <w:bCs/>
                <w:smallCaps/>
                <w:szCs w:val="20"/>
                <w:lang w:val="en-GB"/>
              </w:rPr>
            </w:pPr>
            <w:r w:rsidRPr="00A3525D">
              <w:rPr>
                <w:b/>
                <w:bCs/>
                <w:smallCaps/>
                <w:szCs w:val="20"/>
                <w:lang w:val="en-GB"/>
              </w:rPr>
              <w:t>W</w:t>
            </w:r>
            <w:r w:rsidRPr="00A513E3">
              <w:rPr>
                <w:b/>
                <w:bCs/>
                <w:szCs w:val="20"/>
                <w:lang w:val="en-GB"/>
              </w:rPr>
              <w:t xml:space="preserve">orst </w:t>
            </w:r>
            <w:r w:rsidR="00A63397">
              <w:rPr>
                <w:b/>
                <w:bCs/>
                <w:szCs w:val="20"/>
                <w:lang w:val="en-GB"/>
              </w:rPr>
              <w:t>C</w:t>
            </w:r>
            <w:r w:rsidRPr="00A513E3">
              <w:rPr>
                <w:b/>
                <w:bCs/>
                <w:szCs w:val="20"/>
                <w:lang w:val="en-GB"/>
              </w:rPr>
              <w:t>ase</w:t>
            </w:r>
          </w:p>
          <w:p w14:paraId="792BAB97" w14:textId="77777777" w:rsidR="002C5639" w:rsidRDefault="002C5639" w:rsidP="002C5639">
            <w:pPr>
              <w:rPr>
                <w:i/>
                <w:iCs/>
                <w:szCs w:val="20"/>
                <w:lang w:val="en-GB"/>
              </w:rPr>
            </w:pP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F1C" w14:textId="572135FA" w:rsidR="002C5639" w:rsidRPr="00A513E3" w:rsidRDefault="4EA59FA8" w:rsidP="4EA59FA8">
            <w:pPr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Continued rework and retraining of external temporary help or outsourced workers and consultants due to a lack of internal skilled employees.</w:t>
            </w:r>
          </w:p>
          <w:p w14:paraId="29FAC982" w14:textId="2DB51FAF" w:rsidR="002D2512" w:rsidRPr="00A513E3" w:rsidRDefault="4EA59FA8" w:rsidP="4EA59FA8">
            <w:pPr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 xml:space="preserve">Unskilled employees or understaffed departments can increase system vulnerabilities and data exposure through mistakes, </w:t>
            </w:r>
            <w:proofErr w:type="gramStart"/>
            <w:r w:rsidRPr="00A513E3">
              <w:rPr>
                <w:iCs/>
                <w:lang w:val="en-GB"/>
              </w:rPr>
              <w:t>errors</w:t>
            </w:r>
            <w:proofErr w:type="gramEnd"/>
            <w:r w:rsidR="00AF4BC9" w:rsidRPr="00A513E3">
              <w:rPr>
                <w:iCs/>
                <w:lang w:val="en-GB"/>
              </w:rPr>
              <w:t xml:space="preserve"> and</w:t>
            </w:r>
            <w:r w:rsidRPr="00A513E3">
              <w:rPr>
                <w:iCs/>
                <w:lang w:val="en-GB"/>
              </w:rPr>
              <w:t xml:space="preserve"> omissions.</w:t>
            </w:r>
            <w:r w:rsidR="00434428">
              <w:rPr>
                <w:iCs/>
                <w:lang w:val="en-GB"/>
              </w:rPr>
              <w:t xml:space="preserve"> </w:t>
            </w:r>
            <w:r w:rsidRPr="00A513E3">
              <w:rPr>
                <w:iCs/>
                <w:lang w:val="en-GB"/>
              </w:rPr>
              <w:t>Security incidents caused by errors and insufficient training can lead to reputational damage and loss of business.</w:t>
            </w:r>
          </w:p>
        </w:tc>
      </w:tr>
      <w:tr w:rsidR="002C5639" w:rsidRPr="002E7042" w14:paraId="07D61184" w14:textId="77777777" w:rsidTr="000C7A8D"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7B9E" w14:textId="77777777" w:rsidR="002C5639" w:rsidRDefault="002C5639" w:rsidP="002C5639">
            <w:pPr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C37B" w14:textId="2F99B591" w:rsidR="002C5639" w:rsidRPr="00A513E3" w:rsidRDefault="4EA59FA8" w:rsidP="00A63397">
            <w:pPr>
              <w:rPr>
                <w:b/>
                <w:bCs/>
                <w:lang w:val="en-GB"/>
              </w:rPr>
            </w:pPr>
            <w:r w:rsidRPr="00A513E3">
              <w:rPr>
                <w:b/>
                <w:bCs/>
                <w:lang w:val="en-GB"/>
              </w:rPr>
              <w:t xml:space="preserve">Typical or </w:t>
            </w:r>
            <w:r w:rsidR="00A63397">
              <w:rPr>
                <w:b/>
                <w:bCs/>
                <w:lang w:val="en-GB"/>
              </w:rPr>
              <w:t>M</w:t>
            </w:r>
            <w:r w:rsidRPr="00A513E3">
              <w:rPr>
                <w:b/>
                <w:bCs/>
                <w:lang w:val="en-GB"/>
              </w:rPr>
              <w:t xml:space="preserve">ost </w:t>
            </w:r>
            <w:r w:rsidR="00A63397">
              <w:rPr>
                <w:b/>
                <w:bCs/>
                <w:lang w:val="en-GB"/>
              </w:rPr>
              <w:t>L</w:t>
            </w:r>
            <w:r w:rsidRPr="00A513E3">
              <w:rPr>
                <w:b/>
                <w:bCs/>
                <w:lang w:val="en-GB"/>
              </w:rPr>
              <w:t xml:space="preserve">ikely </w:t>
            </w:r>
            <w:r w:rsidR="00A63397">
              <w:rPr>
                <w:b/>
                <w:bCs/>
                <w:lang w:val="en-GB"/>
              </w:rPr>
              <w:t>C</w:t>
            </w:r>
            <w:r w:rsidRPr="00A513E3">
              <w:rPr>
                <w:b/>
                <w:bCs/>
                <w:lang w:val="en-GB"/>
              </w:rPr>
              <w:t>ase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82C6" w14:textId="7D402785" w:rsidR="002C5639" w:rsidRPr="00A513E3" w:rsidRDefault="4EA59FA8" w:rsidP="4EA59FA8">
            <w:pPr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Slight increase in cost and possible risk from poor handling of sensitive data.</w:t>
            </w:r>
          </w:p>
          <w:p w14:paraId="021557CD" w14:textId="707CCDD1" w:rsidR="00F4332F" w:rsidRPr="00A513E3" w:rsidRDefault="4EA59FA8" w:rsidP="4EA59FA8">
            <w:pPr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The business and HR are working on addressing the staffing issue.</w:t>
            </w:r>
          </w:p>
        </w:tc>
      </w:tr>
      <w:tr w:rsidR="002C5639" w:rsidRPr="002E7042" w14:paraId="4DDF1DA6" w14:textId="77777777" w:rsidTr="000C7A8D"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B7B8" w14:textId="77777777" w:rsidR="002C5639" w:rsidRDefault="002C5639" w:rsidP="002C5639">
            <w:pPr>
              <w:rPr>
                <w:b/>
                <w:bCs/>
                <w:smallCaps/>
                <w:szCs w:val="2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D23F" w14:textId="61C27BAF" w:rsidR="002C5639" w:rsidRPr="00A63397" w:rsidRDefault="002C5639" w:rsidP="002C5639">
            <w:pPr>
              <w:rPr>
                <w:i/>
                <w:iCs/>
                <w:szCs w:val="20"/>
                <w:lang w:val="en-GB"/>
              </w:rPr>
            </w:pPr>
            <w:r w:rsidRPr="00A513E3">
              <w:rPr>
                <w:b/>
                <w:bCs/>
                <w:szCs w:val="20"/>
                <w:lang w:val="en-GB"/>
              </w:rPr>
              <w:t xml:space="preserve">Best </w:t>
            </w:r>
            <w:r w:rsidR="00A63397">
              <w:rPr>
                <w:b/>
                <w:bCs/>
                <w:szCs w:val="20"/>
                <w:lang w:val="en-GB"/>
              </w:rPr>
              <w:t>C</w:t>
            </w:r>
            <w:r w:rsidRPr="00A513E3">
              <w:rPr>
                <w:b/>
                <w:bCs/>
                <w:szCs w:val="20"/>
                <w:lang w:val="en-GB"/>
              </w:rPr>
              <w:t>ase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A93" w14:textId="70AD97DF" w:rsidR="002C5639" w:rsidRPr="00A513E3" w:rsidRDefault="4EA59FA8" w:rsidP="4EA59FA8">
            <w:pPr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If no new challenge hits the organization, IT teams and systems can operate smoothly even if current personnel are not fully trained or retained.</w:t>
            </w:r>
          </w:p>
          <w:p w14:paraId="00DD890B" w14:textId="6B8E7CE6" w:rsidR="00587CBD" w:rsidRPr="00A513E3" w:rsidRDefault="4EA59FA8" w:rsidP="4EA59FA8">
            <w:pPr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 xml:space="preserve">Data </w:t>
            </w:r>
            <w:r w:rsidR="00576892" w:rsidRPr="00A513E3">
              <w:rPr>
                <w:iCs/>
                <w:lang w:val="en-GB"/>
              </w:rPr>
              <w:t>are not</w:t>
            </w:r>
            <w:r w:rsidRPr="00A513E3">
              <w:rPr>
                <w:iCs/>
                <w:lang w:val="en-GB"/>
              </w:rPr>
              <w:t xml:space="preserve"> exposed. The IT staffing issues are addressed swiftly.</w:t>
            </w:r>
          </w:p>
        </w:tc>
      </w:tr>
      <w:tr w:rsidR="00FA4A42" w:rsidRPr="002E7042" w14:paraId="409692DD" w14:textId="77777777" w:rsidTr="00434428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3B0E" w14:textId="77777777" w:rsidR="00FA4A42" w:rsidRPr="00A513E3" w:rsidRDefault="00FA4A42" w:rsidP="00FA4A42">
            <w:pPr>
              <w:rPr>
                <w:b/>
                <w:bCs/>
                <w:szCs w:val="20"/>
                <w:lang w:val="en-GB"/>
              </w:rPr>
            </w:pPr>
            <w:r w:rsidRPr="00A513E3">
              <w:rPr>
                <w:b/>
                <w:bCs/>
                <w:szCs w:val="20"/>
                <w:lang w:val="en-GB"/>
              </w:rPr>
              <w:t>Assumptions</w:t>
            </w:r>
          </w:p>
        </w:tc>
        <w:tc>
          <w:tcPr>
            <w:tcW w:w="7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B9DF" w14:textId="248F32C9" w:rsidR="00680166" w:rsidRPr="00A513E3" w:rsidRDefault="4EA59FA8" w:rsidP="4EA59FA8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 xml:space="preserve">Change is being implemented to correct the risk over a shorter </w:t>
            </w:r>
            <w:proofErr w:type="gramStart"/>
            <w:r w:rsidRPr="00A513E3">
              <w:rPr>
                <w:iCs/>
                <w:lang w:val="en-GB"/>
              </w:rPr>
              <w:t>time period</w:t>
            </w:r>
            <w:proofErr w:type="gramEnd"/>
            <w:r w:rsidRPr="00A513E3">
              <w:rPr>
                <w:iCs/>
                <w:lang w:val="en-GB"/>
              </w:rPr>
              <w:t>.</w:t>
            </w:r>
          </w:p>
          <w:p w14:paraId="37DE274C" w14:textId="06DFBA9A" w:rsidR="00FA4A42" w:rsidRPr="00A513E3" w:rsidRDefault="4EA59FA8" w:rsidP="4EA59FA8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 xml:space="preserve"> Management is not </w:t>
            </w:r>
            <w:r w:rsidR="00E550DD" w:rsidRPr="00A513E3">
              <w:rPr>
                <w:iCs/>
                <w:lang w:val="en-GB"/>
              </w:rPr>
              <w:t>providing</w:t>
            </w:r>
            <w:r w:rsidRPr="00A513E3">
              <w:rPr>
                <w:iCs/>
                <w:lang w:val="en-GB"/>
              </w:rPr>
              <w:t xml:space="preserve"> any training </w:t>
            </w:r>
            <w:r w:rsidR="00E550DD" w:rsidRPr="00A513E3">
              <w:rPr>
                <w:iCs/>
                <w:lang w:val="en-GB"/>
              </w:rPr>
              <w:t>to</w:t>
            </w:r>
            <w:r w:rsidRPr="00A513E3">
              <w:rPr>
                <w:iCs/>
                <w:lang w:val="en-GB"/>
              </w:rPr>
              <w:t xml:space="preserve"> employees</w:t>
            </w:r>
            <w:r w:rsidR="00E550DD" w:rsidRPr="00A513E3">
              <w:rPr>
                <w:iCs/>
                <w:lang w:val="en-GB"/>
              </w:rPr>
              <w:t>,</w:t>
            </w:r>
            <w:r w:rsidRPr="00A513E3">
              <w:rPr>
                <w:iCs/>
                <w:lang w:val="en-GB"/>
              </w:rPr>
              <w:t xml:space="preserve"> which results in a longer duration of reduced capacity.</w:t>
            </w:r>
          </w:p>
          <w:p w14:paraId="7C78C7D1" w14:textId="2E9604D6" w:rsidR="006937EB" w:rsidRPr="00A513E3" w:rsidRDefault="4EA59FA8" w:rsidP="4EA59FA8">
            <w:pPr>
              <w:pStyle w:val="ListParagraph"/>
              <w:numPr>
                <w:ilvl w:val="0"/>
                <w:numId w:val="8"/>
              </w:numPr>
              <w:spacing w:before="40" w:after="40" w:line="256" w:lineRule="auto"/>
              <w:rPr>
                <w:iCs/>
                <w:lang w:val="en-GB"/>
              </w:rPr>
            </w:pPr>
            <w:r w:rsidRPr="00A513E3">
              <w:rPr>
                <w:iCs/>
                <w:lang w:val="en-GB"/>
              </w:rPr>
              <w:t>Hiring new staff is not improved</w:t>
            </w:r>
            <w:r w:rsidR="00E550DD" w:rsidRPr="00A513E3">
              <w:rPr>
                <w:iCs/>
                <w:lang w:val="en-GB"/>
              </w:rPr>
              <w:t>,</w:t>
            </w:r>
            <w:r w:rsidRPr="00A513E3">
              <w:rPr>
                <w:iCs/>
                <w:lang w:val="en-GB"/>
              </w:rPr>
              <w:t xml:space="preserve"> and several key staff members leave the organization.</w:t>
            </w:r>
          </w:p>
        </w:tc>
      </w:tr>
    </w:tbl>
    <w:p w14:paraId="7E377320" w14:textId="77777777" w:rsidR="00320B9F" w:rsidRDefault="00320B9F"/>
    <w:tbl>
      <w:tblPr>
        <w:tblStyle w:val="TableGrid"/>
        <w:tblW w:w="9628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969"/>
        <w:gridCol w:w="1134"/>
        <w:gridCol w:w="1041"/>
        <w:gridCol w:w="1085"/>
        <w:gridCol w:w="895"/>
        <w:gridCol w:w="1083"/>
      </w:tblGrid>
      <w:tr w:rsidR="00FA4A42" w:rsidRPr="00127CA4" w14:paraId="6AC8FD65" w14:textId="77777777" w:rsidTr="00877A1C">
        <w:tc>
          <w:tcPr>
            <w:tcW w:w="9628" w:type="dxa"/>
            <w:gridSpan w:val="7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45911" w:themeFill="accent2" w:themeFillShade="BF"/>
          </w:tcPr>
          <w:p w14:paraId="1B0D5D82" w14:textId="184C27E1" w:rsidR="00FA4A42" w:rsidRPr="00A513E3" w:rsidRDefault="00FA4A42" w:rsidP="00FA4A42">
            <w:pPr>
              <w:pStyle w:val="ListParagraph"/>
              <w:pageBreakBefore/>
              <w:numPr>
                <w:ilvl w:val="0"/>
                <w:numId w:val="9"/>
              </w:numPr>
              <w:spacing w:before="40" w:after="40"/>
              <w:ind w:left="357" w:hanging="357"/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</w:pPr>
            <w:r w:rsidRPr="00A513E3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lastRenderedPageBreak/>
              <w:t>Controls to Mitigate the Risk Scenario</w:t>
            </w:r>
          </w:p>
        </w:tc>
      </w:tr>
      <w:tr w:rsidR="00FA4A42" w:rsidRPr="003238C1" w14:paraId="2A0A2354" w14:textId="77777777" w:rsidTr="00F83E86">
        <w:tc>
          <w:tcPr>
            <w:tcW w:w="43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3BADFC3C" w14:textId="7AD68AF2" w:rsidR="00FA4A42" w:rsidRPr="003238C1" w:rsidRDefault="00FA4A42" w:rsidP="00A63397">
            <w:pPr>
              <w:rPr>
                <w:b/>
                <w:bCs/>
                <w:smallCaps/>
                <w:color w:val="FFFFFF" w:themeColor="background1"/>
                <w:sz w:val="18"/>
                <w:szCs w:val="18"/>
                <w:lang w:val="en-GB"/>
              </w:rPr>
            </w:pPr>
            <w:r w:rsidRPr="00A513E3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 xml:space="preserve">Control </w:t>
            </w:r>
            <w:r w:rsidR="00A63397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D</w:t>
            </w:r>
            <w:r w:rsidRPr="00A513E3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escription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1CB25D0B" w14:textId="32A76E8C" w:rsidR="00FA4A42" w:rsidRPr="00A513E3" w:rsidRDefault="00FA4A42" w:rsidP="00FA4A4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A513E3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Control Type</w:t>
            </w:r>
          </w:p>
        </w:tc>
        <w:tc>
          <w:tcPr>
            <w:tcW w:w="10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01A84146" w14:textId="77777777" w:rsidR="00FA4A42" w:rsidRPr="00A513E3" w:rsidRDefault="00FA4A42" w:rsidP="00FA4A4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A513E3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Effect on Impact</w:t>
            </w:r>
          </w:p>
        </w:tc>
        <w:tc>
          <w:tcPr>
            <w:tcW w:w="10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2EDCB87A" w14:textId="77777777" w:rsidR="00FA4A42" w:rsidRPr="00A513E3" w:rsidRDefault="00FA4A42" w:rsidP="00FA4A4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A513E3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Effect on Frequency</w:t>
            </w:r>
          </w:p>
        </w:tc>
        <w:tc>
          <w:tcPr>
            <w:tcW w:w="8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649DF3F1" w14:textId="77777777" w:rsidR="00FA4A42" w:rsidRPr="00A513E3" w:rsidRDefault="00FA4A42" w:rsidP="00FA4A4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A513E3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Essential Control</w:t>
            </w:r>
          </w:p>
        </w:tc>
        <w:tc>
          <w:tcPr>
            <w:tcW w:w="10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1AA43ECE" w14:textId="191C0ADF" w:rsidR="00FA4A42" w:rsidRPr="00A513E3" w:rsidRDefault="00FA4A42" w:rsidP="00FA4A42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A513E3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Reference</w:t>
            </w:r>
          </w:p>
        </w:tc>
      </w:tr>
      <w:tr w:rsidR="4EA59FA8" w14:paraId="2F29EEFA" w14:textId="77777777" w:rsidTr="00F83E86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C136" w14:textId="5AAC0508" w:rsidR="4EA59FA8" w:rsidRPr="00A513E3" w:rsidRDefault="4EA59FA8" w:rsidP="4EA59FA8">
            <w:pPr>
              <w:jc w:val="center"/>
              <w:rPr>
                <w:bCs/>
                <w:sz w:val="18"/>
                <w:szCs w:val="18"/>
                <w:lang w:val="en-GB"/>
              </w:rPr>
            </w:pPr>
            <w:r w:rsidRPr="00A513E3">
              <w:rPr>
                <w:bCs/>
                <w:sz w:val="18"/>
                <w:szCs w:val="18"/>
                <w:lang w:val="en-GB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C1B9" w14:textId="36034909" w:rsidR="4EA59FA8" w:rsidRDefault="4EA59FA8" w:rsidP="4EA59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A59FA8"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  <w:t xml:space="preserve">EDM04.01 Evaluate resource management. </w:t>
            </w:r>
          </w:p>
          <w:p w14:paraId="6063848F" w14:textId="37E603C0" w:rsidR="4EA59FA8" w:rsidRDefault="4EA59FA8" w:rsidP="4EA59FA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A59FA8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Continually examine and evaluate the current and future need for business and I&amp;T resources (financial and human), options for resourcing (including sourcing strategies), and allocation and management principles to meet the needs of the enterprise in the optimal manner.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F3CB" w14:textId="00CD8561" w:rsidR="4EA59FA8" w:rsidRPr="006A00C9" w:rsidRDefault="4EA59FA8" w:rsidP="4EA59FA8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6A00C9">
              <w:rPr>
                <w:rFonts w:cstheme="minorHAnsi"/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4A8B5" w14:textId="78491890" w:rsidR="4EA59FA8" w:rsidRPr="006A00C9" w:rsidRDefault="4EA59FA8" w:rsidP="4EA59FA8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6A00C9">
              <w:rPr>
                <w:rFonts w:cstheme="minorHAnsi"/>
                <w:sz w:val="18"/>
                <w:szCs w:val="18"/>
                <w:lang w:val="en-GB"/>
              </w:rPr>
              <w:t>Yes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0FC3" w14:textId="53467872" w:rsidR="4EA59FA8" w:rsidRPr="006A00C9" w:rsidRDefault="4EA59FA8" w:rsidP="4EA59FA8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6A00C9">
              <w:rPr>
                <w:rFonts w:cstheme="minorHAnsi"/>
                <w:sz w:val="18"/>
                <w:szCs w:val="18"/>
                <w:lang w:val="en-GB"/>
              </w:rPr>
              <w:t>Yes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774C" w14:textId="22DB2D30" w:rsidR="4EA59FA8" w:rsidRPr="006A00C9" w:rsidRDefault="4EA59FA8" w:rsidP="4EA59FA8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6A00C9">
              <w:rPr>
                <w:rFonts w:cstheme="minorHAnsi"/>
                <w:sz w:val="18"/>
                <w:szCs w:val="18"/>
                <w:lang w:val="en-GB"/>
              </w:rPr>
              <w:t>Yes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1A5E" w14:textId="389E16C2" w:rsidR="4EA59FA8" w:rsidRPr="006A00C9" w:rsidRDefault="4EA59FA8" w:rsidP="4EA59FA8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6A00C9">
              <w:rPr>
                <w:rFonts w:cstheme="minorHAnsi"/>
                <w:sz w:val="18"/>
                <w:szCs w:val="18"/>
                <w:lang w:val="en-GB"/>
              </w:rPr>
              <w:t>COBIT EDM04.01</w:t>
            </w:r>
          </w:p>
        </w:tc>
      </w:tr>
      <w:tr w:rsidR="4EA59FA8" w14:paraId="00E67D73" w14:textId="77777777" w:rsidTr="00F83E86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9C29" w14:textId="7E227346" w:rsidR="4EA59FA8" w:rsidRPr="00A513E3" w:rsidRDefault="4EA59FA8" w:rsidP="4EA59FA8">
            <w:pPr>
              <w:jc w:val="center"/>
              <w:rPr>
                <w:bCs/>
                <w:sz w:val="18"/>
                <w:szCs w:val="18"/>
                <w:lang w:val="en-GB"/>
              </w:rPr>
            </w:pPr>
            <w:r w:rsidRPr="00A513E3">
              <w:rPr>
                <w:bCs/>
                <w:sz w:val="18"/>
                <w:szCs w:val="18"/>
                <w:lang w:val="en-GB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0DA7" w14:textId="58BB4AAA" w:rsidR="4EA59FA8" w:rsidRPr="00557695" w:rsidRDefault="4EA59FA8">
            <w:pPr>
              <w:rPr>
                <w:rFonts w:cstheme="minorHAnsi"/>
              </w:rPr>
            </w:pPr>
            <w:r w:rsidRPr="00557695">
              <w:rPr>
                <w:rFonts w:eastAsia="RobotoCondensed-Bold" w:cstheme="minorHAnsi"/>
                <w:b/>
                <w:bCs/>
                <w:sz w:val="18"/>
                <w:szCs w:val="18"/>
              </w:rPr>
              <w:t xml:space="preserve">APO07.01 Acquire and maintain adequate and appropriate staffing. </w:t>
            </w:r>
          </w:p>
          <w:p w14:paraId="03C05424" w14:textId="7EFD0B93" w:rsidR="4EA59FA8" w:rsidRPr="00557695" w:rsidRDefault="4EA59FA8">
            <w:pPr>
              <w:rPr>
                <w:rFonts w:cstheme="minorHAnsi"/>
              </w:rPr>
            </w:pPr>
            <w:r w:rsidRPr="00557695">
              <w:rPr>
                <w:rFonts w:eastAsia="RobotoCondensed-Bold" w:cstheme="minorHAnsi"/>
                <w:sz w:val="18"/>
                <w:szCs w:val="18"/>
              </w:rPr>
              <w:t xml:space="preserve">Evaluate internal and external staffing requirements on a regular basis or upon major changes to the enterprise or operational or IT environments to ensure that the enterprise has sufficient human resources to support enterprise goals and objectives.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E1BA" w14:textId="6889DD3D" w:rsidR="4EA59FA8" w:rsidRPr="006A00C9" w:rsidRDefault="4EA59FA8" w:rsidP="4EA59FA8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6A00C9">
              <w:rPr>
                <w:rFonts w:cstheme="minorHAnsi"/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0CFF" w14:textId="6A2B340B" w:rsidR="4EA59FA8" w:rsidRPr="006A00C9" w:rsidRDefault="4EA59FA8" w:rsidP="4EA59FA8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6A00C9">
              <w:rPr>
                <w:rFonts w:cstheme="minorHAnsi"/>
                <w:sz w:val="18"/>
                <w:szCs w:val="18"/>
                <w:lang w:val="en-GB"/>
              </w:rPr>
              <w:t>Yes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8104" w14:textId="186B172B" w:rsidR="4EA59FA8" w:rsidRPr="006A00C9" w:rsidRDefault="4EA59FA8" w:rsidP="4EA59FA8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6A00C9">
              <w:rPr>
                <w:rFonts w:cstheme="minorHAnsi"/>
                <w:sz w:val="18"/>
                <w:szCs w:val="18"/>
                <w:lang w:val="en-GB"/>
              </w:rPr>
              <w:t>Yes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6C52" w14:textId="20A33D41" w:rsidR="4EA59FA8" w:rsidRPr="006A00C9" w:rsidRDefault="4EA59FA8" w:rsidP="4EA59FA8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6A00C9">
              <w:rPr>
                <w:rFonts w:cstheme="minorHAnsi"/>
                <w:sz w:val="18"/>
                <w:szCs w:val="18"/>
                <w:lang w:val="en-GB"/>
              </w:rPr>
              <w:t>Yes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800" w14:textId="59BBE685" w:rsidR="4EA59FA8" w:rsidRPr="006A00C9" w:rsidRDefault="4EA59FA8" w:rsidP="4EA59FA8">
            <w:pPr>
              <w:jc w:val="center"/>
              <w:rPr>
                <w:rFonts w:cstheme="minorHAnsi"/>
                <w:sz w:val="18"/>
                <w:szCs w:val="18"/>
                <w:lang w:val="en-GB"/>
              </w:rPr>
            </w:pPr>
            <w:r w:rsidRPr="006A00C9">
              <w:rPr>
                <w:rFonts w:cstheme="minorHAnsi"/>
                <w:sz w:val="18"/>
                <w:szCs w:val="18"/>
                <w:lang w:val="en-GB"/>
              </w:rPr>
              <w:t>COBIT APO07.01</w:t>
            </w:r>
          </w:p>
        </w:tc>
      </w:tr>
      <w:tr w:rsidR="00FA4A42" w:rsidRPr="003238C1" w14:paraId="41758D5C" w14:textId="77777777" w:rsidTr="00F83E86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FB5AE" w14:textId="6B547DB1" w:rsidR="00FA4A42" w:rsidRPr="00A513E3" w:rsidRDefault="4EA59FA8" w:rsidP="00FA4A42">
            <w:pPr>
              <w:spacing w:before="40" w:after="40"/>
              <w:ind w:left="-115" w:right="-106"/>
              <w:jc w:val="center"/>
              <w:rPr>
                <w:bCs/>
                <w:sz w:val="18"/>
                <w:szCs w:val="18"/>
                <w:lang w:val="en-GB"/>
              </w:rPr>
            </w:pPr>
            <w:r w:rsidRPr="00A513E3">
              <w:rPr>
                <w:bCs/>
                <w:sz w:val="18"/>
                <w:szCs w:val="18"/>
                <w:lang w:val="en-GB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5603" w14:textId="77777777" w:rsidR="00A63397" w:rsidRDefault="4EA59FA8" w:rsidP="00EB000B">
            <w:pPr>
              <w:autoSpaceDE w:val="0"/>
              <w:autoSpaceDN w:val="0"/>
              <w:adjustRightInd w:val="0"/>
              <w:rPr>
                <w:rFonts w:eastAsia="RobotoCondensed-Regular" w:cstheme="minorHAnsi"/>
                <w:b/>
                <w:bCs/>
                <w:sz w:val="18"/>
                <w:szCs w:val="18"/>
              </w:rPr>
            </w:pPr>
            <w:r w:rsidRPr="00557695">
              <w:rPr>
                <w:rFonts w:eastAsia="RobotoCondensed-Regular" w:cstheme="minorHAnsi"/>
                <w:b/>
                <w:bCs/>
                <w:sz w:val="18"/>
                <w:szCs w:val="18"/>
              </w:rPr>
              <w:t>APO07.05 Plan and track the usage of IT and business human resources.</w:t>
            </w:r>
          </w:p>
          <w:p w14:paraId="2E65A65E" w14:textId="6C30EB2B" w:rsidR="00FA4A42" w:rsidRPr="00557695" w:rsidRDefault="4EA59FA8" w:rsidP="00EB000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57695">
              <w:rPr>
                <w:rFonts w:eastAsia="RobotoCondensed-Regular" w:cstheme="minorHAnsi"/>
                <w:sz w:val="18"/>
                <w:szCs w:val="18"/>
              </w:rPr>
              <w:t xml:space="preserve">Understand and track the current and future demand for business and IT human resources with responsibilities for enterprise I&amp;T. Identify shortfalls and provide input into sourcing plans, enterprise and IT recruitment processes, and business and IT recruitment processes.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C2B42" w14:textId="4DA6E5FA" w:rsidR="00FA4A42" w:rsidRPr="00D9218A" w:rsidRDefault="4EA59FA8" w:rsidP="4EA59FA8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4EA59FA8">
              <w:rPr>
                <w:sz w:val="18"/>
                <w:szCs w:val="18"/>
                <w:lang w:val="en-GB"/>
              </w:rPr>
              <w:t>Preventive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44EA" w14:textId="77217973" w:rsidR="00FA4A42" w:rsidRPr="00D9218A" w:rsidRDefault="00FA4A42" w:rsidP="00FA4A42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98DA" w14:textId="11D22E33" w:rsidR="00FA4A42" w:rsidRPr="00D9218A" w:rsidRDefault="00FA4A42" w:rsidP="00FA4A42">
            <w:pPr>
              <w:spacing w:before="40" w:after="40"/>
              <w:ind w:left="-107" w:right="-131"/>
              <w:jc w:val="center"/>
              <w:rPr>
                <w:sz w:val="18"/>
                <w:szCs w:val="18"/>
                <w:lang w:val="en-GB"/>
              </w:rPr>
            </w:pPr>
            <w:r w:rsidRPr="0081309C"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8C6D9" w14:textId="25D026C0" w:rsidR="00FA4A42" w:rsidRPr="00D9218A" w:rsidRDefault="00FA4A42" w:rsidP="00FA4A42">
            <w:pPr>
              <w:spacing w:before="40" w:after="40"/>
              <w:ind w:left="-110" w:right="-131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16326" w14:textId="08793E9A" w:rsidR="00EB000B" w:rsidRPr="005D343C" w:rsidRDefault="00BE15D1" w:rsidP="00FA4A42">
            <w:pPr>
              <w:spacing w:before="40" w:after="40"/>
              <w:ind w:right="-131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COBIT</w:t>
            </w:r>
            <w:r w:rsidR="00051621">
              <w:rPr>
                <w:sz w:val="18"/>
                <w:szCs w:val="18"/>
                <w:lang w:val="en-GB"/>
              </w:rPr>
              <w:t xml:space="preserve"> </w:t>
            </w:r>
            <w:r w:rsidR="4EA59FA8" w:rsidRPr="006A00C9">
              <w:rPr>
                <w:rFonts w:cstheme="minorHAnsi"/>
                <w:sz w:val="18"/>
                <w:szCs w:val="18"/>
              </w:rPr>
              <w:t>APO07.05</w:t>
            </w:r>
          </w:p>
        </w:tc>
      </w:tr>
    </w:tbl>
    <w:p w14:paraId="26722800" w14:textId="77777777" w:rsidR="00A63397" w:rsidRDefault="00A63397"/>
    <w:tbl>
      <w:tblPr>
        <w:tblStyle w:val="TableGrid"/>
        <w:tblW w:w="962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542"/>
        <w:gridCol w:w="3685"/>
        <w:gridCol w:w="1977"/>
      </w:tblGrid>
      <w:tr w:rsidR="00EB399A" w:rsidRPr="00127CA4" w14:paraId="345208C5" w14:textId="220A2667" w:rsidTr="009E52A2">
        <w:tc>
          <w:tcPr>
            <w:tcW w:w="962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C45911" w:themeFill="accent2" w:themeFillShade="BF"/>
          </w:tcPr>
          <w:p w14:paraId="497F50F8" w14:textId="77777777" w:rsidR="00EB399A" w:rsidRPr="009E52A2" w:rsidRDefault="00EB399A" w:rsidP="00875EB9">
            <w:pPr>
              <w:pStyle w:val="ListParagraph"/>
              <w:numPr>
                <w:ilvl w:val="0"/>
                <w:numId w:val="9"/>
              </w:numPr>
              <w:spacing w:before="40" w:after="40"/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</w:pPr>
            <w:r w:rsidRPr="009E52A2">
              <w:rPr>
                <w:b/>
                <w:bCs/>
                <w:color w:val="FFFFFF" w:themeColor="background1"/>
                <w:sz w:val="22"/>
                <w:szCs w:val="24"/>
                <w:lang w:val="en-GB"/>
              </w:rPr>
              <w:t>Key Risk Indicators</w:t>
            </w:r>
          </w:p>
        </w:tc>
      </w:tr>
      <w:tr w:rsidR="00EB399A" w:rsidRPr="003238C1" w14:paraId="24205393" w14:textId="77777777" w:rsidTr="009E52A2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4A273CC4" w14:textId="77777777" w:rsidR="00EB399A" w:rsidRPr="003238C1" w:rsidRDefault="00EB399A" w:rsidP="00875EB9">
            <w:pPr>
              <w:ind w:right="311"/>
              <w:rPr>
                <w:b/>
                <w:bCs/>
                <w:smallCaps/>
                <w:color w:val="FFFFFF" w:themeColor="background1"/>
                <w:sz w:val="18"/>
                <w:szCs w:val="18"/>
                <w:lang w:val="en-GB"/>
              </w:rPr>
            </w:pPr>
          </w:p>
        </w:tc>
        <w:tc>
          <w:tcPr>
            <w:tcW w:w="35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5E5304D1" w14:textId="494CF6E4" w:rsidR="00EB399A" w:rsidRDefault="00EB399A" w:rsidP="00EB399A">
            <w:pPr>
              <w:rPr>
                <w:b/>
                <w:bCs/>
                <w:smallCaps/>
                <w:color w:val="FFFFFF" w:themeColor="background1"/>
                <w:sz w:val="18"/>
                <w:szCs w:val="18"/>
                <w:lang w:val="en-GB"/>
              </w:rPr>
            </w:pPr>
            <w:r w:rsidRPr="0097514C">
              <w:rPr>
                <w:b/>
                <w:bCs/>
                <w:color w:val="FFFFFF" w:themeColor="background1"/>
                <w:szCs w:val="20"/>
                <w:lang w:val="en-GB"/>
              </w:rPr>
              <w:t>Indicator</w:t>
            </w:r>
          </w:p>
        </w:tc>
        <w:tc>
          <w:tcPr>
            <w:tcW w:w="36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31ECA90F" w14:textId="65A81174" w:rsidR="00EB399A" w:rsidRPr="003238C1" w:rsidRDefault="00EB399A" w:rsidP="00EB399A">
            <w:pPr>
              <w:jc w:val="center"/>
              <w:rPr>
                <w:b/>
                <w:bCs/>
                <w:smallCaps/>
                <w:color w:val="FFFFFF" w:themeColor="background1"/>
                <w:sz w:val="18"/>
                <w:szCs w:val="18"/>
                <w:lang w:val="en-GB"/>
              </w:rPr>
            </w:pPr>
            <w:r w:rsidRPr="009E52A2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KRI Description</w:t>
            </w:r>
          </w:p>
        </w:tc>
        <w:tc>
          <w:tcPr>
            <w:tcW w:w="19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F4B083" w:themeFill="accent2" w:themeFillTint="99"/>
          </w:tcPr>
          <w:p w14:paraId="5F1E63D6" w14:textId="77777777" w:rsidR="00EB399A" w:rsidRPr="009E52A2" w:rsidRDefault="00EB399A" w:rsidP="00875EB9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</w:pPr>
            <w:r w:rsidRPr="009E52A2">
              <w:rPr>
                <w:b/>
                <w:bCs/>
                <w:color w:val="FFFFFF" w:themeColor="background1"/>
                <w:sz w:val="18"/>
                <w:szCs w:val="18"/>
                <w:lang w:val="en-GB"/>
              </w:rPr>
              <w:t>Lead/Lag</w:t>
            </w:r>
          </w:p>
        </w:tc>
      </w:tr>
      <w:tr w:rsidR="00EB399A" w14:paraId="26279A06" w14:textId="77777777" w:rsidTr="009E52A2"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EB79" w14:textId="77777777" w:rsidR="00EB399A" w:rsidRPr="009E52A2" w:rsidRDefault="00EB399A" w:rsidP="00875EB9">
            <w:pPr>
              <w:rPr>
                <w:bCs/>
                <w:sz w:val="18"/>
                <w:szCs w:val="18"/>
                <w:lang w:val="en-GB"/>
              </w:rPr>
            </w:pPr>
            <w:r w:rsidRPr="009E52A2">
              <w:rPr>
                <w:bCs/>
                <w:sz w:val="18"/>
                <w:szCs w:val="18"/>
                <w:lang w:val="en-GB"/>
              </w:rPr>
              <w:t>1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F58B" w14:textId="6F74F682" w:rsidR="00EB399A" w:rsidRPr="00557695" w:rsidRDefault="00EB399A" w:rsidP="00875EB9">
            <w:pPr>
              <w:rPr>
                <w:sz w:val="18"/>
                <w:szCs w:val="18"/>
                <w:lang w:val="en-GB"/>
              </w:rPr>
            </w:pPr>
            <w:r w:rsidRPr="0055769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Human resource requirements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BEDA0" w14:textId="71F8322B" w:rsidR="00EB399A" w:rsidRDefault="00EB399A" w:rsidP="00875EB9">
            <w:pPr>
              <w:rPr>
                <w:rFonts w:ascii="Calibri" w:eastAsia="Calibri" w:hAnsi="Calibri" w:cs="Calibri"/>
                <w:color w:val="000000" w:themeColor="text1"/>
                <w:szCs w:val="20"/>
              </w:rPr>
            </w:pPr>
            <w:r w:rsidRPr="4EA59FA8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Number of deviations from the resource plan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7C255" w14:textId="77777777" w:rsidR="00EB399A" w:rsidRPr="002A7036" w:rsidRDefault="00EB399A" w:rsidP="00875EB9">
            <w:pPr>
              <w:jc w:val="center"/>
              <w:rPr>
                <w:sz w:val="18"/>
                <w:szCs w:val="18"/>
                <w:lang w:val="en-GB"/>
              </w:rPr>
            </w:pPr>
            <w:r w:rsidRPr="002A7036">
              <w:rPr>
                <w:sz w:val="18"/>
                <w:szCs w:val="18"/>
                <w:lang w:val="en-GB"/>
              </w:rPr>
              <w:t>Lead</w:t>
            </w:r>
          </w:p>
        </w:tc>
      </w:tr>
      <w:tr w:rsidR="00EB399A" w14:paraId="08E336C7" w14:textId="77777777" w:rsidTr="009E52A2"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910D" w14:textId="77777777" w:rsidR="00EB399A" w:rsidRPr="009E52A2" w:rsidRDefault="00EB399A" w:rsidP="00875EB9">
            <w:pPr>
              <w:rPr>
                <w:bCs/>
                <w:sz w:val="18"/>
                <w:szCs w:val="18"/>
                <w:lang w:val="en-GB"/>
              </w:rPr>
            </w:pPr>
            <w:r w:rsidRPr="009E52A2">
              <w:rPr>
                <w:bCs/>
                <w:sz w:val="18"/>
                <w:szCs w:val="18"/>
                <w:lang w:val="en-GB"/>
              </w:rPr>
              <w:t>2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03E9" w14:textId="147C0305" w:rsidR="00EB399A" w:rsidRPr="00557695" w:rsidRDefault="00EB399A" w:rsidP="00875EB9">
            <w:pPr>
              <w:rPr>
                <w:sz w:val="18"/>
                <w:szCs w:val="18"/>
                <w:lang w:val="en-GB"/>
              </w:rPr>
            </w:pPr>
            <w:r w:rsidRPr="0055769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Human resource requirements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5C47B" w14:textId="3C9BBA65" w:rsidR="00EB399A" w:rsidRDefault="00EB399A" w:rsidP="00875EB9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EA59FA8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Percent of resource plan and enterprise architecture strategies delivering value and mitigating risk with allocated resources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F7D6B" w14:textId="77777777" w:rsidR="00EB399A" w:rsidRPr="002A7036" w:rsidRDefault="00EB399A" w:rsidP="00875EB9">
            <w:pPr>
              <w:jc w:val="center"/>
              <w:rPr>
                <w:sz w:val="18"/>
                <w:szCs w:val="18"/>
                <w:lang w:val="en-GB"/>
              </w:rPr>
            </w:pPr>
            <w:r w:rsidRPr="002A7036">
              <w:rPr>
                <w:sz w:val="18"/>
                <w:szCs w:val="18"/>
                <w:lang w:val="en-GB"/>
              </w:rPr>
              <w:t>Lead</w:t>
            </w:r>
          </w:p>
        </w:tc>
      </w:tr>
      <w:tr w:rsidR="00EB399A" w:rsidRPr="003238C1" w14:paraId="58FCCA24" w14:textId="77777777" w:rsidTr="009E52A2"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1CA7" w14:textId="77777777" w:rsidR="00EB399A" w:rsidRPr="009E52A2" w:rsidRDefault="00EB399A" w:rsidP="00875EB9">
            <w:pPr>
              <w:spacing w:before="40" w:after="40"/>
              <w:ind w:right="-106"/>
              <w:rPr>
                <w:bCs/>
                <w:sz w:val="18"/>
                <w:szCs w:val="18"/>
                <w:lang w:val="en-GB"/>
              </w:rPr>
            </w:pPr>
            <w:r w:rsidRPr="009E52A2">
              <w:rPr>
                <w:bCs/>
                <w:sz w:val="18"/>
                <w:szCs w:val="18"/>
                <w:lang w:val="en-GB"/>
              </w:rPr>
              <w:t>3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CFA86" w14:textId="77777777" w:rsidR="00EB399A" w:rsidRPr="00557695" w:rsidRDefault="00EB399A" w:rsidP="00875EB9">
            <w:pPr>
              <w:spacing w:before="40" w:after="4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55769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Human resource requirements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C7EF" w14:textId="52027781" w:rsidR="00EB399A" w:rsidRPr="003238C1" w:rsidRDefault="00EB399A" w:rsidP="00875EB9">
            <w:pPr>
              <w:spacing w:before="40" w:after="40"/>
            </w:pPr>
            <w:r w:rsidRPr="4EA59FA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Average duration of vacancies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132F" w14:textId="77777777" w:rsidR="00EB399A" w:rsidRPr="002A7036" w:rsidRDefault="00EB399A" w:rsidP="00875EB9">
            <w:pPr>
              <w:spacing w:before="40" w:after="40"/>
              <w:ind w:left="35"/>
              <w:jc w:val="center"/>
              <w:rPr>
                <w:sz w:val="18"/>
                <w:szCs w:val="18"/>
                <w:lang w:val="en-GB"/>
              </w:rPr>
            </w:pPr>
            <w:r w:rsidRPr="002A7036">
              <w:rPr>
                <w:sz w:val="18"/>
                <w:szCs w:val="18"/>
                <w:lang w:val="en-GB"/>
              </w:rPr>
              <w:t>Lag</w:t>
            </w:r>
          </w:p>
        </w:tc>
      </w:tr>
      <w:tr w:rsidR="00EB399A" w:rsidRPr="003238C1" w14:paraId="2911AE17" w14:textId="77777777" w:rsidTr="009E52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3B1B3" w14:textId="77777777" w:rsidR="00EB399A" w:rsidRPr="009E52A2" w:rsidRDefault="00EB399A" w:rsidP="00875EB9">
            <w:pPr>
              <w:spacing w:before="40" w:after="40"/>
              <w:ind w:right="-106"/>
              <w:rPr>
                <w:bCs/>
                <w:sz w:val="18"/>
                <w:szCs w:val="18"/>
                <w:lang w:val="en-GB"/>
              </w:rPr>
            </w:pPr>
            <w:r w:rsidRPr="009E52A2">
              <w:rPr>
                <w:bCs/>
                <w:sz w:val="18"/>
                <w:szCs w:val="18"/>
                <w:lang w:val="en-GB"/>
              </w:rPr>
              <w:t>4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0C13" w14:textId="77777777" w:rsidR="00EB399A" w:rsidRPr="00557695" w:rsidRDefault="00EB399A" w:rsidP="00875EB9">
            <w:pPr>
              <w:spacing w:before="40" w:after="4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55769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Human resource requirements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D0C0B" w14:textId="78AE30D7" w:rsidR="00EB399A" w:rsidRPr="003238C1" w:rsidRDefault="00EB399A" w:rsidP="00875EB9">
            <w:pPr>
              <w:spacing w:before="40" w:after="40"/>
            </w:pPr>
            <w:r w:rsidRPr="4EA59FA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Percent of IT posts vacant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3E559" w14:textId="77777777" w:rsidR="00EB399A" w:rsidRPr="002A7036" w:rsidRDefault="00EB399A" w:rsidP="00875EB9">
            <w:pPr>
              <w:spacing w:before="40" w:after="40"/>
              <w:ind w:left="35"/>
              <w:jc w:val="center"/>
              <w:rPr>
                <w:sz w:val="18"/>
                <w:szCs w:val="18"/>
                <w:lang w:val="en-GB"/>
              </w:rPr>
            </w:pPr>
            <w:r w:rsidRPr="002A7036">
              <w:rPr>
                <w:sz w:val="18"/>
                <w:szCs w:val="18"/>
                <w:lang w:val="en-GB"/>
              </w:rPr>
              <w:t>Lead</w:t>
            </w:r>
          </w:p>
        </w:tc>
      </w:tr>
      <w:tr w:rsidR="00EB399A" w:rsidRPr="003238C1" w14:paraId="75E22A44" w14:textId="77777777" w:rsidTr="009E52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6067" w14:textId="77777777" w:rsidR="00EB399A" w:rsidRPr="009E52A2" w:rsidRDefault="00EB399A" w:rsidP="00875EB9">
            <w:pPr>
              <w:spacing w:before="40" w:after="40"/>
              <w:ind w:right="-106"/>
              <w:rPr>
                <w:bCs/>
                <w:sz w:val="18"/>
                <w:szCs w:val="18"/>
                <w:lang w:val="en-GB"/>
              </w:rPr>
            </w:pPr>
            <w:r w:rsidRPr="009E52A2">
              <w:rPr>
                <w:bCs/>
                <w:sz w:val="18"/>
                <w:szCs w:val="18"/>
                <w:lang w:val="en-GB"/>
              </w:rPr>
              <w:t>5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2429" w14:textId="77777777" w:rsidR="00EB399A" w:rsidRPr="00557695" w:rsidRDefault="00EB399A" w:rsidP="00875EB9">
            <w:pPr>
              <w:spacing w:before="40" w:after="4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55769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Human resource requirements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B2372" w14:textId="66D15EB0" w:rsidR="00EB399A" w:rsidRPr="003238C1" w:rsidRDefault="00EB399A" w:rsidP="005738D2">
            <w:pPr>
              <w:spacing w:before="40" w:after="40"/>
              <w:rPr>
                <w:szCs w:val="20"/>
                <w:lang w:val="en-GB"/>
              </w:rPr>
            </w:pPr>
            <w:r w:rsidRPr="4EA59FA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Percent of staff turnover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B8B47" w14:textId="77777777" w:rsidR="00EB399A" w:rsidRPr="002A7036" w:rsidRDefault="00EB399A" w:rsidP="00875EB9">
            <w:pPr>
              <w:spacing w:before="40" w:after="40" w:line="259" w:lineRule="auto"/>
              <w:ind w:left="35"/>
              <w:jc w:val="center"/>
              <w:rPr>
                <w:sz w:val="18"/>
                <w:szCs w:val="18"/>
                <w:lang w:val="en-GB"/>
              </w:rPr>
            </w:pPr>
            <w:r w:rsidRPr="002A7036">
              <w:rPr>
                <w:sz w:val="18"/>
                <w:szCs w:val="18"/>
                <w:lang w:val="en-GB"/>
              </w:rPr>
              <w:t>Lag</w:t>
            </w:r>
          </w:p>
        </w:tc>
      </w:tr>
      <w:tr w:rsidR="00EB399A" w:rsidRPr="003238C1" w14:paraId="6BE60D18" w14:textId="77777777" w:rsidTr="009E52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C79E1" w14:textId="77777777" w:rsidR="00EB399A" w:rsidRPr="009E52A2" w:rsidRDefault="00EB399A" w:rsidP="00875EB9">
            <w:pPr>
              <w:spacing w:before="40" w:after="40"/>
              <w:ind w:right="-106"/>
              <w:rPr>
                <w:bCs/>
                <w:sz w:val="18"/>
                <w:szCs w:val="18"/>
                <w:lang w:val="en-GB"/>
              </w:rPr>
            </w:pPr>
            <w:r w:rsidRPr="009E52A2">
              <w:rPr>
                <w:bCs/>
                <w:sz w:val="18"/>
                <w:szCs w:val="18"/>
                <w:lang w:val="en-GB"/>
              </w:rPr>
              <w:t>6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C53ED" w14:textId="77777777" w:rsidR="00EB399A" w:rsidRPr="00557695" w:rsidRDefault="00EB399A" w:rsidP="00875EB9">
            <w:pPr>
              <w:spacing w:before="40" w:after="4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0055769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Human resource requirements</w:t>
            </w:r>
            <w:r w:rsidRPr="00557695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C84DC" w14:textId="77777777" w:rsidR="00EB399A" w:rsidRPr="003238C1" w:rsidRDefault="00EB399A" w:rsidP="00875EB9">
            <w:pPr>
              <w:spacing w:before="40" w:after="40" w:line="259" w:lineRule="auto"/>
            </w:pPr>
            <w:r w:rsidRPr="4EA59FA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Number of identified shortfalls and missing skills in planning for staffing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E874" w14:textId="77777777" w:rsidR="00EB399A" w:rsidRPr="002A7036" w:rsidRDefault="00EB399A" w:rsidP="00875EB9">
            <w:pPr>
              <w:spacing w:before="40" w:after="40"/>
              <w:ind w:left="35"/>
              <w:jc w:val="center"/>
              <w:rPr>
                <w:sz w:val="18"/>
                <w:szCs w:val="18"/>
                <w:lang w:val="en-GB"/>
              </w:rPr>
            </w:pPr>
            <w:r w:rsidRPr="002A7036">
              <w:rPr>
                <w:sz w:val="18"/>
                <w:szCs w:val="18"/>
                <w:lang w:val="en-GB"/>
              </w:rPr>
              <w:t>Lead</w:t>
            </w:r>
          </w:p>
        </w:tc>
      </w:tr>
      <w:tr w:rsidR="00EB399A" w:rsidRPr="003238C1" w14:paraId="482FC9E0" w14:textId="77777777" w:rsidTr="009E52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5211" w14:textId="77777777" w:rsidR="00EB399A" w:rsidRPr="009E52A2" w:rsidRDefault="00EB399A" w:rsidP="00875EB9">
            <w:pPr>
              <w:spacing w:before="40" w:after="40"/>
              <w:ind w:right="-106"/>
              <w:rPr>
                <w:bCs/>
                <w:sz w:val="18"/>
                <w:szCs w:val="18"/>
                <w:lang w:val="en-GB"/>
              </w:rPr>
            </w:pPr>
            <w:r w:rsidRPr="009E52A2">
              <w:rPr>
                <w:bCs/>
                <w:sz w:val="18"/>
                <w:szCs w:val="18"/>
                <w:lang w:val="en-GB"/>
              </w:rPr>
              <w:t>7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5C39" w14:textId="77777777" w:rsidR="00EB399A" w:rsidRPr="00557695" w:rsidRDefault="00EB399A" w:rsidP="00875EB9">
            <w:pPr>
              <w:spacing w:before="40" w:after="4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557695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  <w:t>Human resource requirements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CEE5" w14:textId="77777777" w:rsidR="00EB399A" w:rsidRPr="003238C1" w:rsidRDefault="00EB399A" w:rsidP="00875EB9">
            <w:pPr>
              <w:spacing w:before="40" w:after="40"/>
            </w:pPr>
            <w:r w:rsidRPr="4EA59FA8">
              <w:rPr>
                <w:rFonts w:ascii="Calibri" w:eastAsia="Calibri" w:hAnsi="Calibri" w:cs="Calibri"/>
                <w:sz w:val="18"/>
                <w:szCs w:val="18"/>
                <w:lang w:val="en-GB"/>
              </w:rPr>
              <w:t>Time spent per full-time equivalent (FTE) on assignments and projects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A1F61" w14:textId="77777777" w:rsidR="00EB399A" w:rsidRPr="002A7036" w:rsidRDefault="00EB399A" w:rsidP="00875EB9">
            <w:pPr>
              <w:spacing w:before="40" w:after="40"/>
              <w:ind w:left="35"/>
              <w:jc w:val="center"/>
              <w:rPr>
                <w:sz w:val="18"/>
                <w:szCs w:val="18"/>
                <w:lang w:val="en-GB"/>
              </w:rPr>
            </w:pPr>
            <w:r w:rsidRPr="002A7036">
              <w:rPr>
                <w:sz w:val="18"/>
                <w:szCs w:val="18"/>
                <w:lang w:val="en-GB"/>
              </w:rPr>
              <w:t>Lag</w:t>
            </w:r>
          </w:p>
        </w:tc>
      </w:tr>
    </w:tbl>
    <w:p w14:paraId="51B8AF45" w14:textId="71656D26" w:rsidR="6B98DAD6" w:rsidRDefault="6B98DAD6"/>
    <w:p w14:paraId="1A84895C" w14:textId="77777777" w:rsidR="00B809CC" w:rsidRDefault="00B809CC"/>
    <w:sectPr w:rsidR="00B809CC" w:rsidSect="00A407EF">
      <w:headerReference w:type="default" r:id="rId11"/>
      <w:footerReference w:type="default" r:id="rId12"/>
      <w:pgSz w:w="11906" w:h="16838"/>
      <w:pgMar w:top="1304" w:right="1304" w:bottom="130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E5F58" w14:textId="77777777" w:rsidR="00F32252" w:rsidRDefault="00F32252" w:rsidP="00B809CC">
      <w:pPr>
        <w:spacing w:after="0" w:line="240" w:lineRule="auto"/>
      </w:pPr>
      <w:r>
        <w:separator/>
      </w:r>
    </w:p>
  </w:endnote>
  <w:endnote w:type="continuationSeparator" w:id="0">
    <w:p w14:paraId="364ACBB4" w14:textId="77777777" w:rsidR="00F32252" w:rsidRDefault="00F32252" w:rsidP="00B809CC">
      <w:pPr>
        <w:spacing w:after="0" w:line="240" w:lineRule="auto"/>
      </w:pPr>
      <w:r>
        <w:continuationSeparator/>
      </w:r>
    </w:p>
  </w:endnote>
  <w:endnote w:type="continuationNotice" w:id="1">
    <w:p w14:paraId="2D3E8CB7" w14:textId="77777777" w:rsidR="00F32252" w:rsidRDefault="00F32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Condense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Condensed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60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CE931" w14:textId="0F636339" w:rsidR="004F36D6" w:rsidRDefault="21B3C893" w:rsidP="21B3C893">
        <w:pPr>
          <w:pBdr>
            <w:top w:val="single" w:sz="4" w:space="1" w:color="auto"/>
          </w:pBdr>
          <w:tabs>
            <w:tab w:val="center" w:pos="4513"/>
            <w:tab w:val="right" w:pos="9026"/>
          </w:tabs>
          <w:spacing w:after="0" w:line="240" w:lineRule="auto"/>
          <w:jc w:val="center"/>
          <w:rPr>
            <w:rFonts w:ascii="Calibri" w:eastAsia="Calibri" w:hAnsi="Calibri" w:cs="Calibri"/>
            <w:color w:val="000000" w:themeColor="text1"/>
            <w:szCs w:val="20"/>
          </w:rPr>
        </w:pPr>
        <w:r w:rsidRPr="21B3C893">
          <w:rPr>
            <w:rFonts w:ascii="Calibri" w:eastAsia="Calibri" w:hAnsi="Calibri" w:cs="Calibri"/>
            <w:color w:val="000000" w:themeColor="text1"/>
            <w:sz w:val="19"/>
            <w:szCs w:val="19"/>
          </w:rPr>
          <w:t>@2022 ISACA. All Rights Reserved.</w:t>
        </w:r>
      </w:p>
      <w:p w14:paraId="02E96770" w14:textId="38216001" w:rsidR="00D47ACF" w:rsidRDefault="00D47ACF" w:rsidP="000767F4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6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7F1A" w14:textId="77777777" w:rsidR="00F32252" w:rsidRDefault="00F32252" w:rsidP="00B809CC">
      <w:pPr>
        <w:spacing w:after="0" w:line="240" w:lineRule="auto"/>
      </w:pPr>
      <w:r>
        <w:separator/>
      </w:r>
    </w:p>
  </w:footnote>
  <w:footnote w:type="continuationSeparator" w:id="0">
    <w:p w14:paraId="206E366E" w14:textId="77777777" w:rsidR="00F32252" w:rsidRDefault="00F32252" w:rsidP="00B809CC">
      <w:pPr>
        <w:spacing w:after="0" w:line="240" w:lineRule="auto"/>
      </w:pPr>
      <w:r>
        <w:continuationSeparator/>
      </w:r>
    </w:p>
  </w:footnote>
  <w:footnote w:type="continuationNotice" w:id="1">
    <w:p w14:paraId="6BAA2A3B" w14:textId="77777777" w:rsidR="00F32252" w:rsidRDefault="00F322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0055" w14:textId="06DB441F" w:rsidR="00D47ACF" w:rsidRDefault="00D47ACF" w:rsidP="21B3C893">
    <w:pPr>
      <w:pStyle w:val="Header"/>
      <w:pBdr>
        <w:bottom w:val="single" w:sz="4" w:space="1" w:color="auto"/>
      </w:pBdr>
      <w:jc w:val="right"/>
      <w:rPr>
        <w:noProof/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6DF"/>
    <w:multiLevelType w:val="hybridMultilevel"/>
    <w:tmpl w:val="6D0A8712"/>
    <w:lvl w:ilvl="0" w:tplc="1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3099F"/>
    <w:multiLevelType w:val="hybridMultilevel"/>
    <w:tmpl w:val="8202F3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34E59"/>
    <w:multiLevelType w:val="hybridMultilevel"/>
    <w:tmpl w:val="DF52D3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795F"/>
    <w:multiLevelType w:val="hybridMultilevel"/>
    <w:tmpl w:val="A720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B47A6"/>
    <w:multiLevelType w:val="hybridMultilevel"/>
    <w:tmpl w:val="F7D2CEBA"/>
    <w:lvl w:ilvl="0" w:tplc="C840EA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555A0"/>
    <w:multiLevelType w:val="hybridMultilevel"/>
    <w:tmpl w:val="2954DBF0"/>
    <w:lvl w:ilvl="0" w:tplc="C840EA4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464AB3"/>
    <w:multiLevelType w:val="hybridMultilevel"/>
    <w:tmpl w:val="F5D218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D43ED"/>
    <w:multiLevelType w:val="hybridMultilevel"/>
    <w:tmpl w:val="5136ED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17C47"/>
    <w:multiLevelType w:val="hybridMultilevel"/>
    <w:tmpl w:val="071C2364"/>
    <w:lvl w:ilvl="0" w:tplc="122461E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DA47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0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CB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20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C9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47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2CD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93F45"/>
    <w:multiLevelType w:val="hybridMultilevel"/>
    <w:tmpl w:val="F1FE49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8628C"/>
    <w:multiLevelType w:val="hybridMultilevel"/>
    <w:tmpl w:val="C7689906"/>
    <w:lvl w:ilvl="0" w:tplc="0414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637FB9"/>
    <w:multiLevelType w:val="hybridMultilevel"/>
    <w:tmpl w:val="498838F8"/>
    <w:lvl w:ilvl="0" w:tplc="9642DF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17A50"/>
    <w:multiLevelType w:val="hybridMultilevel"/>
    <w:tmpl w:val="5F5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84AED"/>
    <w:multiLevelType w:val="hybridMultilevel"/>
    <w:tmpl w:val="436E46E4"/>
    <w:lvl w:ilvl="0" w:tplc="90B626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C65C8"/>
    <w:multiLevelType w:val="hybridMultilevel"/>
    <w:tmpl w:val="F1F02708"/>
    <w:lvl w:ilvl="0" w:tplc="E67E0614">
      <w:numFmt w:val="bullet"/>
      <w:lvlText w:val=""/>
      <w:lvlJc w:val="left"/>
      <w:pPr>
        <w:ind w:left="4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636466"/>
        <w:w w:val="163"/>
        <w:sz w:val="14"/>
        <w:szCs w:val="14"/>
        <w:lang w:val="en-US" w:eastAsia="en-US" w:bidi="ar-SA"/>
      </w:rPr>
    </w:lvl>
    <w:lvl w:ilvl="1" w:tplc="A7A624D6">
      <w:numFmt w:val="bullet"/>
      <w:lvlText w:val="•"/>
      <w:lvlJc w:val="left"/>
      <w:pPr>
        <w:ind w:left="851" w:hanging="360"/>
      </w:pPr>
      <w:rPr>
        <w:rFonts w:hint="default"/>
        <w:lang w:val="en-US" w:eastAsia="en-US" w:bidi="ar-SA"/>
      </w:rPr>
    </w:lvl>
    <w:lvl w:ilvl="2" w:tplc="696CEC84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3" w:tplc="06B834B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4" w:tplc="6C4285DE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5" w:tplc="3774E1FE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6" w:tplc="818EB9EE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 w:tplc="65C4A256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8" w:tplc="47B20CEE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8907D05"/>
    <w:multiLevelType w:val="hybridMultilevel"/>
    <w:tmpl w:val="DD443D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C392A"/>
    <w:multiLevelType w:val="hybridMultilevel"/>
    <w:tmpl w:val="454CF424"/>
    <w:lvl w:ilvl="0" w:tplc="90B626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232CC"/>
    <w:multiLevelType w:val="hybridMultilevel"/>
    <w:tmpl w:val="ED6CEF86"/>
    <w:lvl w:ilvl="0" w:tplc="90B626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A2D20"/>
    <w:multiLevelType w:val="hybridMultilevel"/>
    <w:tmpl w:val="BCA0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1D5C"/>
    <w:multiLevelType w:val="hybridMultilevel"/>
    <w:tmpl w:val="FFFFFFFF"/>
    <w:lvl w:ilvl="0" w:tplc="27205E5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9DA695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B58596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84E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56CDD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4DC0D4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DA6C6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74AB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154CA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A04B9E"/>
    <w:multiLevelType w:val="hybridMultilevel"/>
    <w:tmpl w:val="40C08882"/>
    <w:lvl w:ilvl="0" w:tplc="9642DF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A46C9"/>
    <w:multiLevelType w:val="hybridMultilevel"/>
    <w:tmpl w:val="FFFFFFFF"/>
    <w:lvl w:ilvl="0" w:tplc="A1C69AE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6D1A06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CC4FA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B7021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E2BBE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8DA233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98D0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924E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C5DE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EA78B5"/>
    <w:multiLevelType w:val="hybridMultilevel"/>
    <w:tmpl w:val="F76A5104"/>
    <w:lvl w:ilvl="0" w:tplc="90B626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16094"/>
    <w:multiLevelType w:val="hybridMultilevel"/>
    <w:tmpl w:val="D764B030"/>
    <w:lvl w:ilvl="0" w:tplc="FFFFFFFF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F2421B"/>
    <w:multiLevelType w:val="hybridMultilevel"/>
    <w:tmpl w:val="F4F04A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827E4"/>
    <w:multiLevelType w:val="hybridMultilevel"/>
    <w:tmpl w:val="D2B4CBE6"/>
    <w:lvl w:ilvl="0" w:tplc="1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524D9F"/>
    <w:multiLevelType w:val="hybridMultilevel"/>
    <w:tmpl w:val="3B1649C4"/>
    <w:lvl w:ilvl="0" w:tplc="0414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C30450"/>
    <w:multiLevelType w:val="hybridMultilevel"/>
    <w:tmpl w:val="6420BA9A"/>
    <w:lvl w:ilvl="0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CD7675"/>
    <w:multiLevelType w:val="hybridMultilevel"/>
    <w:tmpl w:val="4EA2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17436"/>
    <w:multiLevelType w:val="hybridMultilevel"/>
    <w:tmpl w:val="32FC50C0"/>
    <w:lvl w:ilvl="0" w:tplc="31F4C09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341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00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CB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6A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B0C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A8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1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64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02643"/>
    <w:multiLevelType w:val="hybridMultilevel"/>
    <w:tmpl w:val="3620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212063">
    <w:abstractNumId w:val="29"/>
  </w:num>
  <w:num w:numId="2" w16cid:durableId="1643269628">
    <w:abstractNumId w:val="8"/>
  </w:num>
  <w:num w:numId="3" w16cid:durableId="773982920">
    <w:abstractNumId w:val="11"/>
  </w:num>
  <w:num w:numId="4" w16cid:durableId="607277188">
    <w:abstractNumId w:val="20"/>
  </w:num>
  <w:num w:numId="5" w16cid:durableId="2056851775">
    <w:abstractNumId w:val="5"/>
  </w:num>
  <w:num w:numId="6" w16cid:durableId="400103631">
    <w:abstractNumId w:val="4"/>
  </w:num>
  <w:num w:numId="7" w16cid:durableId="42214256">
    <w:abstractNumId w:val="0"/>
  </w:num>
  <w:num w:numId="8" w16cid:durableId="761881369">
    <w:abstractNumId w:val="27"/>
  </w:num>
  <w:num w:numId="9" w16cid:durableId="411776795">
    <w:abstractNumId w:val="25"/>
  </w:num>
  <w:num w:numId="10" w16cid:durableId="1519654691">
    <w:abstractNumId w:val="9"/>
  </w:num>
  <w:num w:numId="11" w16cid:durableId="2011442667">
    <w:abstractNumId w:val="6"/>
  </w:num>
  <w:num w:numId="12" w16cid:durableId="820998075">
    <w:abstractNumId w:val="16"/>
  </w:num>
  <w:num w:numId="13" w16cid:durableId="1673023191">
    <w:abstractNumId w:val="17"/>
  </w:num>
  <w:num w:numId="14" w16cid:durableId="1946376305">
    <w:abstractNumId w:val="13"/>
  </w:num>
  <w:num w:numId="15" w16cid:durableId="505942745">
    <w:abstractNumId w:val="22"/>
  </w:num>
  <w:num w:numId="16" w16cid:durableId="1009866931">
    <w:abstractNumId w:val="24"/>
  </w:num>
  <w:num w:numId="17" w16cid:durableId="1045955904">
    <w:abstractNumId w:val="12"/>
  </w:num>
  <w:num w:numId="18" w16cid:durableId="2135168323">
    <w:abstractNumId w:val="30"/>
  </w:num>
  <w:num w:numId="19" w16cid:durableId="184489287">
    <w:abstractNumId w:val="14"/>
  </w:num>
  <w:num w:numId="20" w16cid:durableId="1741757053">
    <w:abstractNumId w:val="27"/>
  </w:num>
  <w:num w:numId="21" w16cid:durableId="1277910570">
    <w:abstractNumId w:val="1"/>
  </w:num>
  <w:num w:numId="22" w16cid:durableId="355473381">
    <w:abstractNumId w:val="3"/>
  </w:num>
  <w:num w:numId="23" w16cid:durableId="1966810328">
    <w:abstractNumId w:val="10"/>
  </w:num>
  <w:num w:numId="24" w16cid:durableId="1409380100">
    <w:abstractNumId w:val="26"/>
  </w:num>
  <w:num w:numId="25" w16cid:durableId="2033993202">
    <w:abstractNumId w:val="23"/>
  </w:num>
  <w:num w:numId="26" w16cid:durableId="1205751508">
    <w:abstractNumId w:val="15"/>
  </w:num>
  <w:num w:numId="27" w16cid:durableId="2128742606">
    <w:abstractNumId w:val="7"/>
  </w:num>
  <w:num w:numId="28" w16cid:durableId="852301768">
    <w:abstractNumId w:val="28"/>
  </w:num>
  <w:num w:numId="29" w16cid:durableId="69891507">
    <w:abstractNumId w:val="18"/>
  </w:num>
  <w:num w:numId="30" w16cid:durableId="584609882">
    <w:abstractNumId w:val="2"/>
  </w:num>
  <w:num w:numId="31" w16cid:durableId="1613442829">
    <w:abstractNumId w:val="21"/>
  </w:num>
  <w:num w:numId="32" w16cid:durableId="16486263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9CC"/>
    <w:rsid w:val="00001D30"/>
    <w:rsid w:val="0002301D"/>
    <w:rsid w:val="0002302A"/>
    <w:rsid w:val="00046EE2"/>
    <w:rsid w:val="00051621"/>
    <w:rsid w:val="00054B37"/>
    <w:rsid w:val="000563BA"/>
    <w:rsid w:val="00060396"/>
    <w:rsid w:val="0007582C"/>
    <w:rsid w:val="000767F4"/>
    <w:rsid w:val="0008663F"/>
    <w:rsid w:val="0009007F"/>
    <w:rsid w:val="000C7A8D"/>
    <w:rsid w:val="000F35BD"/>
    <w:rsid w:val="00114E90"/>
    <w:rsid w:val="00130762"/>
    <w:rsid w:val="00140E84"/>
    <w:rsid w:val="00165125"/>
    <w:rsid w:val="00165759"/>
    <w:rsid w:val="00171239"/>
    <w:rsid w:val="00180539"/>
    <w:rsid w:val="00180808"/>
    <w:rsid w:val="001A3985"/>
    <w:rsid w:val="001B3443"/>
    <w:rsid w:val="001C59E6"/>
    <w:rsid w:val="001C7EEA"/>
    <w:rsid w:val="001D73FA"/>
    <w:rsid w:val="001F2891"/>
    <w:rsid w:val="001F6410"/>
    <w:rsid w:val="00203900"/>
    <w:rsid w:val="00214072"/>
    <w:rsid w:val="002450F9"/>
    <w:rsid w:val="00265256"/>
    <w:rsid w:val="00266606"/>
    <w:rsid w:val="0027307E"/>
    <w:rsid w:val="0027382D"/>
    <w:rsid w:val="002A7036"/>
    <w:rsid w:val="002B7EBA"/>
    <w:rsid w:val="002C5639"/>
    <w:rsid w:val="002C598E"/>
    <w:rsid w:val="002D2512"/>
    <w:rsid w:val="002D7F32"/>
    <w:rsid w:val="002E6B5D"/>
    <w:rsid w:val="002F55A1"/>
    <w:rsid w:val="00320B9F"/>
    <w:rsid w:val="0032511C"/>
    <w:rsid w:val="003519A9"/>
    <w:rsid w:val="00357618"/>
    <w:rsid w:val="00366F53"/>
    <w:rsid w:val="0037009C"/>
    <w:rsid w:val="00377D4A"/>
    <w:rsid w:val="00390711"/>
    <w:rsid w:val="00397836"/>
    <w:rsid w:val="003D27C2"/>
    <w:rsid w:val="003F0CC4"/>
    <w:rsid w:val="003F3B80"/>
    <w:rsid w:val="00403435"/>
    <w:rsid w:val="00426E25"/>
    <w:rsid w:val="00434428"/>
    <w:rsid w:val="00442EA5"/>
    <w:rsid w:val="004559A2"/>
    <w:rsid w:val="00491073"/>
    <w:rsid w:val="0049535D"/>
    <w:rsid w:val="004B5CC9"/>
    <w:rsid w:val="004D2CF0"/>
    <w:rsid w:val="004D349F"/>
    <w:rsid w:val="004E2D6A"/>
    <w:rsid w:val="004E35A6"/>
    <w:rsid w:val="004F0277"/>
    <w:rsid w:val="004F36D6"/>
    <w:rsid w:val="00500D30"/>
    <w:rsid w:val="0050156D"/>
    <w:rsid w:val="0050630F"/>
    <w:rsid w:val="00512DF3"/>
    <w:rsid w:val="00523F09"/>
    <w:rsid w:val="00527494"/>
    <w:rsid w:val="00533368"/>
    <w:rsid w:val="0053761B"/>
    <w:rsid w:val="0054492C"/>
    <w:rsid w:val="0054719E"/>
    <w:rsid w:val="00554FFD"/>
    <w:rsid w:val="00557695"/>
    <w:rsid w:val="0055795E"/>
    <w:rsid w:val="00560B09"/>
    <w:rsid w:val="005738D2"/>
    <w:rsid w:val="0057634A"/>
    <w:rsid w:val="00576892"/>
    <w:rsid w:val="00587CBD"/>
    <w:rsid w:val="005922C5"/>
    <w:rsid w:val="005926EA"/>
    <w:rsid w:val="00593477"/>
    <w:rsid w:val="005A31C2"/>
    <w:rsid w:val="005A3665"/>
    <w:rsid w:val="005B485F"/>
    <w:rsid w:val="005B5F99"/>
    <w:rsid w:val="005C1B6C"/>
    <w:rsid w:val="005C1F28"/>
    <w:rsid w:val="005C3950"/>
    <w:rsid w:val="005C4D3F"/>
    <w:rsid w:val="005D7AF7"/>
    <w:rsid w:val="005E4696"/>
    <w:rsid w:val="005E738D"/>
    <w:rsid w:val="005E76E9"/>
    <w:rsid w:val="005F0AC4"/>
    <w:rsid w:val="005F3C27"/>
    <w:rsid w:val="0061723B"/>
    <w:rsid w:val="00634166"/>
    <w:rsid w:val="00643A6E"/>
    <w:rsid w:val="006502E4"/>
    <w:rsid w:val="00680166"/>
    <w:rsid w:val="006937EB"/>
    <w:rsid w:val="006A00C9"/>
    <w:rsid w:val="006A4C5A"/>
    <w:rsid w:val="006C32ED"/>
    <w:rsid w:val="006C76B0"/>
    <w:rsid w:val="006D6CDA"/>
    <w:rsid w:val="006E14A1"/>
    <w:rsid w:val="006F00D6"/>
    <w:rsid w:val="006F0FB3"/>
    <w:rsid w:val="006F58C3"/>
    <w:rsid w:val="007026A8"/>
    <w:rsid w:val="007056FA"/>
    <w:rsid w:val="00720397"/>
    <w:rsid w:val="00721BB4"/>
    <w:rsid w:val="00725BCE"/>
    <w:rsid w:val="00762B30"/>
    <w:rsid w:val="00775F85"/>
    <w:rsid w:val="00797A55"/>
    <w:rsid w:val="007A2AA1"/>
    <w:rsid w:val="007A45C6"/>
    <w:rsid w:val="007B6A7D"/>
    <w:rsid w:val="007D00C1"/>
    <w:rsid w:val="007F7292"/>
    <w:rsid w:val="00822BEB"/>
    <w:rsid w:val="00823D25"/>
    <w:rsid w:val="0084025C"/>
    <w:rsid w:val="00844E83"/>
    <w:rsid w:val="00877A1C"/>
    <w:rsid w:val="008A1A5A"/>
    <w:rsid w:val="008A2BE4"/>
    <w:rsid w:val="008A2DF2"/>
    <w:rsid w:val="008C6D1C"/>
    <w:rsid w:val="008C756A"/>
    <w:rsid w:val="008D2D86"/>
    <w:rsid w:val="008D7C9A"/>
    <w:rsid w:val="008E0564"/>
    <w:rsid w:val="008F7301"/>
    <w:rsid w:val="00905F44"/>
    <w:rsid w:val="009161BB"/>
    <w:rsid w:val="00924B46"/>
    <w:rsid w:val="009341C4"/>
    <w:rsid w:val="009468E8"/>
    <w:rsid w:val="009553E3"/>
    <w:rsid w:val="0096321B"/>
    <w:rsid w:val="00983FC9"/>
    <w:rsid w:val="009A53AD"/>
    <w:rsid w:val="009A5F28"/>
    <w:rsid w:val="009C0DEB"/>
    <w:rsid w:val="009C6098"/>
    <w:rsid w:val="009E52A2"/>
    <w:rsid w:val="00A006AA"/>
    <w:rsid w:val="00A03F2A"/>
    <w:rsid w:val="00A20101"/>
    <w:rsid w:val="00A227AD"/>
    <w:rsid w:val="00A35078"/>
    <w:rsid w:val="00A3591D"/>
    <w:rsid w:val="00A407EF"/>
    <w:rsid w:val="00A513E3"/>
    <w:rsid w:val="00A53B63"/>
    <w:rsid w:val="00A54C7B"/>
    <w:rsid w:val="00A63397"/>
    <w:rsid w:val="00A679FD"/>
    <w:rsid w:val="00A902C4"/>
    <w:rsid w:val="00A91705"/>
    <w:rsid w:val="00AB2AD8"/>
    <w:rsid w:val="00AF2463"/>
    <w:rsid w:val="00AF33EC"/>
    <w:rsid w:val="00AF4BC9"/>
    <w:rsid w:val="00B007EA"/>
    <w:rsid w:val="00B02C14"/>
    <w:rsid w:val="00B073A2"/>
    <w:rsid w:val="00B10065"/>
    <w:rsid w:val="00B128B0"/>
    <w:rsid w:val="00B139F6"/>
    <w:rsid w:val="00B14C7D"/>
    <w:rsid w:val="00B37C68"/>
    <w:rsid w:val="00B63BFC"/>
    <w:rsid w:val="00B67EDE"/>
    <w:rsid w:val="00B75760"/>
    <w:rsid w:val="00B80219"/>
    <w:rsid w:val="00B809CC"/>
    <w:rsid w:val="00B8743A"/>
    <w:rsid w:val="00BB6AFB"/>
    <w:rsid w:val="00BC133B"/>
    <w:rsid w:val="00BC39EA"/>
    <w:rsid w:val="00BC3F22"/>
    <w:rsid w:val="00BD36F4"/>
    <w:rsid w:val="00BE15D1"/>
    <w:rsid w:val="00C1186D"/>
    <w:rsid w:val="00C24C00"/>
    <w:rsid w:val="00C50535"/>
    <w:rsid w:val="00C6139D"/>
    <w:rsid w:val="00C647D3"/>
    <w:rsid w:val="00C66B97"/>
    <w:rsid w:val="00C74152"/>
    <w:rsid w:val="00C776F6"/>
    <w:rsid w:val="00C84E49"/>
    <w:rsid w:val="00C87352"/>
    <w:rsid w:val="00C92343"/>
    <w:rsid w:val="00C943B4"/>
    <w:rsid w:val="00CC0B36"/>
    <w:rsid w:val="00CD2FA9"/>
    <w:rsid w:val="00D104DA"/>
    <w:rsid w:val="00D16538"/>
    <w:rsid w:val="00D24888"/>
    <w:rsid w:val="00D4046C"/>
    <w:rsid w:val="00D47ACF"/>
    <w:rsid w:val="00D97497"/>
    <w:rsid w:val="00DB6962"/>
    <w:rsid w:val="00DC7B4A"/>
    <w:rsid w:val="00DC7F85"/>
    <w:rsid w:val="00DE675C"/>
    <w:rsid w:val="00DF6755"/>
    <w:rsid w:val="00E10320"/>
    <w:rsid w:val="00E12DE0"/>
    <w:rsid w:val="00E244C8"/>
    <w:rsid w:val="00E25F9F"/>
    <w:rsid w:val="00E4779C"/>
    <w:rsid w:val="00E550DD"/>
    <w:rsid w:val="00E634BC"/>
    <w:rsid w:val="00E75188"/>
    <w:rsid w:val="00E77044"/>
    <w:rsid w:val="00E80C1D"/>
    <w:rsid w:val="00E83BDB"/>
    <w:rsid w:val="00E85951"/>
    <w:rsid w:val="00E95C2F"/>
    <w:rsid w:val="00E96822"/>
    <w:rsid w:val="00EB000B"/>
    <w:rsid w:val="00EB0F39"/>
    <w:rsid w:val="00EB15FD"/>
    <w:rsid w:val="00EB19B9"/>
    <w:rsid w:val="00EB399A"/>
    <w:rsid w:val="00EB499E"/>
    <w:rsid w:val="00ED2F3B"/>
    <w:rsid w:val="00EF1ECD"/>
    <w:rsid w:val="00EF3D3B"/>
    <w:rsid w:val="00F0274C"/>
    <w:rsid w:val="00F06475"/>
    <w:rsid w:val="00F32252"/>
    <w:rsid w:val="00F4332F"/>
    <w:rsid w:val="00F53C22"/>
    <w:rsid w:val="00F5792F"/>
    <w:rsid w:val="00F83E86"/>
    <w:rsid w:val="00F90D96"/>
    <w:rsid w:val="00F931B0"/>
    <w:rsid w:val="00F95869"/>
    <w:rsid w:val="00F95BA3"/>
    <w:rsid w:val="00FA4A42"/>
    <w:rsid w:val="00FC09E0"/>
    <w:rsid w:val="00FD4728"/>
    <w:rsid w:val="00FF310D"/>
    <w:rsid w:val="00FF363D"/>
    <w:rsid w:val="1B36BD82"/>
    <w:rsid w:val="21B3C893"/>
    <w:rsid w:val="280D55B0"/>
    <w:rsid w:val="37E76025"/>
    <w:rsid w:val="492B15CB"/>
    <w:rsid w:val="4EA59FA8"/>
    <w:rsid w:val="4F0ED19E"/>
    <w:rsid w:val="6B98D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4630"/>
  <w15:chartTrackingRefBased/>
  <w15:docId w15:val="{B46849E5-73C2-47B1-A91C-6982D352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C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09CC"/>
    <w:pPr>
      <w:ind w:left="720"/>
      <w:contextualSpacing/>
    </w:pPr>
  </w:style>
  <w:style w:type="table" w:styleId="TableGrid">
    <w:name w:val="Table Grid"/>
    <w:basedOn w:val="TableNormal"/>
    <w:uiPriority w:val="39"/>
    <w:rsid w:val="00B80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B809C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9CC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B809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333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7C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GridTable4-Accent1">
    <w:name w:val="Grid Table 4 Accent 1"/>
    <w:basedOn w:val="TableNormal"/>
    <w:uiPriority w:val="49"/>
    <w:rsid w:val="00B100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A2D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4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CF"/>
    <w:rPr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CF"/>
    <w:rPr>
      <w:sz w:val="20"/>
      <w:lang w:val="en-US"/>
    </w:rPr>
  </w:style>
  <w:style w:type="table" w:styleId="GridTable4-Accent6">
    <w:name w:val="Grid Table 4 Accent 6"/>
    <w:basedOn w:val="TableNormal"/>
    <w:uiPriority w:val="49"/>
    <w:rsid w:val="009553E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553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0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02C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3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2E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2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2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2ED"/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24C00"/>
    <w:pPr>
      <w:widowControl w:val="0"/>
      <w:autoSpaceDE w:val="0"/>
      <w:autoSpaceDN w:val="0"/>
      <w:spacing w:before="48" w:after="0" w:line="240" w:lineRule="auto"/>
    </w:pPr>
    <w:rPr>
      <w:rFonts w:ascii="Tahoma" w:eastAsia="Tahoma" w:hAnsi="Tahoma" w:cs="Tahoma"/>
      <w:sz w:val="22"/>
    </w:rPr>
  </w:style>
  <w:style w:type="paragraph" w:styleId="Revision">
    <w:name w:val="Revision"/>
    <w:hidden/>
    <w:uiPriority w:val="99"/>
    <w:semiHidden/>
    <w:rsid w:val="0055795E"/>
    <w:pPr>
      <w:spacing w:after="0" w:line="240" w:lineRule="auto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E1194F6E6FA46A9105088486D2D65" ma:contentTypeVersion="4" ma:contentTypeDescription="Create a new document." ma:contentTypeScope="" ma:versionID="ee7d3ee65258301a5d0fd9b959a8ddbd">
  <xsd:schema xmlns:xsd="http://www.w3.org/2001/XMLSchema" xmlns:xs="http://www.w3.org/2001/XMLSchema" xmlns:p="http://schemas.microsoft.com/office/2006/metadata/properties" xmlns:ns2="7741558f-0b27-46b7-aa72-df617592c633" xmlns:ns3="1a06a05d-c994-4f05-8e8b-fc1fcbeb1b31" targetNamespace="http://schemas.microsoft.com/office/2006/metadata/properties" ma:root="true" ma:fieldsID="25a17ee3e3e966c49ee3c0f9683963b7" ns2:_="" ns3:_="">
    <xsd:import namespace="7741558f-0b27-46b7-aa72-df617592c633"/>
    <xsd:import namespace="1a06a05d-c994-4f05-8e8b-fc1fcbeb1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1558f-0b27-46b7-aa72-df617592c6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6a05d-c994-4f05-8e8b-fc1fcbeb1b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294B77-30C6-4CB6-B9CC-4E79805EF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41558f-0b27-46b7-aa72-df617592c633"/>
    <ds:schemaRef ds:uri="1a06a05d-c994-4f05-8e8b-fc1fcbeb1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1C88E-0EFE-4F1C-AF7F-EBD3A17DA5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A8433-4A3E-4232-ADEC-15145AABCE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79993A-F67B-4E6E-8903-B07F7D2B6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steuperaert</dc:creator>
  <cp:keywords/>
  <dc:description/>
  <cp:lastModifiedBy>Karen Heslop</cp:lastModifiedBy>
  <cp:revision>5</cp:revision>
  <cp:lastPrinted>2021-04-28T07:47:00Z</cp:lastPrinted>
  <dcterms:created xsi:type="dcterms:W3CDTF">2022-06-19T16:59:00Z</dcterms:created>
  <dcterms:modified xsi:type="dcterms:W3CDTF">2022-06-19T17:39:00Z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0x0101006F1E1194F6E6FA46A9105088486D2D65</vt:lpwstr>
  </property>
</Properties>
</file>