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6:</w:t>
      </w:r>
      <w:r>
        <w:t xml:space="preserve"> </w:t>
      </w:r>
      <w:r>
        <w:t xml:space="preserve">Fixed</w:t>
      </w:r>
      <w:r>
        <w:t xml:space="preserve"> </w:t>
      </w:r>
      <w:r>
        <w:t xml:space="preserve">Effects,</w:t>
      </w:r>
      <w:r>
        <w:t xml:space="preserve"> </w:t>
      </w:r>
      <w:r>
        <w:t xml:space="preserve">Growth</w:t>
      </w:r>
      <w:r>
        <w:t xml:space="preserve"> </w:t>
      </w:r>
      <w:r>
        <w:t xml:space="preserve">Curves,</w:t>
      </w:r>
      <w:r>
        <w:t xml:space="preserve"> </w:t>
      </w:r>
      <w:r>
        <w:t xml:space="preserve">and</w:t>
      </w:r>
      <w:r>
        <w:t xml:space="preserve"> </w:t>
      </w:r>
      <w:r>
        <w:t xml:space="preserve">Matching</w:t>
      </w:r>
      <w:r>
        <w:t xml:space="preserve"> </w:t>
      </w:r>
      <w:r>
        <w:t xml:space="preserve">with</w:t>
      </w:r>
      <w:r>
        <w:t xml:space="preserve"> </w:t>
      </w:r>
      <w:r>
        <w:t xml:space="preserve">Panel</w:t>
      </w:r>
      <w:r>
        <w:t xml:space="preserve"> </w:t>
      </w:r>
      <w:r>
        <w:t xml:space="preserve">Data</w:t>
      </w:r>
    </w:p>
    <w:p>
      <w:pPr>
        <w:pStyle w:val="Subtitle"/>
      </w:pPr>
      <w:r>
        <w:t xml:space="preserve">Does</w:t>
      </w:r>
      <w:r>
        <w:t xml:space="preserve"> </w:t>
      </w:r>
      <w:r>
        <w:t xml:space="preserve">a</w:t>
      </w:r>
      <w:r>
        <w:t xml:space="preserve"> </w:t>
      </w:r>
      <w:r>
        <w:t xml:space="preserve">marijuana</w:t>
      </w:r>
      <w:r>
        <w:t xml:space="preserve"> </w:t>
      </w:r>
      <w:r>
        <w:t xml:space="preserve">possession</w:t>
      </w:r>
      <w:r>
        <w:t xml:space="preserve"> </w:t>
      </w:r>
      <w:r>
        <w:t xml:space="preserve">charge</w:t>
      </w:r>
      <w:r>
        <w:t xml:space="preserve"> </w:t>
      </w:r>
      <w:r>
        <w:t xml:space="preserve">change</w:t>
      </w:r>
      <w:r>
        <w:t xml:space="preserve"> </w:t>
      </w:r>
      <w:r>
        <w:t xml:space="preserve">earnings</w:t>
      </w:r>
      <w:r>
        <w:t xml:space="preserve"> </w:t>
      </w:r>
      <w:r>
        <w:t xml:space="preserve">trajectories?</w:t>
      </w:r>
      <w:r>
        <w:t xml:space="preserve"> </w:t>
      </w:r>
      <w:r>
        <w:t xml:space="preserve">·</w:t>
      </w:r>
      <w:r>
        <w:t xml:space="preserve"> </w:t>
      </w:r>
      <w:r>
        <w:t xml:space="preserve">Week</w:t>
      </w:r>
      <w:r>
        <w:t xml:space="preserve"> </w:t>
      </w:r>
      <w:r>
        <w:t xml:space="preserve">7,</w:t>
      </w:r>
      <w:r>
        <w:t xml:space="preserve"> </w:t>
      </w:r>
      <w:r>
        <w:t xml:space="preserve">October</w:t>
      </w:r>
      <w:r>
        <w:t xml:space="preserve"> </w:t>
      </w:r>
      <w:r>
        <w:t xml:space="preserve">15</w:t>
      </w:r>
    </w:p>
    <w:bookmarkStart w:id="20" w:name="overview"/>
    <w:p>
      <w:pPr>
        <w:pStyle w:val="Heading2"/>
      </w:pPr>
      <w:r>
        <w:t xml:space="preserve">Overview</w:t>
      </w:r>
    </w:p>
    <w:p>
      <w:pPr>
        <w:pStyle w:val="FirstParagraph"/>
      </w:pPr>
      <w:r>
        <w:t xml:space="preserve">This lab uses the National Longitudinal Survey of Youth 1997 (NLSY97), the data behind Professor Grimsley’s paper on marijuana possession charges and racially differentiated labor-market trajectories. The cohort was born in 1980–84 and first interviewed in 1997; we observe income every two years from 2001 to 2019.</w:t>
      </w:r>
    </w:p>
    <w:p>
      <w:pPr>
        <w:pStyle w:val="BodyText"/>
      </w:pPr>
      <w:r>
        <w:t xml:space="preserve">The</w:t>
      </w:r>
      <w:r>
        <w:t xml:space="preserve"> </w:t>
      </w:r>
      <w:r>
        <w:t xml:space="preserve">“</w:t>
      </w:r>
      <w:r>
        <w:t xml:space="preserve">treatment</w:t>
      </w:r>
      <w:r>
        <w:t xml:space="preserve">”</w:t>
      </w:r>
      <w:r>
        <w:t xml:space="preserve"> </w:t>
      </w:r>
      <w:r>
        <w:t xml:space="preserve">is a first marijuana possession charge. It switches on partway through the panel and stays on. You will estimate its association with earnings five ways (pooled OLS, person fixed effects, two-way fixed effects, a growth-curve model, and fixed effects on a propensity-matched sample) and work out why the answers differ.</w:t>
      </w:r>
    </w:p>
    <w:p>
      <w:pPr>
        <w:pStyle w:val="BodyText"/>
      </w:pPr>
      <w:r>
        <w:rPr>
          <w:bCs/>
          <w:b/>
        </w:rPr>
        <w:t xml:space="preserve">Files</w:t>
      </w:r>
      <w:r>
        <w:t xml:space="preserve"> </w:t>
      </w:r>
      <w:r>
        <w:t xml:space="preserve">(same folder):</w:t>
      </w:r>
    </w:p>
    <w:p>
      <w:pPr>
        <w:numPr>
          <w:ilvl w:val="0"/>
          <w:numId w:val="1001"/>
        </w:numPr>
        <w:pStyle w:val="Compact"/>
      </w:pPr>
      <w:r>
        <w:rPr>
          <w:rStyle w:val="VerbatimChar"/>
        </w:rPr>
        <w:t xml:space="preserve">week7-lab6.R</w:t>
      </w:r>
      <w:r>
        <w:t xml:space="preserve">: all code, in order, with the questions as comments</w:t>
      </w:r>
    </w:p>
    <w:p>
      <w:pPr>
        <w:numPr>
          <w:ilvl w:val="0"/>
          <w:numId w:val="1001"/>
        </w:numPr>
        <w:pStyle w:val="Compact"/>
      </w:pPr>
      <w:r>
        <w:rPr>
          <w:rStyle w:val="VerbatimChar"/>
        </w:rPr>
        <w:t xml:space="preserve">data/analysis_primary_corrected_education.rds</w:t>
      </w:r>
      <w:r>
        <w:t xml:space="preserve">: person-year panel (89,840 rows)</w:t>
      </w:r>
    </w:p>
    <w:p>
      <w:pPr>
        <w:numPr>
          <w:ilvl w:val="0"/>
          <w:numId w:val="1001"/>
        </w:numPr>
        <w:pStyle w:val="Compact"/>
      </w:pPr>
      <w:r>
        <w:rPr>
          <w:rStyle w:val="VerbatimChar"/>
        </w:rPr>
        <w:t xml:space="preserve">data/NLSY97_person_level_ASR.rds</w:t>
      </w:r>
      <w:r>
        <w:t xml:space="preserve">: one row per respondent (background traits)</w:t>
      </w:r>
    </w:p>
    <w:p>
      <w:pPr>
        <w:pStyle w:val="FirstParagraph"/>
      </w:pPr>
      <w:r>
        <w:rPr>
          <w:bCs/>
          <w:b/>
        </w:rPr>
        <w:t xml:space="preserve">Packages:</w:t>
      </w:r>
      <w:r>
        <w:t xml:space="preserve"> </w:t>
      </w:r>
      <w:r>
        <w:rPr>
          <w:rStyle w:val="VerbatimChar"/>
        </w:rPr>
        <w:t xml:space="preserve">dplyr</w:t>
      </w:r>
      <w:r>
        <w:t xml:space="preserve">,</w:t>
      </w:r>
      <w:r>
        <w:t xml:space="preserve"> </w:t>
      </w:r>
      <w:r>
        <w:rPr>
          <w:rStyle w:val="VerbatimChar"/>
        </w:rPr>
        <w:t xml:space="preserve">ggplot2</w:t>
      </w:r>
      <w:r>
        <w:t xml:space="preserve">,</w:t>
      </w:r>
      <w:r>
        <w:t xml:space="preserve"> </w:t>
      </w:r>
      <w:r>
        <w:rPr>
          <w:rStyle w:val="VerbatimChar"/>
        </w:rPr>
        <w:t xml:space="preserve">plm</w:t>
      </w:r>
      <w:r>
        <w:t xml:space="preserve">,</w:t>
      </w:r>
      <w:r>
        <w:t xml:space="preserve"> </w:t>
      </w:r>
      <w:r>
        <w:rPr>
          <w:rStyle w:val="VerbatimChar"/>
        </w:rPr>
        <w:t xml:space="preserve">lmtest</w:t>
      </w:r>
      <w:r>
        <w:t xml:space="preserve">,</w:t>
      </w:r>
      <w:r>
        <w:t xml:space="preserve"> </w:t>
      </w:r>
      <w:r>
        <w:rPr>
          <w:rStyle w:val="VerbatimChar"/>
        </w:rPr>
        <w:t xml:space="preserve">sandwich</w:t>
      </w:r>
      <w:r>
        <w:t xml:space="preserve">,</w:t>
      </w:r>
      <w:r>
        <w:t xml:space="preserve"> </w:t>
      </w:r>
      <w:r>
        <w:rPr>
          <w:rStyle w:val="VerbatimChar"/>
        </w:rPr>
        <w:t xml:space="preserve">lme4</w:t>
      </w:r>
      <w:r>
        <w:t xml:space="preserve">,</w:t>
      </w:r>
      <w:r>
        <w:t xml:space="preserve"> </w:t>
      </w:r>
      <w:r>
        <w:rPr>
          <w:rStyle w:val="VerbatimChar"/>
        </w:rPr>
        <w:t xml:space="preserve">MatchIt</w:t>
      </w:r>
      <w:r>
        <w:t xml:space="preserve">,</w:t>
      </w:r>
      <w:r>
        <w:t xml:space="preserve"> </w:t>
      </w:r>
      <w:r>
        <w:rPr>
          <w:rStyle w:val="VerbatimChar"/>
        </w:rPr>
        <w:t xml:space="preserve">estimatr</w:t>
      </w:r>
      <w:r>
        <w:t xml:space="preserve">. The whole script runs in under a minute.</w:t>
      </w:r>
    </w:p>
    <w:p>
      <w:pPr>
        <w:pStyle w:val="BodyText"/>
      </w:pPr>
      <w:r>
        <w:rPr>
          <w:bCs/>
          <w:b/>
        </w:rPr>
        <w:t xml:space="preserve">In class:</w:t>
      </w:r>
      <w:r>
        <w:t xml:space="preserve"> </w:t>
      </w:r>
      <w:r>
        <w:t xml:space="preserve">Parts 1–5.</w:t>
      </w:r>
      <w:r>
        <w:t xml:space="preserve"> </w:t>
      </w:r>
      <w:r>
        <w:rPr>
          <w:bCs/>
          <w:b/>
        </w:rPr>
        <w:t xml:space="preserve">At home:</w:t>
      </w:r>
      <w:r>
        <w:t xml:space="preserve"> </w:t>
      </w:r>
      <w:r>
        <w:t xml:space="preserve">Parts 6–9. Write short answers (2–4 sentences) to each question.</w:t>
      </w:r>
    </w:p>
    <w:bookmarkEnd w:id="20"/>
    <w:bookmarkStart w:id="21" w:name="part-1.-the-panel-and-who-gets-treated"/>
    <w:p>
      <w:pPr>
        <w:pStyle w:val="Heading2"/>
      </w:pPr>
      <w:r>
        <w:t xml:space="preserve">Part 1. The panel and who gets</w:t>
      </w:r>
      <w:r>
        <w:t xml:space="preserve"> </w:t>
      </w:r>
      <w:r>
        <w:t xml:space="preserve">“</w:t>
      </w:r>
      <w:r>
        <w:t xml:space="preserve">treated</w:t>
      </w:r>
      <w:r>
        <w:t xml:space="preserve">”</w:t>
      </w:r>
    </w:p>
    <w:p>
      <w:pPr>
        <w:pStyle w:val="FirstParagraph"/>
      </w:pPr>
      <w:r>
        <w:t xml:space="preserve">Load both files, look at one person over time, and count who is never charged, charged before 2001, and charged during the panel. Plot mean log income by age for people ever vs. never charged.</w:t>
      </w:r>
    </w:p>
    <w:p>
      <w:pPr>
        <w:pStyle w:val="BodyText"/>
      </w:pPr>
      <w:r>
        <w:rPr>
          <w:bCs/>
          <w:b/>
        </w:rPr>
        <w:t xml:space="preserve">Q1.</w:t>
      </w:r>
      <w:r>
        <w:t xml:space="preserve"> </w:t>
      </w:r>
      <w:r>
        <w:t xml:space="preserve">The NLSY97 follows people from their late teens into their thirties. Why does that make age a confounder for any variable that switches on partway through the panel?</w:t>
      </w:r>
    </w:p>
    <w:bookmarkEnd w:id="21"/>
    <w:bookmarkStart w:id="22" w:name="part-2.-pooled-ols"/>
    <w:p>
      <w:pPr>
        <w:pStyle w:val="Heading2"/>
      </w:pPr>
      <w:r>
        <w:t xml:space="preserve">Part 2. Pooled OLS</w:t>
      </w:r>
    </w:p>
    <w:p>
      <w:pPr>
        <w:pStyle w:val="FirstParagraph"/>
      </w:pPr>
      <w:r>
        <w:rPr>
          <w:bCs/>
          <w:b/>
        </w:rPr>
        <w:t xml:space="preserve">Q2.</w:t>
      </w:r>
      <w:r>
        <w:t xml:space="preserve"> </w:t>
      </w:r>
      <w:r>
        <w:t xml:space="preserve">Pooled OLS compares charged and uncharged person-years across different people. List two unmeasured differences between people who do and don’t get charged that could bias this estimate.</w:t>
      </w:r>
    </w:p>
    <w:bookmarkEnd w:id="22"/>
    <w:bookmarkStart w:id="23" w:name="X37fcffd98b6deb55876e332d989fbc399d77e44"/>
    <w:p>
      <w:pPr>
        <w:pStyle w:val="Heading2"/>
      </w:pPr>
      <w:r>
        <w:t xml:space="preserve">Part 3. Person fixed effects, then two-way fixed effects</w:t>
      </w:r>
    </w:p>
    <w:p>
      <w:pPr>
        <w:pStyle w:val="FirstParagraph"/>
      </w:pPr>
      <w:r>
        <w:rPr>
          <w:bCs/>
          <w:b/>
        </w:rPr>
        <w:t xml:space="preserve">Q3.</w:t>
      </w:r>
      <w:r>
        <w:t xml:space="preserve"> </w:t>
      </w:r>
      <w:r>
        <w:t xml:space="preserve">The person-FE estimate is positive. Using the trajectory plot, explain what that model compares and why adding year fixed effects changes the answer.</w:t>
      </w:r>
    </w:p>
    <w:p>
      <w:pPr>
        <w:pStyle w:val="BodyText"/>
      </w:pPr>
      <w:r>
        <w:rPr>
          <w:bCs/>
          <w:b/>
        </w:rPr>
        <w:t xml:space="preserve">Q4.</w:t>
      </w:r>
      <w:r>
        <w:t xml:space="preserve"> </w:t>
      </w:r>
      <w:r>
        <w:t xml:space="preserve">Why can’t a person-FE model estimate the effect of race or sex?</w:t>
      </w:r>
    </w:p>
    <w:bookmarkEnd w:id="23"/>
    <w:bookmarkStart w:id="24" w:name="X3b6128dcbfbb71c43f35c0f3f4a46942c906817"/>
    <w:p>
      <w:pPr>
        <w:pStyle w:val="Heading2"/>
      </w:pPr>
      <w:r>
        <w:t xml:space="preserve">Part 4. Who identifies a fixed-effects estimate?</w:t>
      </w:r>
    </w:p>
    <w:p>
      <w:pPr>
        <w:pStyle w:val="FirstParagraph"/>
      </w:pPr>
      <w:r>
        <w:rPr>
          <w:bCs/>
          <w:b/>
        </w:rPr>
        <w:t xml:space="preserve">Q5.</w:t>
      </w:r>
      <w:r>
        <w:t xml:space="preserve"> </w:t>
      </w:r>
      <w:r>
        <w:t xml:space="preserve">Only people whose charge status changes during the panel move the two-way FE estimate. How many people is that? What happens to people charged before 2001? Who does the estimate describe?</w:t>
      </w:r>
    </w:p>
    <w:bookmarkEnd w:id="24"/>
    <w:bookmarkStart w:id="25" w:name="part-5.-event-study"/>
    <w:p>
      <w:pPr>
        <w:pStyle w:val="Heading2"/>
      </w:pPr>
      <w:r>
        <w:t xml:space="preserve">Part 5. Event study</w:t>
      </w:r>
    </w:p>
    <w:p>
      <w:pPr>
        <w:pStyle w:val="FirstParagraph"/>
      </w:pPr>
      <w:r>
        <w:t xml:space="preserve">Estimate log income in each two-year window before and after the first charge, relative to two years before.</w:t>
      </w:r>
    </w:p>
    <w:p>
      <w:pPr>
        <w:pStyle w:val="BodyText"/>
      </w:pPr>
      <w:r>
        <w:rPr>
          <w:bCs/>
          <w:b/>
        </w:rPr>
        <w:t xml:space="preserve">Q6.</w:t>
      </w:r>
      <w:r>
        <w:t xml:space="preserve"> </w:t>
      </w:r>
      <w:r>
        <w:t xml:space="preserve">Are the pre-charge coefficients near zero? What would a decline in earnings before the charge (an</w:t>
      </w:r>
      <w:r>
        <w:t xml:space="preserve"> </w:t>
      </w:r>
      <w:r>
        <w:t xml:space="preserve">“</w:t>
      </w:r>
      <w:r>
        <w:t xml:space="preserve">Ashenfelter dip</w:t>
      </w:r>
      <w:r>
        <w:t xml:space="preserve">”</w:t>
      </w:r>
      <w:r>
        <w:t xml:space="preserve">) mean for the two-way FE estimate?</w:t>
      </w:r>
    </w:p>
    <w:p>
      <w:pPr>
        <w:pStyle w:val="BodyText"/>
      </w:pPr>
      <w:r>
        <w:rPr>
          <w:bCs/>
          <w:b/>
        </w:rPr>
        <w:t xml:space="preserve">Q7.</w:t>
      </w:r>
      <w:r>
        <w:t xml:space="preserve"> </w:t>
      </w:r>
      <w:r>
        <w:t xml:space="preserve">How many person-years sit in each event-time bin, and what does that imply for how much weight to put on any single coefficient?</w:t>
      </w:r>
    </w:p>
    <w:bookmarkEnd w:id="25"/>
    <w:bookmarkStart w:id="26" w:name="X130063e7a1ae64adbb9b07faf49657c97f54135"/>
    <w:p>
      <w:pPr>
        <w:pStyle w:val="Heading2"/>
      </w:pPr>
      <w:r>
        <w:t xml:space="preserve">Part 6. Growth curves: replicate the paper’s Table 2</w:t>
      </w:r>
    </w:p>
    <w:p>
      <w:pPr>
        <w:pStyle w:val="FirstParagraph"/>
      </w:pPr>
      <w:r>
        <w:t xml:space="preserve">The paper estimates random-intercept growth models of log earnings with linear age and age × race × charge interactions, adding covariates in six steps. First fit a simple growth model with no race interactions. Then</w:t>
      </w:r>
      <w:r>
        <w:t xml:space="preserve"> </w:t>
      </w:r>
      <w:r>
        <w:rPr>
          <w:bCs/>
          <w:b/>
        </w:rPr>
        <w:t xml:space="preserve">replicate Table 2, Model 1</w:t>
      </w:r>
      <w:r>
        <w:t xml:space="preserve">: your coefficients should match the published ones to three decimals (the script prints them side by side). Then</w:t>
      </w:r>
      <w:r>
        <w:t xml:space="preserve"> </w:t>
      </w:r>
      <w:r>
        <w:rPr>
          <w:bCs/>
          <w:b/>
        </w:rPr>
        <w:t xml:space="preserve">replicate all six models</w:t>
      </w:r>
      <w:r>
        <w:t xml:space="preserve">, adding one block of controls at a time; the script lists your Black × charge coefficients next to the published ones.</w:t>
      </w:r>
    </w:p>
    <w:p>
      <w:pPr>
        <w:pStyle w:val="BodyText"/>
      </w:pPr>
      <w:r>
        <w:rPr>
          <w:bCs/>
          <w:b/>
        </w:rPr>
        <w:t xml:space="preserve">Q8.</w:t>
      </w:r>
      <w:r>
        <w:t xml:space="preserve"> </w:t>
      </w:r>
      <w:r>
        <w:t xml:space="preserve">The simple growth model’s charge coefficient is close to pooled OLS, not to two-way FE. What does a random-intercept model assume about the person intercepts and charge that FE does not, and why might that fail here?</w:t>
      </w:r>
    </w:p>
    <w:p>
      <w:pPr>
        <w:pStyle w:val="BodyText"/>
      </w:pPr>
      <w:r>
        <w:rPr>
          <w:bCs/>
          <w:b/>
        </w:rPr>
        <w:t xml:space="preserve">Q9.</w:t>
      </w:r>
      <w:r>
        <w:t xml:space="preserve"> </w:t>
      </w:r>
      <w:r>
        <w:t xml:space="preserve">The paper’s key result is the Black × charge interaction (−1.524 in Model 1, −1.379 in Model 6). Which block of controls moves it most? Compare it with the FE race interactions in Part 8. What does each model buy you, and what does it cost?</w:t>
      </w:r>
    </w:p>
    <w:bookmarkEnd w:id="26"/>
    <w:bookmarkStart w:id="27" w:name="X4d87a0c68d1f13dac20d5573d8c3d7925e1a167"/>
    <w:p>
      <w:pPr>
        <w:pStyle w:val="Heading2"/>
      </w:pPr>
      <w:r>
        <w:t xml:space="preserve">Part 7. Propensity score matching + fixed effects</w:t>
      </w:r>
    </w:p>
    <w:p>
      <w:pPr>
        <w:pStyle w:val="FirstParagraph"/>
      </w:pPr>
      <w:r>
        <w:t xml:space="preserve">Match each person ever charged to</w:t>
      </w:r>
      <w:r>
        <w:t xml:space="preserve"> </w:t>
      </w:r>
      <w:r>
        <w:rPr>
          <w:bCs/>
          <w:b/>
        </w:rPr>
        <w:t xml:space="preserve">two</w:t>
      </w:r>
      <w:r>
        <w:t xml:space="preserve"> </w:t>
      </w:r>
      <w:r>
        <w:t xml:space="preserve">never-charged people (2:1 nearest-neighbor matching with a 0.2 SD caliper, as in Professor Grimsley’s dissertation) on adolescent background: race, sex, parents’ income, delinquency, substance use, mental health and chronic conditions. Check balance, then re-run two-way FE on the matched sample using the matching weights. Compare with 1:1 matching.</w:t>
      </w:r>
    </w:p>
    <w:p>
      <w:pPr>
        <w:pStyle w:val="BodyText"/>
      </w:pPr>
      <w:r>
        <w:rPr>
          <w:bCs/>
          <w:b/>
        </w:rPr>
        <w:t xml:space="preserve">Q10.</w:t>
      </w:r>
      <w:r>
        <w:t xml:space="preserve"> </w:t>
      </w:r>
      <w:r>
        <w:t xml:space="preserve">Why might high school dropout and marriage be bad controls here? (Week 2: post-treatment variables.)</w:t>
      </w:r>
    </w:p>
    <w:p>
      <w:pPr>
        <w:pStyle w:val="BodyText"/>
      </w:pPr>
      <w:r>
        <w:rPr>
          <w:bCs/>
          <w:b/>
        </w:rPr>
        <w:t xml:space="preserve">Q11.</w:t>
      </w:r>
      <w:r>
        <w:t xml:space="preserve"> </w:t>
      </w:r>
      <w:r>
        <w:t xml:space="preserve">Matching balances adolescent traits; fixed effects remove stable traits. What kind of confounder would survive both?</w:t>
      </w:r>
    </w:p>
    <w:p>
      <w:pPr>
        <w:pStyle w:val="BodyText"/>
      </w:pPr>
      <w:r>
        <w:rPr>
          <w:bCs/>
          <w:b/>
        </w:rPr>
        <w:t xml:space="preserve">Q12.</w:t>
      </w:r>
      <w:r>
        <w:t xml:space="preserve"> </w:t>
      </w:r>
      <w:r>
        <w:t xml:space="preserve">Two-way FE now compares charged people with matched never-charged people instead of with everyone. Why might that make the parallel-trends assumption more plausible? What do you gain from a second control per charged person, and what do you risk?</w:t>
      </w:r>
    </w:p>
    <w:bookmarkEnd w:id="27"/>
    <w:bookmarkStart w:id="28" w:name="part-8.-does-the-penalty-differ-by-race"/>
    <w:p>
      <w:pPr>
        <w:pStyle w:val="Heading2"/>
      </w:pPr>
      <w:r>
        <w:t xml:space="preserve">Part 8. Does the penalty differ by race?</w:t>
      </w:r>
    </w:p>
    <w:p>
      <w:pPr>
        <w:pStyle w:val="FirstParagraph"/>
      </w:pPr>
      <w:r>
        <w:rPr>
          <w:bCs/>
          <w:b/>
        </w:rPr>
        <w:t xml:space="preserve">Q13.</w:t>
      </w:r>
      <w:r>
        <w:t xml:space="preserve"> </w:t>
      </w:r>
      <w:r>
        <w:t xml:space="preserve">Race drops out of a FE model, but charge × race does not. Why? Compare these interactions with the growth-model results in Part 6.</w:t>
      </w:r>
    </w:p>
    <w:bookmarkEnd w:id="28"/>
    <w:bookmarkStart w:id="29" w:name="Xf27ec07950e4c2af6151bf8a2d4a92aded00903"/>
    <w:p>
      <w:pPr>
        <w:pStyle w:val="Heading2"/>
      </w:pPr>
      <w:r>
        <w:t xml:space="preserve">Part 9. Robustness: how the outcome is measured</w:t>
      </w:r>
    </w:p>
    <w:p>
      <w:pPr>
        <w:pStyle w:val="FirstParagraph"/>
      </w:pPr>
      <w:r>
        <w:t xml:space="preserve">Log earnings are log(earnings + 1), so they equal 0 when earnings are 0 (the paper separates the two margins with a two-part model). The 2007 wave has no missing income but 44% zeros. Re-estimate two-way FE dropping 2007, with an any-income indicator, and with income in dollars.</w:t>
      </w:r>
    </w:p>
    <w:p>
      <w:pPr>
        <w:pStyle w:val="BodyText"/>
      </w:pPr>
      <w:r>
        <w:rPr>
          <w:bCs/>
          <w:b/>
        </w:rPr>
        <w:t xml:space="preserve">Q14.</w:t>
      </w:r>
      <w:r>
        <w:t xml:space="preserve"> </w:t>
      </w:r>
      <w:r>
        <w:t xml:space="preserve">Which outcome would you report as the main result, and why? What does the any-income result suggest about where the penalty comes from?</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Fixed Effects, Growth Curves, and Matching with Panel Data</dc:title>
  <dc:creator/>
  <cp:keywords/>
  <dcterms:created xsi:type="dcterms:W3CDTF">2026-10-15T17:52:08Z</dcterms:created>
  <dcterms:modified xsi:type="dcterms:W3CDTF">2026-10-15T17:52:08Z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Does a marijuana possession charge change earnings trajectories? · Week 7, October 15</vt:lpwstr>
  </property>
</Properties>
</file>