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pn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5250B4" w:rsidRDefault="002C586C"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Hypertension</w:t>
      </w:r>
    </w:p>
    <w:p w14:paraId="00000002" w14:textId="77777777" w:rsidR="005250B4" w:rsidRDefault="005250B4" w:rsidP="00FF30B9">
      <w:pPr>
        <w:spacing w:line="360" w:lineRule="auto"/>
        <w:jc w:val="both"/>
        <w:rPr>
          <w:rFonts w:ascii="Times New Roman" w:eastAsia="Times New Roman" w:hAnsi="Times New Roman" w:cs="Times New Roman"/>
          <w:b/>
          <w:bCs/>
          <w:sz w:val="24"/>
          <w:szCs w:val="24"/>
        </w:rPr>
      </w:pPr>
    </w:p>
    <w:p w14:paraId="00000003" w14:textId="77777777" w:rsidR="005250B4" w:rsidRDefault="002C586C" w:rsidP="00FF30B9">
      <w:pPr>
        <w:pStyle w:val="Heading2"/>
        <w:keepNext w:val="0"/>
        <w:keepLines w:val="0"/>
        <w:spacing w:after="80" w:line="360" w:lineRule="auto"/>
        <w:jc w:val="both"/>
        <w:rPr>
          <w:rFonts w:ascii="Times New Roman" w:eastAsia="Times New Roman" w:hAnsi="Times New Roman" w:cs="Times New Roman"/>
          <w:b/>
          <w:bCs/>
          <w:sz w:val="24"/>
          <w:szCs w:val="24"/>
        </w:rPr>
      </w:pPr>
      <w:bookmarkStart w:id="0" w:name="_tk8nysn2csav" w:colFirst="0" w:colLast="0"/>
      <w:bookmarkEnd w:id="0"/>
      <w:r>
        <w:rPr>
          <w:rFonts w:ascii="Times New Roman" w:eastAsia="Times New Roman" w:hAnsi="Times New Roman" w:cs="Times New Roman"/>
          <w:b/>
          <w:bCs/>
          <w:sz w:val="24"/>
          <w:szCs w:val="24"/>
        </w:rPr>
        <w:t>Introduction</w:t>
      </w:r>
    </w:p>
    <w:p w14:paraId="00000004"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Hypertension is a prevalent and often asymptomatic condition that remains a major contributor to global morbidity and mortality, primarily through its role in cardiovascular diseases such as ischemic heart disease and stroke. Commonly referred to as the “s</w:t>
      </w:r>
      <w:r>
        <w:rPr>
          <w:rFonts w:ascii="Times New Roman" w:eastAsia="Times New Roman" w:hAnsi="Times New Roman" w:cs="Times New Roman"/>
          <w:sz w:val="24"/>
          <w:szCs w:val="24"/>
        </w:rPr>
        <w:t xml:space="preserve">ilent killer,” hypertension affects a substantial proportion of the global population, with nearly half of the adult population in the United States living with the condition.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largely symptomless nature often delays diagnosis, increasing the risk of se</w:t>
      </w:r>
      <w:r>
        <w:rPr>
          <w:rFonts w:ascii="Times New Roman" w:eastAsia="Times New Roman" w:hAnsi="Times New Roman" w:cs="Times New Roman"/>
          <w:sz w:val="24"/>
          <w:szCs w:val="24"/>
        </w:rPr>
        <w:t>vere complications if left unmanaged. Effective control of hypertension is therefore essential across diverse clinical and public health contexts, including pregnancy, surgical care, and long-term disease prevention.</w:t>
      </w:r>
    </w:p>
    <w:p w14:paraId="00000005"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Hypertensive disorders are of particula</w:t>
      </w:r>
      <w:r>
        <w:rPr>
          <w:rFonts w:ascii="Times New Roman" w:eastAsia="Times New Roman" w:hAnsi="Times New Roman" w:cs="Times New Roman"/>
          <w:sz w:val="24"/>
          <w:szCs w:val="24"/>
        </w:rPr>
        <w:t xml:space="preserve">r concern during pregnancy, where they complicate approximately 5% to 10% of all pregnancies and are associated with significant maternal and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morbidity. These disorders include chronic hypertension, gestational hypertension, and preeclampsia, each pr</w:t>
      </w:r>
      <w:r>
        <w:rPr>
          <w:rFonts w:ascii="Times New Roman" w:eastAsia="Times New Roman" w:hAnsi="Times New Roman" w:cs="Times New Roman"/>
          <w:sz w:val="24"/>
          <w:szCs w:val="24"/>
        </w:rPr>
        <w:t xml:space="preserve">esenting unique clinical challenges ("Hypertension", 2023). Management during pregnancy requires careful consideration of both maternal blood pressure control and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safety, as antihypertensive medications may affect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development and </w:t>
      </w:r>
      <w:proofErr w:type="spellStart"/>
      <w:r>
        <w:rPr>
          <w:rFonts w:ascii="Times New Roman" w:eastAsia="Times New Roman" w:hAnsi="Times New Roman" w:cs="Times New Roman"/>
          <w:sz w:val="24"/>
          <w:szCs w:val="24"/>
        </w:rPr>
        <w:t>uteroplacental</w:t>
      </w:r>
      <w:proofErr w:type="spellEnd"/>
      <w:r>
        <w:rPr>
          <w:rFonts w:ascii="Times New Roman" w:eastAsia="Times New Roman" w:hAnsi="Times New Roman" w:cs="Times New Roman"/>
          <w:sz w:val="24"/>
          <w:szCs w:val="24"/>
        </w:rPr>
        <w:t xml:space="preserve"> blood flow ("Hypertension", 2023). This underscores the need for tailored treatment strategies in vulnerable populations.</w:t>
      </w:r>
    </w:p>
    <w:p w14:paraId="00000006"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burden of hypertension is not evenly distributed across populations. Certain subgroups, including African Americans and older adu</w:t>
      </w:r>
      <w:r>
        <w:rPr>
          <w:rFonts w:ascii="Times New Roman" w:eastAsia="Times New Roman" w:hAnsi="Times New Roman" w:cs="Times New Roman"/>
          <w:sz w:val="24"/>
          <w:szCs w:val="24"/>
        </w:rPr>
        <w:t xml:space="preserve">lts, experience higher prevalence rates, often compounded by limited access to healthcare services (Koenig et al., 2024). Beyond biological factors, psychological, social, and environmental influences contribute significantly to blood pressure regulation. </w:t>
      </w:r>
      <w:r>
        <w:rPr>
          <w:rFonts w:ascii="Times New Roman" w:eastAsia="Times New Roman" w:hAnsi="Times New Roman" w:cs="Times New Roman"/>
          <w:sz w:val="24"/>
          <w:szCs w:val="24"/>
        </w:rPr>
        <w:t>Socio-cultural factors, including religious involvement, have been explored for their potential role in stress reduction and blood pressure control (Koenig et al., 2024). Preventive strategies emphasize lifestyle modification, particularly dietary interven</w:t>
      </w:r>
      <w:r>
        <w:rPr>
          <w:rFonts w:ascii="Times New Roman" w:eastAsia="Times New Roman" w:hAnsi="Times New Roman" w:cs="Times New Roman"/>
          <w:sz w:val="24"/>
          <w:szCs w:val="24"/>
        </w:rPr>
        <w:t>tions such as the DASH and Mediterranean diets, which are characterized by low sodium and fat content and have demonstrated effectiveness in reducing blood pressure ("Hypertension", 2022).</w:t>
      </w:r>
    </w:p>
    <w:p w14:paraId="00000007"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Management of hypertension typically involves a combination of life</w:t>
      </w:r>
      <w:r>
        <w:rPr>
          <w:rFonts w:ascii="Times New Roman" w:eastAsia="Times New Roman" w:hAnsi="Times New Roman" w:cs="Times New Roman"/>
          <w:sz w:val="24"/>
          <w:szCs w:val="24"/>
        </w:rPr>
        <w:t>style changes and pharmacological therapy. Commonly prescribed medications include calcium channel blockers and beta blockers, which are effective in lowering blood pressure and reducing cardiovascular risk (</w:t>
      </w:r>
      <w:proofErr w:type="spellStart"/>
      <w:r>
        <w:rPr>
          <w:rFonts w:ascii="Times New Roman" w:eastAsia="Times New Roman" w:hAnsi="Times New Roman" w:cs="Times New Roman"/>
          <w:sz w:val="24"/>
          <w:szCs w:val="24"/>
        </w:rPr>
        <w:t>Dagher</w:t>
      </w:r>
      <w:proofErr w:type="spellEnd"/>
      <w:r>
        <w:rPr>
          <w:rFonts w:ascii="Times New Roman" w:eastAsia="Times New Roman" w:hAnsi="Times New Roman" w:cs="Times New Roman"/>
          <w:sz w:val="24"/>
          <w:szCs w:val="24"/>
        </w:rPr>
        <w:t xml:space="preserve"> &amp; Beck, 2024). In surgical settings, both</w:t>
      </w:r>
      <w:r>
        <w:rPr>
          <w:rFonts w:ascii="Times New Roman" w:eastAsia="Times New Roman" w:hAnsi="Times New Roman" w:cs="Times New Roman"/>
          <w:sz w:val="24"/>
          <w:szCs w:val="24"/>
        </w:rPr>
        <w:t xml:space="preserve"> preoperative and postoperative blood pressure management are critical to minimizing morbidity and mortality (</w:t>
      </w:r>
      <w:proofErr w:type="spellStart"/>
      <w:r>
        <w:rPr>
          <w:rFonts w:ascii="Times New Roman" w:eastAsia="Times New Roman" w:hAnsi="Times New Roman" w:cs="Times New Roman"/>
          <w:sz w:val="24"/>
          <w:szCs w:val="24"/>
        </w:rPr>
        <w:t>Dagher</w:t>
      </w:r>
      <w:proofErr w:type="spellEnd"/>
      <w:r>
        <w:rPr>
          <w:rFonts w:ascii="Times New Roman" w:eastAsia="Times New Roman" w:hAnsi="Times New Roman" w:cs="Times New Roman"/>
          <w:sz w:val="24"/>
          <w:szCs w:val="24"/>
        </w:rPr>
        <w:t xml:space="preserve"> &amp; Beck, 2024). Long-term hypertension control often relies on cost-effective blood pressure–lowering medications, supported by strong prima</w:t>
      </w:r>
      <w:r>
        <w:rPr>
          <w:rFonts w:ascii="Times New Roman" w:eastAsia="Times New Roman" w:hAnsi="Times New Roman" w:cs="Times New Roman"/>
          <w:sz w:val="24"/>
          <w:szCs w:val="24"/>
        </w:rPr>
        <w:t>ry healthcare systems that facilitate early detection, continuous monitoring, and patient adherence ("Hypertension", 2023).</w:t>
      </w:r>
    </w:p>
    <w:p w14:paraId="00000008"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an etiological perspective, hypertension arises from a complex interaction of genetic, environmental, and lifestyle factors. Pr</w:t>
      </w:r>
      <w:r>
        <w:rPr>
          <w:rFonts w:ascii="Times New Roman" w:eastAsia="Times New Roman" w:hAnsi="Times New Roman" w:cs="Times New Roman"/>
          <w:sz w:val="24"/>
          <w:szCs w:val="24"/>
        </w:rPr>
        <w:t xml:space="preserve">imary hypertension accounts for approximately 90% to 95% of cases, and while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precise causes are not fully understood, several contributing factors have been identified. Genetic predisposition plays a significant role, with family history increasing ind</w:t>
      </w:r>
      <w:r>
        <w:rPr>
          <w:rFonts w:ascii="Times New Roman" w:eastAsia="Times New Roman" w:hAnsi="Times New Roman" w:cs="Times New Roman"/>
          <w:sz w:val="24"/>
          <w:szCs w:val="24"/>
        </w:rPr>
        <w:t>ividual susceptibility ("Hypertension", 2023) (</w:t>
      </w:r>
      <w:proofErr w:type="spellStart"/>
      <w:r>
        <w:rPr>
          <w:rFonts w:ascii="Times New Roman" w:eastAsia="Times New Roman" w:hAnsi="Times New Roman" w:cs="Times New Roman"/>
          <w:sz w:val="24"/>
          <w:szCs w:val="24"/>
        </w:rPr>
        <w:t>Burnier</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Wuerzner</w:t>
      </w:r>
      <w:proofErr w:type="spellEnd"/>
      <w:r>
        <w:rPr>
          <w:rFonts w:ascii="Times New Roman" w:eastAsia="Times New Roman" w:hAnsi="Times New Roman" w:cs="Times New Roman"/>
          <w:sz w:val="24"/>
          <w:szCs w:val="24"/>
        </w:rPr>
        <w:t>, 2015). Lifestyle choices such as high sodium intake, physical inactivity, smoking, excessive alcohol consumption, and obesity are major modifiable risk factors (</w:t>
      </w:r>
      <w:proofErr w:type="spellStart"/>
      <w:r>
        <w:rPr>
          <w:rFonts w:ascii="Times New Roman" w:eastAsia="Times New Roman" w:hAnsi="Times New Roman" w:cs="Times New Roman"/>
          <w:sz w:val="24"/>
          <w:szCs w:val="24"/>
        </w:rPr>
        <w:t>Mazhar</w:t>
      </w:r>
      <w:proofErr w:type="spellEnd"/>
      <w:r>
        <w:rPr>
          <w:rFonts w:ascii="Times New Roman" w:eastAsia="Times New Roman" w:hAnsi="Times New Roman" w:cs="Times New Roman"/>
          <w:sz w:val="24"/>
          <w:szCs w:val="24"/>
        </w:rPr>
        <w:t xml:space="preserve"> et al., 2023) (Mirza </w:t>
      </w:r>
      <w:r>
        <w:rPr>
          <w:rFonts w:ascii="Times New Roman" w:eastAsia="Times New Roman" w:hAnsi="Times New Roman" w:cs="Times New Roman"/>
          <w:sz w:val="24"/>
          <w:szCs w:val="24"/>
        </w:rPr>
        <w:t>et al., 2024). Excess body weight, in particular, increases vascular resistance and disrupts metabolic processes, thereby elevating blood pressure ("Hypertension", 2023) (</w:t>
      </w:r>
      <w:proofErr w:type="spellStart"/>
      <w:r>
        <w:rPr>
          <w:rFonts w:ascii="Times New Roman" w:eastAsia="Times New Roman" w:hAnsi="Times New Roman" w:cs="Times New Roman"/>
          <w:sz w:val="24"/>
          <w:szCs w:val="24"/>
        </w:rPr>
        <w:t>Thalib</w:t>
      </w:r>
      <w:proofErr w:type="spellEnd"/>
      <w:r>
        <w:rPr>
          <w:rFonts w:ascii="Times New Roman" w:eastAsia="Times New Roman" w:hAnsi="Times New Roman" w:cs="Times New Roman"/>
          <w:sz w:val="24"/>
          <w:szCs w:val="24"/>
        </w:rPr>
        <w:t>, 2025). Additionally, aging-related changes in renal function and arterial ela</w:t>
      </w:r>
      <w:r>
        <w:rPr>
          <w:rFonts w:ascii="Times New Roman" w:eastAsia="Times New Roman" w:hAnsi="Times New Roman" w:cs="Times New Roman"/>
          <w:sz w:val="24"/>
          <w:szCs w:val="24"/>
        </w:rPr>
        <w:t>sticity contribute to rising blood pressure levels over time (</w:t>
      </w:r>
      <w:proofErr w:type="spellStart"/>
      <w:r>
        <w:rPr>
          <w:rFonts w:ascii="Times New Roman" w:eastAsia="Times New Roman" w:hAnsi="Times New Roman" w:cs="Times New Roman"/>
          <w:sz w:val="24"/>
          <w:szCs w:val="24"/>
        </w:rPr>
        <w:t>Burnier</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Wuerzner</w:t>
      </w:r>
      <w:proofErr w:type="spellEnd"/>
      <w:r>
        <w:rPr>
          <w:rFonts w:ascii="Times New Roman" w:eastAsia="Times New Roman" w:hAnsi="Times New Roman" w:cs="Times New Roman"/>
          <w:sz w:val="24"/>
          <w:szCs w:val="24"/>
        </w:rPr>
        <w:t>, 2015).</w:t>
      </w:r>
    </w:p>
    <w:p w14:paraId="00000009"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Although lifestyle interventions remain central to hypertension prevention and management, the complexity of the condition means that many individuals require pharmaco</w:t>
      </w:r>
      <w:r>
        <w:rPr>
          <w:rFonts w:ascii="Times New Roman" w:eastAsia="Times New Roman" w:hAnsi="Times New Roman" w:cs="Times New Roman"/>
          <w:sz w:val="24"/>
          <w:szCs w:val="24"/>
        </w:rPr>
        <w:t xml:space="preserve">logical treatment to achieve optimal blood pressure control. This highlights the importance of personalized and data-driven approaches to hypertension management.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relevant datasets, this report aims to explore the patterns, risk factors, and p</w:t>
      </w:r>
      <w:r>
        <w:rPr>
          <w:rFonts w:ascii="Times New Roman" w:eastAsia="Times New Roman" w:hAnsi="Times New Roman" w:cs="Times New Roman"/>
          <w:sz w:val="24"/>
          <w:szCs w:val="24"/>
        </w:rPr>
        <w:t>otential determinants of hypertension, contributing to evidence-based strategies for improved prevention, management, and health outcomes.</w:t>
      </w:r>
    </w:p>
    <w:p w14:paraId="0000000A" w14:textId="77777777" w:rsidR="005250B4" w:rsidRDefault="005250B4" w:rsidP="00FF30B9">
      <w:pPr>
        <w:spacing w:line="360" w:lineRule="auto"/>
        <w:rPr>
          <w:rFonts w:ascii="Times New Roman" w:eastAsia="Times New Roman" w:hAnsi="Times New Roman" w:cs="Times New Roman"/>
          <w:b/>
          <w:bCs/>
          <w:sz w:val="24"/>
          <w:szCs w:val="24"/>
        </w:rPr>
      </w:pPr>
    </w:p>
    <w:p w14:paraId="0000000B" w14:textId="77777777" w:rsidR="005250B4" w:rsidRDefault="002C586C"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0000000C" w14:textId="093CEE93"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analysis focuses on exploring hypertension patterns, understanding key determinants, and building a</w:t>
      </w:r>
      <w:r>
        <w:rPr>
          <w:rFonts w:ascii="Times New Roman" w:eastAsia="Times New Roman" w:hAnsi="Times New Roman" w:cs="Times New Roman"/>
          <w:sz w:val="24"/>
          <w:szCs w:val="24"/>
        </w:rPr>
        <w:t xml:space="preserve"> predictive model using the provided dataset. The workflow begins with thorough data cleaning and </w:t>
      </w:r>
      <w:r w:rsidR="00FF30B9">
        <w:rPr>
          <w:rFonts w:ascii="Times New Roman" w:eastAsia="Times New Roman" w:hAnsi="Times New Roman" w:cs="Times New Roman"/>
          <w:sz w:val="24"/>
          <w:szCs w:val="24"/>
        </w:rPr>
        <w:t>pre-processing</w:t>
      </w:r>
      <w:r>
        <w:rPr>
          <w:rFonts w:ascii="Times New Roman" w:eastAsia="Times New Roman" w:hAnsi="Times New Roman" w:cs="Times New Roman"/>
          <w:sz w:val="24"/>
          <w:szCs w:val="24"/>
        </w:rPr>
        <w:t xml:space="preserve">, including handling missing values, removing duplicates, </w:t>
      </w:r>
      <w:r>
        <w:rPr>
          <w:rFonts w:ascii="Times New Roman" w:eastAsia="Times New Roman" w:hAnsi="Times New Roman" w:cs="Times New Roman"/>
          <w:sz w:val="24"/>
          <w:szCs w:val="24"/>
        </w:rPr>
        <w:lastRenderedPageBreak/>
        <w:t>standardizing column names, encoding categorical variables, and scaling numerical featu</w:t>
      </w:r>
      <w:r>
        <w:rPr>
          <w:rFonts w:ascii="Times New Roman" w:eastAsia="Times New Roman" w:hAnsi="Times New Roman" w:cs="Times New Roman"/>
          <w:sz w:val="24"/>
          <w:szCs w:val="24"/>
        </w:rPr>
        <w:t xml:space="preserve">res. This ensures the dataset is consistent and ready for analysis. Descriptive statistics and visualizations, such as histograms, boxplots, and correlation </w:t>
      </w:r>
      <w:r w:rsidR="00FF30B9">
        <w:rPr>
          <w:rFonts w:ascii="Times New Roman" w:eastAsia="Times New Roman" w:hAnsi="Times New Roman" w:cs="Times New Roman"/>
          <w:sz w:val="24"/>
          <w:szCs w:val="24"/>
        </w:rPr>
        <w:t>heat maps</w:t>
      </w:r>
      <w:r>
        <w:rPr>
          <w:rFonts w:ascii="Times New Roman" w:eastAsia="Times New Roman" w:hAnsi="Times New Roman" w:cs="Times New Roman"/>
          <w:sz w:val="24"/>
          <w:szCs w:val="24"/>
        </w:rPr>
        <w:t>, are used to examine the distribution of hypertension and identify potential trends, outli</w:t>
      </w:r>
      <w:r>
        <w:rPr>
          <w:rFonts w:ascii="Times New Roman" w:eastAsia="Times New Roman" w:hAnsi="Times New Roman" w:cs="Times New Roman"/>
          <w:sz w:val="24"/>
          <w:szCs w:val="24"/>
        </w:rPr>
        <w:t>ers, and relationships between demographic, lifestyle, and clinical factors.</w:t>
      </w:r>
    </w:p>
    <w:p w14:paraId="0A674A02" w14:textId="02B911D7" w:rsidR="00FF30B9"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Following this, statistical tests such as t-tests and correlation analyses are applied to assess significant associations between features and hypertension. Based on these insight</w:t>
      </w:r>
      <w:r>
        <w:rPr>
          <w:rFonts w:ascii="Times New Roman" w:eastAsia="Times New Roman" w:hAnsi="Times New Roman" w:cs="Times New Roman"/>
          <w:sz w:val="24"/>
          <w:szCs w:val="24"/>
        </w:rPr>
        <w:t>s, a machine learning model is developed to predict hypertension risk, with the dataset split into training and testing sets. Algorithms such as logistic regression or decision trees are implemented, and model performance is evaluated using metrics includi</w:t>
      </w:r>
      <w:r>
        <w:rPr>
          <w:rFonts w:ascii="Times New Roman" w:eastAsia="Times New Roman" w:hAnsi="Times New Roman" w:cs="Times New Roman"/>
          <w:sz w:val="24"/>
          <w:szCs w:val="24"/>
        </w:rPr>
        <w:t xml:space="preserve">ng accuracy, precision, recall, and ROC-AUC. This integrated approach demonstrates the application of data analysis, statistical testing, and predictive </w:t>
      </w:r>
      <w:r w:rsidR="00FF30B9">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to extract actionable insights and showcase data-driven problem-solving skills in a profession</w:t>
      </w:r>
      <w:r>
        <w:rPr>
          <w:rFonts w:ascii="Times New Roman" w:eastAsia="Times New Roman" w:hAnsi="Times New Roman" w:cs="Times New Roman"/>
          <w:sz w:val="24"/>
          <w:szCs w:val="24"/>
        </w:rPr>
        <w:t>al portfolio.</w:t>
      </w:r>
    </w:p>
    <w:p w14:paraId="00000012"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w:t>
      </w:r>
    </w:p>
    <w:p w14:paraId="00000013"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Overview</w:t>
      </w:r>
    </w:p>
    <w:p w14:paraId="00000014" w14:textId="6D32C6A1"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dataset consists of 1985 records with 11 variables capturing demographic, lifestyle, and clinical factors related to hypertension. The numerical features include Age, Salt Intake, Stress Score, Sleep Duration, and</w:t>
      </w:r>
      <w:r>
        <w:rPr>
          <w:rFonts w:ascii="Times New Roman" w:eastAsia="Times New Roman" w:hAnsi="Times New Roman" w:cs="Times New Roman"/>
          <w:sz w:val="24"/>
          <w:szCs w:val="24"/>
        </w:rPr>
        <w:t xml:space="preserve"> BMI. The average age of participants is approximately 50 years, with a wide range from 18 to 84 years, reflecting a diverse adult </w:t>
      </w:r>
      <w:r w:rsidR="00FF30B9">
        <w:rPr>
          <w:rFonts w:ascii="Times New Roman" w:eastAsia="Times New Roman" w:hAnsi="Times New Roman" w:cs="Times New Roman"/>
          <w:sz w:val="24"/>
          <w:szCs w:val="24"/>
        </w:rPr>
        <w:t>population?</w:t>
      </w:r>
      <w:r>
        <w:rPr>
          <w:rFonts w:ascii="Times New Roman" w:eastAsia="Times New Roman" w:hAnsi="Times New Roman" w:cs="Times New Roman"/>
          <w:sz w:val="24"/>
          <w:szCs w:val="24"/>
        </w:rPr>
        <w:t xml:space="preserve"> Salt intake averages 8.53 g/day, while stress scores have a mean of 4.98 on the measured scale. Participants repo</w:t>
      </w:r>
      <w:r>
        <w:rPr>
          <w:rFonts w:ascii="Times New Roman" w:eastAsia="Times New Roman" w:hAnsi="Times New Roman" w:cs="Times New Roman"/>
          <w:sz w:val="24"/>
          <w:szCs w:val="24"/>
        </w:rPr>
        <w:t>rt an average sleep duration of 6.45 hours, and the mean BMI is 26.02, indicating that a significant portion of the population falls in the overweight category.</w:t>
      </w:r>
    </w:p>
    <w:p w14:paraId="00000015" w14:textId="68B6BFDA"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dataset also includes several categorical variables, such as BP History, Medication, Family</w:t>
      </w:r>
      <w:r>
        <w:rPr>
          <w:rFonts w:ascii="Times New Roman" w:eastAsia="Times New Roman" w:hAnsi="Times New Roman" w:cs="Times New Roman"/>
          <w:sz w:val="24"/>
          <w:szCs w:val="24"/>
        </w:rPr>
        <w:t xml:space="preserve"> History, Exercise Level, Smoking Status, and </w:t>
      </w:r>
      <w:r w:rsidR="00FF30B9">
        <w:rPr>
          <w:rFonts w:ascii="Times New Roman" w:eastAsia="Times New Roman" w:hAnsi="Times New Roman" w:cs="Times New Roman"/>
          <w:sz w:val="24"/>
          <w:szCs w:val="24"/>
        </w:rPr>
        <w:t>Has Hypertension</w:t>
      </w:r>
      <w:r>
        <w:rPr>
          <w:rFonts w:ascii="Times New Roman" w:eastAsia="Times New Roman" w:hAnsi="Times New Roman" w:cs="Times New Roman"/>
          <w:sz w:val="24"/>
          <w:szCs w:val="24"/>
        </w:rPr>
        <w:t>. Notably, the Medication column has some missing values (approximately 799 entries), which will require handling during analysis. Other categorical variables, such as family history of hyperten</w:t>
      </w:r>
      <w:r>
        <w:rPr>
          <w:rFonts w:ascii="Times New Roman" w:eastAsia="Times New Roman" w:hAnsi="Times New Roman" w:cs="Times New Roman"/>
          <w:sz w:val="24"/>
          <w:szCs w:val="24"/>
        </w:rPr>
        <w:t>sion, exercise levels, and smoking status, provide insights into lifestyle and hereditary influences. Overall, these summary statistics highlight the variability and range within the dataset, establishing a solid foundation for exploratory data analysis, s</w:t>
      </w:r>
      <w:r>
        <w:rPr>
          <w:rFonts w:ascii="Times New Roman" w:eastAsia="Times New Roman" w:hAnsi="Times New Roman" w:cs="Times New Roman"/>
          <w:sz w:val="24"/>
          <w:szCs w:val="24"/>
        </w:rPr>
        <w:t xml:space="preserve">tatistical testing, and subsequent machine learning </w:t>
      </w:r>
      <w:proofErr w:type="spellStart"/>
      <w:r>
        <w:rPr>
          <w:rFonts w:ascii="Times New Roman" w:eastAsia="Times New Roman" w:hAnsi="Times New Roman" w:cs="Times New Roman"/>
          <w:sz w:val="24"/>
          <w:szCs w:val="24"/>
        </w:rPr>
        <w:t>modeling</w:t>
      </w:r>
      <w:proofErr w:type="spellEnd"/>
      <w:r>
        <w:rPr>
          <w:rFonts w:ascii="Times New Roman" w:eastAsia="Times New Roman" w:hAnsi="Times New Roman" w:cs="Times New Roman"/>
          <w:sz w:val="24"/>
          <w:szCs w:val="24"/>
        </w:rPr>
        <w:t xml:space="preserve"> aimed at understanding and predicting hypertension risk.</w:t>
      </w:r>
    </w:p>
    <w:p w14:paraId="00000016" w14:textId="77777777" w:rsidR="005250B4" w:rsidRDefault="005250B4" w:rsidP="00FF30B9">
      <w:pPr>
        <w:spacing w:before="240" w:after="240" w:line="360" w:lineRule="auto"/>
        <w:jc w:val="both"/>
        <w:rPr>
          <w:rFonts w:ascii="Times New Roman" w:eastAsia="Times New Roman" w:hAnsi="Times New Roman" w:cs="Times New Roman"/>
          <w:b/>
          <w:bCs/>
          <w:sz w:val="24"/>
          <w:szCs w:val="24"/>
        </w:rPr>
      </w:pPr>
    </w:p>
    <w:tbl>
      <w:tblPr>
        <w:tblW w:w="8620" w:type="dxa"/>
        <w:tblLook w:val="04A0" w:firstRow="1" w:lastRow="0" w:firstColumn="1" w:lastColumn="0" w:noHBand="0" w:noVBand="1"/>
      </w:tblPr>
      <w:tblGrid>
        <w:gridCol w:w="1900"/>
        <w:gridCol w:w="960"/>
        <w:gridCol w:w="960"/>
        <w:gridCol w:w="960"/>
        <w:gridCol w:w="960"/>
        <w:gridCol w:w="960"/>
        <w:gridCol w:w="960"/>
        <w:gridCol w:w="960"/>
      </w:tblGrid>
      <w:tr w:rsidR="00FF30B9" w:rsidRPr="00FF30B9" w14:paraId="7950AD8B" w14:textId="77777777" w:rsidTr="00FF30B9">
        <w:trPr>
          <w:trHeight w:val="300"/>
        </w:trPr>
        <w:tc>
          <w:tcPr>
            <w:tcW w:w="1900" w:type="dxa"/>
            <w:tcBorders>
              <w:top w:val="single" w:sz="4" w:space="0" w:color="auto"/>
              <w:left w:val="nil"/>
              <w:bottom w:val="single" w:sz="4" w:space="0" w:color="auto"/>
              <w:right w:val="nil"/>
            </w:tcBorders>
            <w:shd w:val="clear" w:color="auto" w:fill="auto"/>
            <w:vAlign w:val="center"/>
            <w:hideMark/>
          </w:tcPr>
          <w:p w14:paraId="11C5D834" w14:textId="77777777" w:rsidR="00FF30B9" w:rsidRPr="00FF30B9" w:rsidRDefault="00FF30B9" w:rsidP="00FF30B9">
            <w:pPr>
              <w:spacing w:line="360" w:lineRule="auto"/>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Variable</w:t>
            </w:r>
          </w:p>
        </w:tc>
        <w:tc>
          <w:tcPr>
            <w:tcW w:w="960" w:type="dxa"/>
            <w:tcBorders>
              <w:top w:val="single" w:sz="4" w:space="0" w:color="auto"/>
              <w:left w:val="nil"/>
              <w:bottom w:val="single" w:sz="4" w:space="0" w:color="auto"/>
              <w:right w:val="nil"/>
            </w:tcBorders>
            <w:shd w:val="clear" w:color="auto" w:fill="auto"/>
            <w:vAlign w:val="center"/>
            <w:hideMark/>
          </w:tcPr>
          <w:p w14:paraId="27E45346"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Mean</w:t>
            </w:r>
          </w:p>
        </w:tc>
        <w:tc>
          <w:tcPr>
            <w:tcW w:w="960" w:type="dxa"/>
            <w:tcBorders>
              <w:top w:val="single" w:sz="4" w:space="0" w:color="auto"/>
              <w:left w:val="nil"/>
              <w:bottom w:val="single" w:sz="4" w:space="0" w:color="auto"/>
              <w:right w:val="nil"/>
            </w:tcBorders>
            <w:shd w:val="clear" w:color="auto" w:fill="auto"/>
            <w:vAlign w:val="center"/>
            <w:hideMark/>
          </w:tcPr>
          <w:p w14:paraId="7D5B5E3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proofErr w:type="spellStart"/>
            <w:r w:rsidRPr="00FF30B9">
              <w:rPr>
                <w:rFonts w:ascii="Times New Roman" w:eastAsia="Times New Roman" w:hAnsi="Times New Roman" w:cs="Times New Roman"/>
                <w:b/>
                <w:bCs/>
                <w:color w:val="000000"/>
                <w:sz w:val="24"/>
                <w:szCs w:val="24"/>
              </w:rPr>
              <w:t>Std</w:t>
            </w:r>
            <w:proofErr w:type="spellEnd"/>
          </w:p>
        </w:tc>
        <w:tc>
          <w:tcPr>
            <w:tcW w:w="960" w:type="dxa"/>
            <w:tcBorders>
              <w:top w:val="single" w:sz="4" w:space="0" w:color="auto"/>
              <w:left w:val="nil"/>
              <w:bottom w:val="single" w:sz="4" w:space="0" w:color="auto"/>
              <w:right w:val="nil"/>
            </w:tcBorders>
            <w:shd w:val="clear" w:color="auto" w:fill="auto"/>
            <w:vAlign w:val="center"/>
            <w:hideMark/>
          </w:tcPr>
          <w:p w14:paraId="3539A61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Min</w:t>
            </w:r>
          </w:p>
        </w:tc>
        <w:tc>
          <w:tcPr>
            <w:tcW w:w="960" w:type="dxa"/>
            <w:tcBorders>
              <w:top w:val="single" w:sz="4" w:space="0" w:color="auto"/>
              <w:left w:val="nil"/>
              <w:bottom w:val="single" w:sz="4" w:space="0" w:color="auto"/>
              <w:right w:val="nil"/>
            </w:tcBorders>
            <w:shd w:val="clear" w:color="auto" w:fill="auto"/>
            <w:vAlign w:val="center"/>
            <w:hideMark/>
          </w:tcPr>
          <w:p w14:paraId="7FA598FE"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25%</w:t>
            </w:r>
          </w:p>
        </w:tc>
        <w:tc>
          <w:tcPr>
            <w:tcW w:w="960" w:type="dxa"/>
            <w:tcBorders>
              <w:top w:val="single" w:sz="4" w:space="0" w:color="auto"/>
              <w:left w:val="nil"/>
              <w:bottom w:val="single" w:sz="4" w:space="0" w:color="auto"/>
              <w:right w:val="nil"/>
            </w:tcBorders>
            <w:shd w:val="clear" w:color="auto" w:fill="auto"/>
            <w:vAlign w:val="center"/>
            <w:hideMark/>
          </w:tcPr>
          <w:p w14:paraId="0EEB43E9"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50%</w:t>
            </w:r>
          </w:p>
        </w:tc>
        <w:tc>
          <w:tcPr>
            <w:tcW w:w="960" w:type="dxa"/>
            <w:tcBorders>
              <w:top w:val="single" w:sz="4" w:space="0" w:color="auto"/>
              <w:left w:val="nil"/>
              <w:bottom w:val="single" w:sz="4" w:space="0" w:color="auto"/>
              <w:right w:val="nil"/>
            </w:tcBorders>
            <w:shd w:val="clear" w:color="auto" w:fill="auto"/>
            <w:vAlign w:val="center"/>
            <w:hideMark/>
          </w:tcPr>
          <w:p w14:paraId="7298EA0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75%</w:t>
            </w:r>
          </w:p>
        </w:tc>
        <w:tc>
          <w:tcPr>
            <w:tcW w:w="960" w:type="dxa"/>
            <w:tcBorders>
              <w:top w:val="single" w:sz="4" w:space="0" w:color="auto"/>
              <w:left w:val="nil"/>
              <w:bottom w:val="single" w:sz="4" w:space="0" w:color="auto"/>
              <w:right w:val="nil"/>
            </w:tcBorders>
            <w:shd w:val="clear" w:color="auto" w:fill="auto"/>
            <w:vAlign w:val="center"/>
            <w:hideMark/>
          </w:tcPr>
          <w:p w14:paraId="6F570B1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Max</w:t>
            </w:r>
          </w:p>
        </w:tc>
      </w:tr>
      <w:tr w:rsidR="00FF30B9" w:rsidRPr="00FF30B9" w14:paraId="3B40C5B2" w14:textId="77777777" w:rsidTr="00FF30B9">
        <w:trPr>
          <w:trHeight w:val="300"/>
        </w:trPr>
        <w:tc>
          <w:tcPr>
            <w:tcW w:w="1900" w:type="dxa"/>
            <w:tcBorders>
              <w:top w:val="nil"/>
              <w:left w:val="nil"/>
              <w:bottom w:val="nil"/>
              <w:right w:val="nil"/>
            </w:tcBorders>
            <w:shd w:val="clear" w:color="auto" w:fill="auto"/>
            <w:vAlign w:val="center"/>
            <w:hideMark/>
          </w:tcPr>
          <w:p w14:paraId="271E9F04"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Age</w:t>
            </w:r>
          </w:p>
        </w:tc>
        <w:tc>
          <w:tcPr>
            <w:tcW w:w="960" w:type="dxa"/>
            <w:tcBorders>
              <w:top w:val="nil"/>
              <w:left w:val="nil"/>
              <w:bottom w:val="nil"/>
              <w:right w:val="nil"/>
            </w:tcBorders>
            <w:shd w:val="clear" w:color="auto" w:fill="auto"/>
            <w:vAlign w:val="center"/>
            <w:hideMark/>
          </w:tcPr>
          <w:p w14:paraId="5CCEE2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50.34</w:t>
            </w:r>
          </w:p>
        </w:tc>
        <w:tc>
          <w:tcPr>
            <w:tcW w:w="960" w:type="dxa"/>
            <w:tcBorders>
              <w:top w:val="nil"/>
              <w:left w:val="nil"/>
              <w:bottom w:val="nil"/>
              <w:right w:val="nil"/>
            </w:tcBorders>
            <w:shd w:val="clear" w:color="auto" w:fill="auto"/>
            <w:vAlign w:val="center"/>
            <w:hideMark/>
          </w:tcPr>
          <w:p w14:paraId="07DC7A4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19.44</w:t>
            </w:r>
          </w:p>
        </w:tc>
        <w:tc>
          <w:tcPr>
            <w:tcW w:w="960" w:type="dxa"/>
            <w:tcBorders>
              <w:top w:val="nil"/>
              <w:left w:val="nil"/>
              <w:bottom w:val="nil"/>
              <w:right w:val="nil"/>
            </w:tcBorders>
            <w:shd w:val="clear" w:color="auto" w:fill="auto"/>
            <w:vAlign w:val="center"/>
            <w:hideMark/>
          </w:tcPr>
          <w:p w14:paraId="304A8E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18</w:t>
            </w:r>
          </w:p>
        </w:tc>
        <w:tc>
          <w:tcPr>
            <w:tcW w:w="960" w:type="dxa"/>
            <w:tcBorders>
              <w:top w:val="nil"/>
              <w:left w:val="nil"/>
              <w:bottom w:val="nil"/>
              <w:right w:val="nil"/>
            </w:tcBorders>
            <w:shd w:val="clear" w:color="auto" w:fill="auto"/>
            <w:vAlign w:val="center"/>
            <w:hideMark/>
          </w:tcPr>
          <w:p w14:paraId="3751D56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34</w:t>
            </w:r>
          </w:p>
        </w:tc>
        <w:tc>
          <w:tcPr>
            <w:tcW w:w="960" w:type="dxa"/>
            <w:tcBorders>
              <w:top w:val="nil"/>
              <w:left w:val="nil"/>
              <w:bottom w:val="nil"/>
              <w:right w:val="nil"/>
            </w:tcBorders>
            <w:shd w:val="clear" w:color="auto" w:fill="auto"/>
            <w:vAlign w:val="center"/>
            <w:hideMark/>
          </w:tcPr>
          <w:p w14:paraId="5975935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w:t>
            </w:r>
          </w:p>
        </w:tc>
        <w:tc>
          <w:tcPr>
            <w:tcW w:w="960" w:type="dxa"/>
            <w:tcBorders>
              <w:top w:val="nil"/>
              <w:left w:val="nil"/>
              <w:bottom w:val="nil"/>
              <w:right w:val="nil"/>
            </w:tcBorders>
            <w:shd w:val="clear" w:color="auto" w:fill="auto"/>
            <w:vAlign w:val="center"/>
            <w:hideMark/>
          </w:tcPr>
          <w:p w14:paraId="0EA305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67</w:t>
            </w:r>
          </w:p>
        </w:tc>
        <w:tc>
          <w:tcPr>
            <w:tcW w:w="960" w:type="dxa"/>
            <w:tcBorders>
              <w:top w:val="nil"/>
              <w:left w:val="nil"/>
              <w:bottom w:val="nil"/>
              <w:right w:val="nil"/>
            </w:tcBorders>
            <w:shd w:val="clear" w:color="auto" w:fill="auto"/>
            <w:vAlign w:val="center"/>
            <w:hideMark/>
          </w:tcPr>
          <w:p w14:paraId="1F0FC68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84</w:t>
            </w:r>
          </w:p>
        </w:tc>
      </w:tr>
      <w:tr w:rsidR="00FF30B9" w:rsidRPr="00FF30B9" w14:paraId="1AB73A69" w14:textId="77777777" w:rsidTr="00FF30B9">
        <w:trPr>
          <w:trHeight w:val="300"/>
        </w:trPr>
        <w:tc>
          <w:tcPr>
            <w:tcW w:w="1900" w:type="dxa"/>
            <w:tcBorders>
              <w:top w:val="nil"/>
              <w:left w:val="nil"/>
              <w:bottom w:val="nil"/>
              <w:right w:val="nil"/>
            </w:tcBorders>
            <w:shd w:val="clear" w:color="auto" w:fill="auto"/>
            <w:vAlign w:val="center"/>
            <w:hideMark/>
          </w:tcPr>
          <w:p w14:paraId="3EED1987" w14:textId="3BECA001"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Salt Intake</w:t>
            </w:r>
          </w:p>
        </w:tc>
        <w:tc>
          <w:tcPr>
            <w:tcW w:w="960" w:type="dxa"/>
            <w:tcBorders>
              <w:top w:val="nil"/>
              <w:left w:val="nil"/>
              <w:bottom w:val="nil"/>
              <w:right w:val="nil"/>
            </w:tcBorders>
            <w:shd w:val="clear" w:color="auto" w:fill="auto"/>
            <w:vAlign w:val="center"/>
            <w:hideMark/>
          </w:tcPr>
          <w:p w14:paraId="7802693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8.53</w:t>
            </w:r>
          </w:p>
        </w:tc>
        <w:tc>
          <w:tcPr>
            <w:tcW w:w="960" w:type="dxa"/>
            <w:tcBorders>
              <w:top w:val="nil"/>
              <w:left w:val="nil"/>
              <w:bottom w:val="nil"/>
              <w:right w:val="nil"/>
            </w:tcBorders>
            <w:shd w:val="clear" w:color="auto" w:fill="auto"/>
            <w:vAlign w:val="center"/>
            <w:hideMark/>
          </w:tcPr>
          <w:p w14:paraId="0F8AEE9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1.99</w:t>
            </w:r>
          </w:p>
        </w:tc>
        <w:tc>
          <w:tcPr>
            <w:tcW w:w="960" w:type="dxa"/>
            <w:tcBorders>
              <w:top w:val="nil"/>
              <w:left w:val="nil"/>
              <w:bottom w:val="nil"/>
              <w:right w:val="nil"/>
            </w:tcBorders>
            <w:shd w:val="clear" w:color="auto" w:fill="auto"/>
            <w:vAlign w:val="center"/>
            <w:hideMark/>
          </w:tcPr>
          <w:p w14:paraId="5FF01D0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w:t>
            </w:r>
          </w:p>
        </w:tc>
        <w:tc>
          <w:tcPr>
            <w:tcW w:w="960" w:type="dxa"/>
            <w:tcBorders>
              <w:top w:val="nil"/>
              <w:left w:val="nil"/>
              <w:bottom w:val="nil"/>
              <w:right w:val="nil"/>
            </w:tcBorders>
            <w:shd w:val="clear" w:color="auto" w:fill="auto"/>
            <w:vAlign w:val="center"/>
            <w:hideMark/>
          </w:tcPr>
          <w:p w14:paraId="199761C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7.2</w:t>
            </w:r>
          </w:p>
        </w:tc>
        <w:tc>
          <w:tcPr>
            <w:tcW w:w="960" w:type="dxa"/>
            <w:tcBorders>
              <w:top w:val="nil"/>
              <w:left w:val="nil"/>
              <w:bottom w:val="nil"/>
              <w:right w:val="nil"/>
            </w:tcBorders>
            <w:shd w:val="clear" w:color="auto" w:fill="auto"/>
            <w:vAlign w:val="center"/>
            <w:hideMark/>
          </w:tcPr>
          <w:p w14:paraId="5F8ED1E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w:t>
            </w:r>
          </w:p>
        </w:tc>
        <w:tc>
          <w:tcPr>
            <w:tcW w:w="960" w:type="dxa"/>
            <w:tcBorders>
              <w:top w:val="nil"/>
              <w:left w:val="nil"/>
              <w:bottom w:val="nil"/>
              <w:right w:val="nil"/>
            </w:tcBorders>
            <w:shd w:val="clear" w:color="auto" w:fill="auto"/>
            <w:vAlign w:val="center"/>
            <w:hideMark/>
          </w:tcPr>
          <w:p w14:paraId="0517771E"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9.9</w:t>
            </w:r>
          </w:p>
        </w:tc>
        <w:tc>
          <w:tcPr>
            <w:tcW w:w="960" w:type="dxa"/>
            <w:tcBorders>
              <w:top w:val="nil"/>
              <w:left w:val="nil"/>
              <w:bottom w:val="nil"/>
              <w:right w:val="nil"/>
            </w:tcBorders>
            <w:shd w:val="clear" w:color="auto" w:fill="auto"/>
            <w:vAlign w:val="center"/>
            <w:hideMark/>
          </w:tcPr>
          <w:p w14:paraId="7041787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16.4</w:t>
            </w:r>
          </w:p>
        </w:tc>
      </w:tr>
      <w:tr w:rsidR="00FF30B9" w:rsidRPr="00FF30B9" w14:paraId="68EB7C49" w14:textId="77777777" w:rsidTr="00FF30B9">
        <w:trPr>
          <w:trHeight w:val="300"/>
        </w:trPr>
        <w:tc>
          <w:tcPr>
            <w:tcW w:w="1900" w:type="dxa"/>
            <w:tcBorders>
              <w:top w:val="nil"/>
              <w:left w:val="nil"/>
              <w:bottom w:val="nil"/>
              <w:right w:val="nil"/>
            </w:tcBorders>
            <w:shd w:val="clear" w:color="auto" w:fill="auto"/>
            <w:vAlign w:val="center"/>
            <w:hideMark/>
          </w:tcPr>
          <w:p w14:paraId="02488539" w14:textId="0C555B84"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Stress Score</w:t>
            </w:r>
          </w:p>
        </w:tc>
        <w:tc>
          <w:tcPr>
            <w:tcW w:w="960" w:type="dxa"/>
            <w:tcBorders>
              <w:top w:val="nil"/>
              <w:left w:val="nil"/>
              <w:bottom w:val="nil"/>
              <w:right w:val="nil"/>
            </w:tcBorders>
            <w:shd w:val="clear" w:color="auto" w:fill="auto"/>
            <w:vAlign w:val="center"/>
            <w:hideMark/>
          </w:tcPr>
          <w:p w14:paraId="2649907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4.98</w:t>
            </w:r>
          </w:p>
        </w:tc>
        <w:tc>
          <w:tcPr>
            <w:tcW w:w="960" w:type="dxa"/>
            <w:tcBorders>
              <w:top w:val="nil"/>
              <w:left w:val="nil"/>
              <w:bottom w:val="nil"/>
              <w:right w:val="nil"/>
            </w:tcBorders>
            <w:shd w:val="clear" w:color="auto" w:fill="auto"/>
            <w:vAlign w:val="center"/>
            <w:hideMark/>
          </w:tcPr>
          <w:p w14:paraId="6F381C7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3.14</w:t>
            </w:r>
          </w:p>
        </w:tc>
        <w:tc>
          <w:tcPr>
            <w:tcW w:w="960" w:type="dxa"/>
            <w:tcBorders>
              <w:top w:val="nil"/>
              <w:left w:val="nil"/>
              <w:bottom w:val="nil"/>
              <w:right w:val="nil"/>
            </w:tcBorders>
            <w:shd w:val="clear" w:color="auto" w:fill="auto"/>
            <w:vAlign w:val="center"/>
            <w:hideMark/>
          </w:tcPr>
          <w:p w14:paraId="56A7F4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0</w:t>
            </w:r>
          </w:p>
        </w:tc>
        <w:tc>
          <w:tcPr>
            <w:tcW w:w="960" w:type="dxa"/>
            <w:tcBorders>
              <w:top w:val="nil"/>
              <w:left w:val="nil"/>
              <w:bottom w:val="nil"/>
              <w:right w:val="nil"/>
            </w:tcBorders>
            <w:shd w:val="clear" w:color="auto" w:fill="auto"/>
            <w:vAlign w:val="center"/>
            <w:hideMark/>
          </w:tcPr>
          <w:p w14:paraId="045C414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w:t>
            </w:r>
          </w:p>
        </w:tc>
        <w:tc>
          <w:tcPr>
            <w:tcW w:w="960" w:type="dxa"/>
            <w:tcBorders>
              <w:top w:val="nil"/>
              <w:left w:val="nil"/>
              <w:bottom w:val="nil"/>
              <w:right w:val="nil"/>
            </w:tcBorders>
            <w:shd w:val="clear" w:color="auto" w:fill="auto"/>
            <w:vAlign w:val="center"/>
            <w:hideMark/>
          </w:tcPr>
          <w:p w14:paraId="6241D62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w:t>
            </w:r>
          </w:p>
        </w:tc>
        <w:tc>
          <w:tcPr>
            <w:tcW w:w="960" w:type="dxa"/>
            <w:tcBorders>
              <w:top w:val="nil"/>
              <w:left w:val="nil"/>
              <w:bottom w:val="nil"/>
              <w:right w:val="nil"/>
            </w:tcBorders>
            <w:shd w:val="clear" w:color="auto" w:fill="auto"/>
            <w:vAlign w:val="center"/>
            <w:hideMark/>
          </w:tcPr>
          <w:p w14:paraId="12C266D3"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w:t>
            </w:r>
          </w:p>
        </w:tc>
        <w:tc>
          <w:tcPr>
            <w:tcW w:w="960" w:type="dxa"/>
            <w:tcBorders>
              <w:top w:val="nil"/>
              <w:left w:val="nil"/>
              <w:bottom w:val="nil"/>
              <w:right w:val="nil"/>
            </w:tcBorders>
            <w:shd w:val="clear" w:color="auto" w:fill="auto"/>
            <w:vAlign w:val="center"/>
            <w:hideMark/>
          </w:tcPr>
          <w:p w14:paraId="46EF646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10</w:t>
            </w:r>
          </w:p>
        </w:tc>
      </w:tr>
      <w:tr w:rsidR="00FF30B9" w:rsidRPr="00FF30B9" w14:paraId="00E1B91D" w14:textId="77777777" w:rsidTr="00FF30B9">
        <w:trPr>
          <w:trHeight w:val="300"/>
        </w:trPr>
        <w:tc>
          <w:tcPr>
            <w:tcW w:w="1900" w:type="dxa"/>
            <w:tcBorders>
              <w:top w:val="nil"/>
              <w:left w:val="nil"/>
              <w:bottom w:val="nil"/>
              <w:right w:val="nil"/>
            </w:tcBorders>
            <w:shd w:val="clear" w:color="auto" w:fill="auto"/>
            <w:vAlign w:val="center"/>
            <w:hideMark/>
          </w:tcPr>
          <w:p w14:paraId="2D0BF78E" w14:textId="0125E098"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Sleep Duration</w:t>
            </w:r>
          </w:p>
        </w:tc>
        <w:tc>
          <w:tcPr>
            <w:tcW w:w="960" w:type="dxa"/>
            <w:tcBorders>
              <w:top w:val="nil"/>
              <w:left w:val="nil"/>
              <w:bottom w:val="nil"/>
              <w:right w:val="nil"/>
            </w:tcBorders>
            <w:shd w:val="clear" w:color="auto" w:fill="auto"/>
            <w:vAlign w:val="center"/>
            <w:hideMark/>
          </w:tcPr>
          <w:p w14:paraId="7FDF04A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6.45</w:t>
            </w:r>
          </w:p>
        </w:tc>
        <w:tc>
          <w:tcPr>
            <w:tcW w:w="960" w:type="dxa"/>
            <w:tcBorders>
              <w:top w:val="nil"/>
              <w:left w:val="nil"/>
              <w:bottom w:val="nil"/>
              <w:right w:val="nil"/>
            </w:tcBorders>
            <w:shd w:val="clear" w:color="auto" w:fill="auto"/>
            <w:vAlign w:val="center"/>
            <w:hideMark/>
          </w:tcPr>
          <w:p w14:paraId="29C3153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1.54</w:t>
            </w:r>
          </w:p>
        </w:tc>
        <w:tc>
          <w:tcPr>
            <w:tcW w:w="960" w:type="dxa"/>
            <w:tcBorders>
              <w:top w:val="nil"/>
              <w:left w:val="nil"/>
              <w:bottom w:val="nil"/>
              <w:right w:val="nil"/>
            </w:tcBorders>
            <w:shd w:val="clear" w:color="auto" w:fill="auto"/>
            <w:vAlign w:val="center"/>
            <w:hideMark/>
          </w:tcPr>
          <w:p w14:paraId="3C12045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w:t>
            </w:r>
          </w:p>
        </w:tc>
        <w:tc>
          <w:tcPr>
            <w:tcW w:w="960" w:type="dxa"/>
            <w:tcBorders>
              <w:top w:val="nil"/>
              <w:left w:val="nil"/>
              <w:bottom w:val="nil"/>
              <w:right w:val="nil"/>
            </w:tcBorders>
            <w:shd w:val="clear" w:color="auto" w:fill="auto"/>
            <w:vAlign w:val="center"/>
            <w:hideMark/>
          </w:tcPr>
          <w:p w14:paraId="1A3D9F9A"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5.4</w:t>
            </w:r>
          </w:p>
        </w:tc>
        <w:tc>
          <w:tcPr>
            <w:tcW w:w="960" w:type="dxa"/>
            <w:tcBorders>
              <w:top w:val="nil"/>
              <w:left w:val="nil"/>
              <w:bottom w:val="nil"/>
              <w:right w:val="nil"/>
            </w:tcBorders>
            <w:shd w:val="clear" w:color="auto" w:fill="auto"/>
            <w:vAlign w:val="center"/>
            <w:hideMark/>
          </w:tcPr>
          <w:p w14:paraId="4920A58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6.5</w:t>
            </w:r>
          </w:p>
        </w:tc>
        <w:tc>
          <w:tcPr>
            <w:tcW w:w="960" w:type="dxa"/>
            <w:tcBorders>
              <w:top w:val="nil"/>
              <w:left w:val="nil"/>
              <w:bottom w:val="nil"/>
              <w:right w:val="nil"/>
            </w:tcBorders>
            <w:shd w:val="clear" w:color="auto" w:fill="auto"/>
            <w:vAlign w:val="center"/>
            <w:hideMark/>
          </w:tcPr>
          <w:p w14:paraId="047B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7.5</w:t>
            </w:r>
          </w:p>
        </w:tc>
        <w:tc>
          <w:tcPr>
            <w:tcW w:w="960" w:type="dxa"/>
            <w:tcBorders>
              <w:top w:val="nil"/>
              <w:left w:val="nil"/>
              <w:bottom w:val="nil"/>
              <w:right w:val="nil"/>
            </w:tcBorders>
            <w:shd w:val="clear" w:color="auto" w:fill="auto"/>
            <w:vAlign w:val="center"/>
            <w:hideMark/>
          </w:tcPr>
          <w:p w14:paraId="18B8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11.4</w:t>
            </w:r>
          </w:p>
        </w:tc>
      </w:tr>
      <w:tr w:rsidR="00FF30B9" w:rsidRPr="00FF30B9" w14:paraId="2F706B3C" w14:textId="77777777" w:rsidTr="00FF30B9">
        <w:trPr>
          <w:trHeight w:val="300"/>
        </w:trPr>
        <w:tc>
          <w:tcPr>
            <w:tcW w:w="1900" w:type="dxa"/>
            <w:tcBorders>
              <w:top w:val="nil"/>
              <w:left w:val="nil"/>
              <w:bottom w:val="single" w:sz="4" w:space="0" w:color="auto"/>
              <w:right w:val="nil"/>
            </w:tcBorders>
            <w:shd w:val="clear" w:color="auto" w:fill="auto"/>
            <w:vAlign w:val="center"/>
            <w:hideMark/>
          </w:tcPr>
          <w:p w14:paraId="6E875072"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BMI</w:t>
            </w:r>
          </w:p>
        </w:tc>
        <w:tc>
          <w:tcPr>
            <w:tcW w:w="960" w:type="dxa"/>
            <w:tcBorders>
              <w:top w:val="nil"/>
              <w:left w:val="nil"/>
              <w:bottom w:val="single" w:sz="4" w:space="0" w:color="auto"/>
              <w:right w:val="nil"/>
            </w:tcBorders>
            <w:shd w:val="clear" w:color="auto" w:fill="auto"/>
            <w:vAlign w:val="center"/>
            <w:hideMark/>
          </w:tcPr>
          <w:p w14:paraId="45EC103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26.02</w:t>
            </w:r>
          </w:p>
        </w:tc>
        <w:tc>
          <w:tcPr>
            <w:tcW w:w="960" w:type="dxa"/>
            <w:tcBorders>
              <w:top w:val="nil"/>
              <w:left w:val="nil"/>
              <w:bottom w:val="single" w:sz="4" w:space="0" w:color="auto"/>
              <w:right w:val="nil"/>
            </w:tcBorders>
            <w:shd w:val="clear" w:color="auto" w:fill="auto"/>
            <w:vAlign w:val="center"/>
            <w:hideMark/>
          </w:tcPr>
          <w:p w14:paraId="0C380E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4.51</w:t>
            </w:r>
          </w:p>
        </w:tc>
        <w:tc>
          <w:tcPr>
            <w:tcW w:w="960" w:type="dxa"/>
            <w:tcBorders>
              <w:top w:val="nil"/>
              <w:left w:val="nil"/>
              <w:bottom w:val="single" w:sz="4" w:space="0" w:color="auto"/>
              <w:right w:val="nil"/>
            </w:tcBorders>
            <w:shd w:val="clear" w:color="auto" w:fill="auto"/>
            <w:vAlign w:val="center"/>
            <w:hideMark/>
          </w:tcPr>
          <w:p w14:paraId="5D9198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11.9</w:t>
            </w:r>
          </w:p>
        </w:tc>
        <w:tc>
          <w:tcPr>
            <w:tcW w:w="960" w:type="dxa"/>
            <w:tcBorders>
              <w:top w:val="nil"/>
              <w:left w:val="nil"/>
              <w:bottom w:val="single" w:sz="4" w:space="0" w:color="auto"/>
              <w:right w:val="nil"/>
            </w:tcBorders>
            <w:shd w:val="clear" w:color="auto" w:fill="auto"/>
            <w:vAlign w:val="center"/>
            <w:hideMark/>
          </w:tcPr>
          <w:p w14:paraId="358D6EB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23</w:t>
            </w:r>
          </w:p>
        </w:tc>
        <w:tc>
          <w:tcPr>
            <w:tcW w:w="960" w:type="dxa"/>
            <w:tcBorders>
              <w:top w:val="nil"/>
              <w:left w:val="nil"/>
              <w:bottom w:val="single" w:sz="4" w:space="0" w:color="auto"/>
              <w:right w:val="nil"/>
            </w:tcBorders>
            <w:shd w:val="clear" w:color="auto" w:fill="auto"/>
            <w:vAlign w:val="center"/>
            <w:hideMark/>
          </w:tcPr>
          <w:p w14:paraId="0DDE002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25.9</w:t>
            </w:r>
          </w:p>
        </w:tc>
        <w:tc>
          <w:tcPr>
            <w:tcW w:w="960" w:type="dxa"/>
            <w:tcBorders>
              <w:top w:val="nil"/>
              <w:left w:val="nil"/>
              <w:bottom w:val="single" w:sz="4" w:space="0" w:color="auto"/>
              <w:right w:val="nil"/>
            </w:tcBorders>
            <w:shd w:val="clear" w:color="auto" w:fill="auto"/>
            <w:vAlign w:val="center"/>
            <w:hideMark/>
          </w:tcPr>
          <w:p w14:paraId="18B9D56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29.1</w:t>
            </w:r>
          </w:p>
        </w:tc>
        <w:tc>
          <w:tcPr>
            <w:tcW w:w="960" w:type="dxa"/>
            <w:tcBorders>
              <w:top w:val="nil"/>
              <w:left w:val="nil"/>
              <w:bottom w:val="single" w:sz="4" w:space="0" w:color="auto"/>
              <w:right w:val="nil"/>
            </w:tcBorders>
            <w:shd w:val="clear" w:color="auto" w:fill="auto"/>
            <w:vAlign w:val="center"/>
            <w:hideMark/>
          </w:tcPr>
          <w:p w14:paraId="2C3CB17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41.9</w:t>
            </w:r>
          </w:p>
        </w:tc>
      </w:tr>
    </w:tbl>
    <w:p w14:paraId="04BFDD9D" w14:textId="77777777" w:rsidR="00FF30B9" w:rsidRDefault="00FF30B9" w:rsidP="00FF30B9">
      <w:pPr>
        <w:spacing w:before="240" w:after="240" w:line="360" w:lineRule="auto"/>
        <w:jc w:val="both"/>
        <w:rPr>
          <w:rFonts w:ascii="Times New Roman" w:eastAsia="Times New Roman" w:hAnsi="Times New Roman" w:cs="Times New Roman"/>
          <w:b/>
          <w:bCs/>
          <w:sz w:val="24"/>
          <w:szCs w:val="24"/>
        </w:rPr>
      </w:pPr>
    </w:p>
    <w:p w14:paraId="1237356E" w14:textId="30CF7146" w:rsidR="00FF30B9" w:rsidRDefault="00FF30B9" w:rsidP="00FF30B9">
      <w:pPr>
        <w:spacing w:before="240" w:after="240" w:line="360" w:lineRule="auto"/>
        <w:jc w:val="both"/>
        <w:rPr>
          <w:rFonts w:ascii="Times New Roman" w:eastAsia="Times New Roman" w:hAnsi="Times New Roman" w:cs="Times New Roman"/>
          <w:bCs/>
          <w:sz w:val="24"/>
          <w:szCs w:val="24"/>
        </w:rPr>
      </w:pPr>
      <w:r w:rsidRPr="00FF30B9">
        <w:rPr>
          <w:rFonts w:ascii="Times New Roman" w:eastAsia="Times New Roman" w:hAnsi="Times New Roman" w:cs="Times New Roman"/>
          <w:bCs/>
          <w:sz w:val="24"/>
          <w:szCs w:val="24"/>
        </w:rPr>
        <w:t>The dataset reflects a diverse adult population, with participants ranging from 18 to 84 years and an average age of 50 years, suggesting inclusion of both younger and older adults. Salt intake averages 8.53 g/day, slightly above recommended levels, indicating potential dietary risk for hypertension. The Stress Score shows moderate variability (mean 4.98), with some individuals experiencing high stress. Sleep duration averages 6.45 hours, slightly below the recommended 7–8 hours, which may impact cardiovascular health. The mean BMI of 26.02 falls in the overweight range, highlighting a prevalent risk factor. Overall, these statistics indicate variability in lifestyle and clinical factors relevant to hypertension.</w:t>
      </w:r>
    </w:p>
    <w:p w14:paraId="21394733" w14:textId="2D6D2EEB" w:rsidR="00E412CF" w:rsidRDefault="00E412CF" w:rsidP="00FF30B9">
      <w:pPr>
        <w:spacing w:before="240" w:after="240" w:line="360" w:lineRule="auto"/>
        <w:jc w:val="both"/>
        <w:rPr>
          <w:rFonts w:ascii="Times New Roman" w:eastAsia="Times New Roman" w:hAnsi="Times New Roman" w:cs="Times New Roman"/>
          <w:bCs/>
          <w:sz w:val="24"/>
          <w:szCs w:val="24"/>
        </w:rPr>
      </w:pPr>
    </w:p>
    <w:p w14:paraId="50ADBA79" w14:textId="33D78A47"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EE082DB" w14:textId="36090D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144BA735" w14:textId="355A5BA5"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67A960A" w14:textId="07DAFA5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76C1B27D" w14:textId="7FE96708" w:rsidR="00E412CF" w:rsidRDefault="00E412CF" w:rsidP="00FF30B9">
      <w:pPr>
        <w:spacing w:before="240" w:after="240" w:line="360" w:lineRule="auto"/>
        <w:jc w:val="both"/>
        <w:rPr>
          <w:rFonts w:ascii="Times New Roman" w:eastAsia="Times New Roman" w:hAnsi="Times New Roman" w:cs="Times New Roman"/>
          <w:bCs/>
          <w:sz w:val="24"/>
          <w:szCs w:val="24"/>
        </w:rPr>
      </w:pPr>
    </w:p>
    <w:p w14:paraId="3822A767" w14:textId="247CD9E2"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4BF872B" w14:textId="22B175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0CE94985" w14:textId="6CB624B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2AA8F0B" w14:textId="77777777"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9027BEE" w14:textId="6074EDA9" w:rsidR="008C2EAC" w:rsidRPr="00E57844" w:rsidRDefault="008C2EAC" w:rsidP="00FF30B9">
      <w:pPr>
        <w:spacing w:before="240" w:after="240" w:line="360" w:lineRule="auto"/>
        <w:jc w:val="both"/>
        <w:rPr>
          <w:rFonts w:ascii="Times New Roman" w:eastAsia="Times New Roman" w:hAnsi="Times New Roman" w:cs="Times New Roman"/>
          <w:b/>
          <w:bCs/>
          <w:sz w:val="24"/>
          <w:szCs w:val="24"/>
        </w:rPr>
      </w:pPr>
      <w:r w:rsidRPr="00E57844">
        <w:rPr>
          <w:rFonts w:ascii="Times New Roman" w:eastAsia="Times New Roman" w:hAnsi="Times New Roman" w:cs="Times New Roman"/>
          <w:b/>
          <w:bCs/>
          <w:sz w:val="24"/>
          <w:szCs w:val="24"/>
        </w:rPr>
        <w:lastRenderedPageBreak/>
        <w:t xml:space="preserve">Age </w:t>
      </w:r>
      <w:r w:rsidR="00E57844" w:rsidRPr="00E57844">
        <w:rPr>
          <w:rFonts w:ascii="Times New Roman" w:eastAsia="Times New Roman" w:hAnsi="Times New Roman" w:cs="Times New Roman"/>
          <w:b/>
          <w:bCs/>
          <w:sz w:val="24"/>
          <w:szCs w:val="24"/>
        </w:rPr>
        <w:t>by</w:t>
      </w:r>
      <w:r w:rsidRPr="00E57844">
        <w:rPr>
          <w:rFonts w:ascii="Times New Roman" w:eastAsia="Times New Roman" w:hAnsi="Times New Roman" w:cs="Times New Roman"/>
          <w:b/>
          <w:bCs/>
          <w:sz w:val="24"/>
          <w:szCs w:val="24"/>
        </w:rPr>
        <w:t xml:space="preserve"> Hypertension </w:t>
      </w:r>
    </w:p>
    <w:p w14:paraId="48312FE8" w14:textId="65088FA0" w:rsidR="00E57844" w:rsidRDefault="005C6120"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452CCDE3" wp14:editId="42A67F7E">
            <wp:extent cx="5172075" cy="34480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ge-Status.jpg"/>
                    <pic:cNvPicPr/>
                  </pic:nvPicPr>
                  <pic:blipFill>
                    <a:blip r:embed="rId5">
                      <a:extLst>
                        <a:ext uri="{28A0092B-C50C-407E-A947-70E740481C1C}">
                          <a14:useLocalDpi xmlns:a14="http://schemas.microsoft.com/office/drawing/2010/main" val="0"/>
                        </a:ext>
                      </a:extLst>
                    </a:blip>
                    <a:stretch>
                      <a:fillRect/>
                    </a:stretch>
                  </pic:blipFill>
                  <pic:spPr>
                    <a:xfrm>
                      <a:off x="0" y="0"/>
                      <a:ext cx="5172696" cy="3448464"/>
                    </a:xfrm>
                    <a:prstGeom prst="rect">
                      <a:avLst/>
                    </a:prstGeom>
                  </pic:spPr>
                </pic:pic>
              </a:graphicData>
            </a:graphic>
          </wp:inline>
        </w:drawing>
      </w:r>
    </w:p>
    <w:tbl>
      <w:tblPr>
        <w:tblpPr w:leftFromText="180" w:rightFromText="180" w:vertAnchor="text" w:horzAnchor="margin" w:tblpY="197"/>
        <w:tblW w:w="9580" w:type="dxa"/>
        <w:tblLook w:val="04A0" w:firstRow="1" w:lastRow="0" w:firstColumn="1" w:lastColumn="0" w:noHBand="0" w:noVBand="1"/>
      </w:tblPr>
      <w:tblGrid>
        <w:gridCol w:w="1900"/>
        <w:gridCol w:w="960"/>
        <w:gridCol w:w="960"/>
        <w:gridCol w:w="960"/>
        <w:gridCol w:w="960"/>
        <w:gridCol w:w="960"/>
        <w:gridCol w:w="960"/>
        <w:gridCol w:w="960"/>
        <w:gridCol w:w="960"/>
      </w:tblGrid>
      <w:tr w:rsidR="00E57844" w:rsidRPr="00E57844" w14:paraId="24BC6947" w14:textId="77777777" w:rsidTr="00E57844">
        <w:trPr>
          <w:trHeight w:val="600"/>
        </w:trPr>
        <w:tc>
          <w:tcPr>
            <w:tcW w:w="1900" w:type="dxa"/>
            <w:tcBorders>
              <w:top w:val="single" w:sz="4" w:space="0" w:color="auto"/>
              <w:left w:val="nil"/>
              <w:bottom w:val="single" w:sz="4" w:space="0" w:color="auto"/>
              <w:right w:val="nil"/>
            </w:tcBorders>
            <w:shd w:val="clear" w:color="auto" w:fill="auto"/>
            <w:vAlign w:val="center"/>
            <w:hideMark/>
          </w:tcPr>
          <w:p w14:paraId="007DB402"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16F658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Mean Age</w:t>
            </w:r>
          </w:p>
        </w:tc>
        <w:tc>
          <w:tcPr>
            <w:tcW w:w="960" w:type="dxa"/>
            <w:tcBorders>
              <w:top w:val="single" w:sz="4" w:space="0" w:color="auto"/>
              <w:left w:val="nil"/>
              <w:bottom w:val="single" w:sz="4" w:space="0" w:color="auto"/>
              <w:right w:val="nil"/>
            </w:tcBorders>
            <w:shd w:val="clear" w:color="auto" w:fill="auto"/>
            <w:vAlign w:val="center"/>
            <w:hideMark/>
          </w:tcPr>
          <w:p w14:paraId="5997AE3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Median Age</w:t>
            </w:r>
          </w:p>
        </w:tc>
        <w:tc>
          <w:tcPr>
            <w:tcW w:w="960" w:type="dxa"/>
            <w:tcBorders>
              <w:top w:val="single" w:sz="4" w:space="0" w:color="auto"/>
              <w:left w:val="nil"/>
              <w:bottom w:val="single" w:sz="4" w:space="0" w:color="auto"/>
              <w:right w:val="nil"/>
            </w:tcBorders>
            <w:shd w:val="clear" w:color="auto" w:fill="auto"/>
            <w:vAlign w:val="center"/>
            <w:hideMark/>
          </w:tcPr>
          <w:p w14:paraId="2B041B46"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57972059"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5BC0E0F4"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82DCB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45922ED"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4A9DD9E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IQR</w:t>
            </w:r>
          </w:p>
        </w:tc>
      </w:tr>
      <w:tr w:rsidR="00E57844" w:rsidRPr="00E57844" w14:paraId="45700AAF" w14:textId="77777777" w:rsidTr="00E57844">
        <w:trPr>
          <w:trHeight w:val="300"/>
        </w:trPr>
        <w:tc>
          <w:tcPr>
            <w:tcW w:w="1900" w:type="dxa"/>
            <w:tcBorders>
              <w:top w:val="nil"/>
              <w:left w:val="nil"/>
              <w:bottom w:val="nil"/>
              <w:right w:val="nil"/>
            </w:tcBorders>
            <w:shd w:val="clear" w:color="auto" w:fill="auto"/>
            <w:vAlign w:val="center"/>
            <w:hideMark/>
          </w:tcPr>
          <w:p w14:paraId="6B1F88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33CF3F24"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46.08</w:t>
            </w:r>
          </w:p>
        </w:tc>
        <w:tc>
          <w:tcPr>
            <w:tcW w:w="960" w:type="dxa"/>
            <w:tcBorders>
              <w:top w:val="nil"/>
              <w:left w:val="nil"/>
              <w:bottom w:val="nil"/>
              <w:right w:val="nil"/>
            </w:tcBorders>
            <w:shd w:val="clear" w:color="auto" w:fill="auto"/>
            <w:vAlign w:val="center"/>
            <w:hideMark/>
          </w:tcPr>
          <w:p w14:paraId="30B623D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43</w:t>
            </w:r>
          </w:p>
        </w:tc>
        <w:tc>
          <w:tcPr>
            <w:tcW w:w="960" w:type="dxa"/>
            <w:tcBorders>
              <w:top w:val="nil"/>
              <w:left w:val="nil"/>
              <w:bottom w:val="nil"/>
              <w:right w:val="nil"/>
            </w:tcBorders>
            <w:shd w:val="clear" w:color="auto" w:fill="auto"/>
            <w:vAlign w:val="center"/>
            <w:hideMark/>
          </w:tcPr>
          <w:p w14:paraId="568AC2A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18.95</w:t>
            </w:r>
          </w:p>
        </w:tc>
        <w:tc>
          <w:tcPr>
            <w:tcW w:w="960" w:type="dxa"/>
            <w:tcBorders>
              <w:top w:val="nil"/>
              <w:left w:val="nil"/>
              <w:bottom w:val="nil"/>
              <w:right w:val="nil"/>
            </w:tcBorders>
            <w:shd w:val="clear" w:color="auto" w:fill="auto"/>
            <w:vAlign w:val="center"/>
            <w:hideMark/>
          </w:tcPr>
          <w:p w14:paraId="245B6E8B"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nil"/>
              <w:right w:val="nil"/>
            </w:tcBorders>
            <w:shd w:val="clear" w:color="auto" w:fill="auto"/>
            <w:vAlign w:val="center"/>
            <w:hideMark/>
          </w:tcPr>
          <w:p w14:paraId="62ACA27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30</w:t>
            </w:r>
          </w:p>
        </w:tc>
        <w:tc>
          <w:tcPr>
            <w:tcW w:w="960" w:type="dxa"/>
            <w:tcBorders>
              <w:top w:val="nil"/>
              <w:left w:val="nil"/>
              <w:bottom w:val="nil"/>
              <w:right w:val="nil"/>
            </w:tcBorders>
            <w:shd w:val="clear" w:color="auto" w:fill="auto"/>
            <w:vAlign w:val="center"/>
            <w:hideMark/>
          </w:tcPr>
          <w:p w14:paraId="13E16C2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61</w:t>
            </w:r>
          </w:p>
        </w:tc>
        <w:tc>
          <w:tcPr>
            <w:tcW w:w="960" w:type="dxa"/>
            <w:tcBorders>
              <w:top w:val="nil"/>
              <w:left w:val="nil"/>
              <w:bottom w:val="nil"/>
              <w:right w:val="nil"/>
            </w:tcBorders>
            <w:shd w:val="clear" w:color="auto" w:fill="auto"/>
            <w:vAlign w:val="center"/>
            <w:hideMark/>
          </w:tcPr>
          <w:p w14:paraId="49FEBB21"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nil"/>
              <w:right w:val="nil"/>
            </w:tcBorders>
            <w:shd w:val="clear" w:color="auto" w:fill="auto"/>
            <w:vAlign w:val="center"/>
            <w:hideMark/>
          </w:tcPr>
          <w:p w14:paraId="4C5DCC3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31</w:t>
            </w:r>
          </w:p>
        </w:tc>
      </w:tr>
      <w:tr w:rsidR="00E57844" w:rsidRPr="00E57844" w14:paraId="257FC1E7" w14:textId="77777777" w:rsidTr="00E57844">
        <w:trPr>
          <w:trHeight w:val="300"/>
        </w:trPr>
        <w:tc>
          <w:tcPr>
            <w:tcW w:w="1900" w:type="dxa"/>
            <w:tcBorders>
              <w:top w:val="nil"/>
              <w:left w:val="nil"/>
              <w:bottom w:val="single" w:sz="4" w:space="0" w:color="auto"/>
              <w:right w:val="nil"/>
            </w:tcBorders>
            <w:shd w:val="clear" w:color="auto" w:fill="auto"/>
            <w:vAlign w:val="center"/>
            <w:hideMark/>
          </w:tcPr>
          <w:p w14:paraId="7656B7F5"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77DC30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54.28</w:t>
            </w:r>
          </w:p>
        </w:tc>
        <w:tc>
          <w:tcPr>
            <w:tcW w:w="960" w:type="dxa"/>
            <w:tcBorders>
              <w:top w:val="nil"/>
              <w:left w:val="nil"/>
              <w:bottom w:val="single" w:sz="4" w:space="0" w:color="auto"/>
              <w:right w:val="nil"/>
            </w:tcBorders>
            <w:shd w:val="clear" w:color="auto" w:fill="auto"/>
            <w:vAlign w:val="center"/>
            <w:hideMark/>
          </w:tcPr>
          <w:p w14:paraId="55484F62"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56</w:t>
            </w:r>
          </w:p>
        </w:tc>
        <w:tc>
          <w:tcPr>
            <w:tcW w:w="960" w:type="dxa"/>
            <w:tcBorders>
              <w:top w:val="nil"/>
              <w:left w:val="nil"/>
              <w:bottom w:val="single" w:sz="4" w:space="0" w:color="auto"/>
              <w:right w:val="nil"/>
            </w:tcBorders>
            <w:shd w:val="clear" w:color="auto" w:fill="auto"/>
            <w:vAlign w:val="center"/>
            <w:hideMark/>
          </w:tcPr>
          <w:p w14:paraId="521A3DA3"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19.06</w:t>
            </w:r>
          </w:p>
        </w:tc>
        <w:tc>
          <w:tcPr>
            <w:tcW w:w="960" w:type="dxa"/>
            <w:tcBorders>
              <w:top w:val="nil"/>
              <w:left w:val="nil"/>
              <w:bottom w:val="single" w:sz="4" w:space="0" w:color="auto"/>
              <w:right w:val="nil"/>
            </w:tcBorders>
            <w:shd w:val="clear" w:color="auto" w:fill="auto"/>
            <w:vAlign w:val="center"/>
            <w:hideMark/>
          </w:tcPr>
          <w:p w14:paraId="53BB8AA7"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single" w:sz="4" w:space="0" w:color="auto"/>
              <w:right w:val="nil"/>
            </w:tcBorders>
            <w:shd w:val="clear" w:color="auto" w:fill="auto"/>
            <w:vAlign w:val="center"/>
            <w:hideMark/>
          </w:tcPr>
          <w:p w14:paraId="5CC30CD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38</w:t>
            </w:r>
          </w:p>
        </w:tc>
        <w:tc>
          <w:tcPr>
            <w:tcW w:w="960" w:type="dxa"/>
            <w:tcBorders>
              <w:top w:val="nil"/>
              <w:left w:val="nil"/>
              <w:bottom w:val="single" w:sz="4" w:space="0" w:color="auto"/>
              <w:right w:val="nil"/>
            </w:tcBorders>
            <w:shd w:val="clear" w:color="auto" w:fill="auto"/>
            <w:vAlign w:val="center"/>
            <w:hideMark/>
          </w:tcPr>
          <w:p w14:paraId="41D0B50D"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70</w:t>
            </w:r>
          </w:p>
        </w:tc>
        <w:tc>
          <w:tcPr>
            <w:tcW w:w="960" w:type="dxa"/>
            <w:tcBorders>
              <w:top w:val="nil"/>
              <w:left w:val="nil"/>
              <w:bottom w:val="single" w:sz="4" w:space="0" w:color="auto"/>
              <w:right w:val="nil"/>
            </w:tcBorders>
            <w:shd w:val="clear" w:color="auto" w:fill="auto"/>
            <w:vAlign w:val="center"/>
            <w:hideMark/>
          </w:tcPr>
          <w:p w14:paraId="7EBE93DA"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single" w:sz="4" w:space="0" w:color="auto"/>
              <w:right w:val="nil"/>
            </w:tcBorders>
            <w:shd w:val="clear" w:color="auto" w:fill="auto"/>
            <w:vAlign w:val="center"/>
            <w:hideMark/>
          </w:tcPr>
          <w:p w14:paraId="703B141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32</w:t>
            </w:r>
          </w:p>
        </w:tc>
      </w:tr>
    </w:tbl>
    <w:p w14:paraId="00000019" w14:textId="2207C1C2" w:rsidR="005250B4" w:rsidRDefault="005250B4" w:rsidP="00FF30B9">
      <w:pPr>
        <w:spacing w:before="240" w:after="240" w:line="360" w:lineRule="auto"/>
        <w:jc w:val="both"/>
        <w:rPr>
          <w:rFonts w:ascii="Times New Roman" w:eastAsia="Times New Roman" w:hAnsi="Times New Roman" w:cs="Times New Roman"/>
          <w:sz w:val="24"/>
          <w:szCs w:val="24"/>
        </w:rPr>
      </w:pPr>
    </w:p>
    <w:p w14:paraId="1EA0E73A" w14:textId="191323E2" w:rsidR="00E57844" w:rsidRDefault="00E57844" w:rsidP="00FF30B9">
      <w:pPr>
        <w:spacing w:before="240" w:after="240" w:line="360" w:lineRule="auto"/>
        <w:jc w:val="both"/>
        <w:rPr>
          <w:rFonts w:ascii="Times New Roman" w:eastAsia="Times New Roman" w:hAnsi="Times New Roman" w:cs="Times New Roman"/>
          <w:sz w:val="24"/>
          <w:szCs w:val="24"/>
        </w:rPr>
      </w:pPr>
      <w:r w:rsidRPr="00E57844">
        <w:rPr>
          <w:rFonts w:ascii="Times New Roman" w:eastAsia="Times New Roman" w:hAnsi="Times New Roman" w:cs="Times New Roman"/>
          <w:sz w:val="24"/>
          <w:szCs w:val="24"/>
        </w:rPr>
        <w:t>The cross-tabulated age statistics show a clear difference between individuals with and without hypertension. Participants with hypertension have a higher mean age (54.28 years) and median age (56 years) compared to those without hypertension, who’s mean and median ages are 46.08 and 43 years respectively. This suggests that hypertension is more prevalent among older individuals in the dataset. The similar standard deviations in both groups indicate comparable age variability, while the higher quartiles (Q1 and Q3) for the hypertensive group further emphasize an age shift toward older populations. Overall, age appears to be an important factor associated with hypertension status in this analysis.</w:t>
      </w:r>
    </w:p>
    <w:p w14:paraId="0000001A" w14:textId="77777777" w:rsidR="005250B4" w:rsidRDefault="005250B4" w:rsidP="00FF30B9">
      <w:pPr>
        <w:spacing w:line="360" w:lineRule="auto"/>
        <w:rPr>
          <w:rFonts w:ascii="Times New Roman" w:eastAsia="Times New Roman" w:hAnsi="Times New Roman" w:cs="Times New Roman"/>
          <w:b/>
          <w:bCs/>
          <w:sz w:val="24"/>
          <w:szCs w:val="24"/>
        </w:rPr>
      </w:pPr>
    </w:p>
    <w:p w14:paraId="0000001B" w14:textId="77777777" w:rsidR="005250B4" w:rsidRDefault="005250B4" w:rsidP="00FF30B9">
      <w:pPr>
        <w:spacing w:line="360" w:lineRule="auto"/>
        <w:rPr>
          <w:rFonts w:ascii="Times New Roman" w:eastAsia="Times New Roman" w:hAnsi="Times New Roman" w:cs="Times New Roman"/>
          <w:b/>
          <w:bCs/>
          <w:sz w:val="24"/>
          <w:szCs w:val="24"/>
        </w:rPr>
      </w:pPr>
    </w:p>
    <w:p w14:paraId="0000001C" w14:textId="77777777" w:rsidR="005250B4" w:rsidRDefault="005250B4" w:rsidP="00FF30B9">
      <w:pPr>
        <w:spacing w:line="360" w:lineRule="auto"/>
        <w:rPr>
          <w:rFonts w:ascii="Times New Roman" w:eastAsia="Times New Roman" w:hAnsi="Times New Roman" w:cs="Times New Roman"/>
          <w:b/>
          <w:bCs/>
          <w:sz w:val="24"/>
          <w:szCs w:val="24"/>
        </w:rPr>
      </w:pPr>
    </w:p>
    <w:p w14:paraId="0000001D" w14:textId="77777777" w:rsidR="005250B4" w:rsidRDefault="005250B4" w:rsidP="00FF30B9">
      <w:pPr>
        <w:spacing w:line="360" w:lineRule="auto"/>
        <w:rPr>
          <w:rFonts w:ascii="Times New Roman" w:eastAsia="Times New Roman" w:hAnsi="Times New Roman" w:cs="Times New Roman"/>
          <w:b/>
          <w:bCs/>
          <w:sz w:val="24"/>
          <w:szCs w:val="24"/>
        </w:rPr>
      </w:pPr>
    </w:p>
    <w:p w14:paraId="0000001E" w14:textId="4FA571E7" w:rsidR="005250B4" w:rsidRDefault="005250B4" w:rsidP="00FF30B9">
      <w:pPr>
        <w:spacing w:line="360" w:lineRule="auto"/>
        <w:rPr>
          <w:rFonts w:ascii="Times New Roman" w:eastAsia="Times New Roman" w:hAnsi="Times New Roman" w:cs="Times New Roman"/>
          <w:b/>
          <w:bCs/>
          <w:sz w:val="24"/>
          <w:szCs w:val="24"/>
        </w:rPr>
      </w:pPr>
    </w:p>
    <w:p w14:paraId="4381E8A1" w14:textId="672C7C23" w:rsidR="00E412CF" w:rsidRPr="00E412CF" w:rsidRDefault="00E412CF" w:rsidP="00E412CF">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Hypotheses</w:t>
      </w:r>
      <w:r w:rsidR="002C586C">
        <w:rPr>
          <w:rFonts w:ascii="Times New Roman" w:eastAsia="Times New Roman" w:hAnsi="Times New Roman" w:cs="Times New Roman"/>
          <w:b/>
          <w:bCs/>
          <w:sz w:val="24"/>
          <w:szCs w:val="24"/>
        </w:rPr>
        <w:t xml:space="preserve"> (Influence </w:t>
      </w:r>
      <w:proofErr w:type="gramStart"/>
      <w:r w:rsidR="002C586C">
        <w:rPr>
          <w:rFonts w:ascii="Times New Roman" w:eastAsia="Times New Roman" w:hAnsi="Times New Roman" w:cs="Times New Roman"/>
          <w:b/>
          <w:bCs/>
          <w:sz w:val="24"/>
          <w:szCs w:val="24"/>
        </w:rPr>
        <w:t>Of</w:t>
      </w:r>
      <w:proofErr w:type="gramEnd"/>
      <w:r w:rsidR="002C586C">
        <w:rPr>
          <w:rFonts w:ascii="Times New Roman" w:eastAsia="Times New Roman" w:hAnsi="Times New Roman" w:cs="Times New Roman"/>
          <w:b/>
          <w:bCs/>
          <w:sz w:val="24"/>
          <w:szCs w:val="24"/>
        </w:rPr>
        <w:t xml:space="preserve"> Age on Hypertension) </w:t>
      </w:r>
    </w:p>
    <w:p w14:paraId="7780AFF3" w14:textId="0894BA5D" w:rsidR="00E412CF"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Null hypothesis (H₀): </w:t>
      </w:r>
      <w:r w:rsidRPr="00E412CF">
        <w:rPr>
          <w:rFonts w:ascii="Times New Roman" w:eastAsia="Times New Roman" w:hAnsi="Times New Roman" w:cs="Times New Roman"/>
          <w:bCs/>
          <w:sz w:val="24"/>
          <w:szCs w:val="24"/>
        </w:rPr>
        <w:t xml:space="preserve">There is no difference in mean age between individuals with </w:t>
      </w:r>
      <w:r w:rsidRPr="00E412CF">
        <w:rPr>
          <w:rFonts w:ascii="Times New Roman" w:eastAsia="Times New Roman" w:hAnsi="Times New Roman" w:cs="Times New Roman"/>
          <w:bCs/>
          <w:sz w:val="24"/>
          <w:szCs w:val="24"/>
        </w:rPr>
        <w:t>hypertension and those without.</w:t>
      </w:r>
    </w:p>
    <w:p w14:paraId="190F88A8" w14:textId="1EEAF76A" w:rsidR="00FF30B9"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Alternative hypothesis (H₁): </w:t>
      </w:r>
      <w:r w:rsidRPr="00E412CF">
        <w:rPr>
          <w:rFonts w:ascii="Times New Roman" w:eastAsia="Times New Roman" w:hAnsi="Times New Roman" w:cs="Times New Roman"/>
          <w:bCs/>
          <w:sz w:val="24"/>
          <w:szCs w:val="24"/>
        </w:rPr>
        <w:t>There is a significant difference in mean age between the two groups</w:t>
      </w:r>
    </w:p>
    <w:p w14:paraId="35128582" w14:textId="2298ADEF" w:rsidR="00FF30B9" w:rsidRDefault="00FF30B9"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681"/>
        <w:gridCol w:w="871"/>
        <w:gridCol w:w="761"/>
        <w:gridCol w:w="866"/>
        <w:gridCol w:w="1681"/>
        <w:gridCol w:w="1471"/>
        <w:gridCol w:w="1165"/>
        <w:gridCol w:w="1456"/>
      </w:tblGrid>
      <w:tr w:rsidR="00E412CF" w:rsidRPr="00E412CF" w14:paraId="441955DF" w14:textId="77777777" w:rsidTr="00E412CF">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8E213AA"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Independent Samples T-Test</w:t>
            </w:r>
            <w:r w:rsidRPr="00E412CF">
              <w:rPr>
                <w:rFonts w:eastAsia="Times New Roman"/>
                <w:color w:val="000000"/>
                <w:sz w:val="18"/>
                <w:szCs w:val="18"/>
              </w:rPr>
              <w:t xml:space="preserve"> </w:t>
            </w:r>
          </w:p>
        </w:tc>
      </w:tr>
      <w:tr w:rsidR="00E412CF" w:rsidRPr="00E412CF" w14:paraId="6E14866E" w14:textId="77777777" w:rsidTr="00E412CF">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00222F" w14:textId="77777777" w:rsidR="00E412CF" w:rsidRPr="00E412CF" w:rsidRDefault="00E412CF" w:rsidP="00E412CF">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F2C1434"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0FF266" w14:textId="77777777" w:rsidR="00E412CF" w:rsidRPr="00E412CF" w:rsidRDefault="00E412CF" w:rsidP="00E412CF">
            <w:pPr>
              <w:spacing w:line="240" w:lineRule="auto"/>
              <w:jc w:val="center"/>
              <w:rPr>
                <w:rFonts w:eastAsia="Times New Roman"/>
                <w:color w:val="000000"/>
                <w:sz w:val="18"/>
                <w:szCs w:val="18"/>
              </w:rPr>
            </w:pPr>
            <w:proofErr w:type="spellStart"/>
            <w:r w:rsidRPr="00E412CF">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D2EEEC"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24B29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0E4496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E112F7"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A1750F"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Cohen's d</w:t>
            </w:r>
          </w:p>
        </w:tc>
      </w:tr>
      <w:tr w:rsidR="00E412CF" w:rsidRPr="00E412CF" w14:paraId="29009DC0" w14:textId="77777777" w:rsidTr="00E412CF">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4761CD4" w14:textId="77777777" w:rsidR="00E412CF" w:rsidRPr="00E412CF" w:rsidRDefault="00E412CF" w:rsidP="00E412CF">
            <w:pPr>
              <w:spacing w:after="144" w:line="240" w:lineRule="auto"/>
              <w:rPr>
                <w:rFonts w:eastAsia="Times New Roman"/>
                <w:color w:val="000000"/>
                <w:sz w:val="18"/>
                <w:szCs w:val="18"/>
              </w:rPr>
            </w:pPr>
            <w:r w:rsidRPr="00E412CF">
              <w:rPr>
                <w:rFonts w:eastAsia="Times New Roman"/>
                <w:color w:val="000000"/>
                <w:sz w:val="18"/>
                <w:szCs w:val="18"/>
              </w:rPr>
              <w:t>Age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23CB606"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-9.597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E1FE92F"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941843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&lt; .001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A3183"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-8.196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CA27E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0.854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169EDC2"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-0.431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D31CB1"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0.046</w:t>
            </w:r>
          </w:p>
        </w:tc>
      </w:tr>
      <w:tr w:rsidR="00E412CF" w:rsidRPr="00E412CF" w14:paraId="6C385D71" w14:textId="77777777" w:rsidTr="00E412CF">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17B0945C" w14:textId="77777777" w:rsidR="00E412CF" w:rsidRPr="00E412CF" w:rsidRDefault="00E412CF" w:rsidP="00E412CF">
            <w:pPr>
              <w:spacing w:after="144" w:line="240" w:lineRule="auto"/>
              <w:jc w:val="right"/>
              <w:rPr>
                <w:rFonts w:eastAsia="Times New Roman"/>
                <w:color w:val="000000"/>
                <w:sz w:val="18"/>
                <w:szCs w:val="18"/>
              </w:rPr>
            </w:pPr>
          </w:p>
        </w:tc>
      </w:tr>
      <w:tr w:rsidR="00E412CF" w:rsidRPr="00E412CF" w14:paraId="5E4EE7E0" w14:textId="77777777" w:rsidTr="00E412CF">
        <w:tc>
          <w:tcPr>
            <w:tcW w:w="0" w:type="auto"/>
            <w:gridSpan w:val="8"/>
            <w:tcBorders>
              <w:top w:val="nil"/>
              <w:left w:val="nil"/>
              <w:bottom w:val="nil"/>
              <w:right w:val="nil"/>
            </w:tcBorders>
            <w:tcMar>
              <w:top w:w="15" w:type="dxa"/>
              <w:left w:w="0" w:type="dxa"/>
              <w:bottom w:w="45" w:type="dxa"/>
              <w:right w:w="180" w:type="dxa"/>
            </w:tcMar>
            <w:vAlign w:val="center"/>
            <w:hideMark/>
          </w:tcPr>
          <w:p w14:paraId="4965B7F4"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Note.</w:t>
            </w:r>
            <w:r w:rsidRPr="00E412CF">
              <w:rPr>
                <w:rFonts w:eastAsia="Times New Roman"/>
                <w:color w:val="000000"/>
                <w:sz w:val="18"/>
                <w:szCs w:val="18"/>
              </w:rPr>
              <w:t xml:space="preserve">  Student's t-test.</w:t>
            </w:r>
          </w:p>
        </w:tc>
      </w:tr>
    </w:tbl>
    <w:p w14:paraId="0000001F" w14:textId="3AA698EA" w:rsidR="005250B4" w:rsidRDefault="005250B4" w:rsidP="00FF30B9">
      <w:pPr>
        <w:spacing w:line="360" w:lineRule="auto"/>
        <w:rPr>
          <w:rFonts w:ascii="Times New Roman" w:eastAsia="Times New Roman" w:hAnsi="Times New Roman" w:cs="Times New Roman"/>
          <w:b/>
          <w:bCs/>
          <w:sz w:val="24"/>
          <w:szCs w:val="24"/>
        </w:rPr>
      </w:pPr>
    </w:p>
    <w:p w14:paraId="08EFA95B" w14:textId="5DC5507E" w:rsidR="00E57844" w:rsidRDefault="00E412CF" w:rsidP="007E0F1D">
      <w:pPr>
        <w:spacing w:line="360" w:lineRule="auto"/>
        <w:jc w:val="both"/>
        <w:rPr>
          <w:rFonts w:ascii="Times New Roman" w:eastAsia="Times New Roman" w:hAnsi="Times New Roman" w:cs="Times New Roman"/>
          <w:bCs/>
          <w:sz w:val="24"/>
          <w:szCs w:val="24"/>
        </w:rPr>
      </w:pPr>
      <w:r w:rsidRPr="002C586C">
        <w:rPr>
          <w:rFonts w:ascii="Times New Roman" w:eastAsia="Times New Roman" w:hAnsi="Times New Roman" w:cs="Times New Roman"/>
          <w:bCs/>
          <w:sz w:val="24"/>
          <w:szCs w:val="24"/>
        </w:rPr>
        <w:t xml:space="preserve">The independent samples t-test indicates a statistically significant difference in age between </w:t>
      </w:r>
      <w:r w:rsidR="002C586C" w:rsidRPr="002C586C">
        <w:rPr>
          <w:rFonts w:ascii="Times New Roman" w:eastAsiaTheme="minorEastAsia" w:hAnsi="Times New Roman" w:cs="Times New Roman"/>
          <w:bCs/>
          <w:sz w:val="24"/>
          <w:szCs w:val="24"/>
        </w:rPr>
        <w:t>individuals</w:t>
      </w:r>
      <w:r w:rsidRPr="002C586C">
        <w:rPr>
          <w:rFonts w:ascii="Times New Roman" w:eastAsia="Times New Roman" w:hAnsi="Times New Roman" w:cs="Times New Roman"/>
          <w:bCs/>
          <w:sz w:val="24"/>
          <w:szCs w:val="24"/>
        </w:rPr>
        <w:t xml:space="preserve"> with and without hypertension. The result shows a large t-value (t = −9.597, </w:t>
      </w:r>
      <w:proofErr w:type="spellStart"/>
      <w:proofErr w:type="gramStart"/>
      <w:r w:rsidRPr="002C586C">
        <w:rPr>
          <w:rFonts w:ascii="Times New Roman" w:eastAsia="Times New Roman" w:hAnsi="Times New Roman" w:cs="Times New Roman"/>
          <w:bCs/>
          <w:sz w:val="24"/>
          <w:szCs w:val="24"/>
        </w:rPr>
        <w:t>df</w:t>
      </w:r>
      <w:proofErr w:type="spellEnd"/>
      <w:proofErr w:type="gramEnd"/>
      <w:r w:rsidRPr="002C586C">
        <w:rPr>
          <w:rFonts w:ascii="Times New Roman" w:eastAsia="Times New Roman" w:hAnsi="Times New Roman" w:cs="Times New Roman"/>
          <w:bCs/>
          <w:sz w:val="24"/>
          <w:szCs w:val="24"/>
        </w:rPr>
        <w:t xml:space="preserve"> = 1983, p &lt; .001), meaning the observed difference in mean age is highly unlikely to have occurred by chance. On average, individuals without hypertension are about 8.2 years younger than those with hypertension, as reflected in the mean difference. The effect size, Cohen’s d = −0.43, represents a moderate practical effect, indicating that the age difference is not only statistically significant but also meaningful in real-world terms. Overall, this finding supports age as an important factor associated with hypertension status in the dataset.</w:t>
      </w:r>
    </w:p>
    <w:p w14:paraId="75ADDB58" w14:textId="77777777" w:rsidR="002C586C" w:rsidRPr="002C586C" w:rsidRDefault="002C586C" w:rsidP="007E0F1D">
      <w:pPr>
        <w:spacing w:line="360" w:lineRule="auto"/>
        <w:jc w:val="both"/>
        <w:rPr>
          <w:rFonts w:ascii="Times New Roman" w:eastAsia="Times New Roman" w:hAnsi="Times New Roman" w:cs="Times New Roman"/>
          <w:bCs/>
          <w:sz w:val="24"/>
          <w:szCs w:val="24"/>
        </w:rPr>
      </w:pPr>
      <w:bookmarkStart w:id="1" w:name="_GoBack"/>
      <w:bookmarkEnd w:id="1"/>
    </w:p>
    <w:p w14:paraId="65A9C7FD" w14:textId="3D6A0FA6" w:rsidR="00E57844" w:rsidRDefault="00E57844" w:rsidP="00FF30B9">
      <w:pPr>
        <w:spacing w:line="360" w:lineRule="auto"/>
        <w:rPr>
          <w:rFonts w:ascii="Times New Roman" w:eastAsia="Times New Roman" w:hAnsi="Times New Roman" w:cs="Times New Roman"/>
          <w:b/>
          <w:bCs/>
          <w:sz w:val="24"/>
          <w:szCs w:val="24"/>
        </w:rPr>
      </w:pPr>
    </w:p>
    <w:p w14:paraId="28E72BDF" w14:textId="478AD850" w:rsidR="00E57844" w:rsidRDefault="00E57844" w:rsidP="00FF30B9">
      <w:pPr>
        <w:spacing w:line="360" w:lineRule="auto"/>
        <w:rPr>
          <w:rFonts w:ascii="Times New Roman" w:eastAsia="Times New Roman" w:hAnsi="Times New Roman" w:cs="Times New Roman"/>
          <w:b/>
          <w:bCs/>
          <w:sz w:val="24"/>
          <w:szCs w:val="24"/>
        </w:rPr>
      </w:pPr>
    </w:p>
    <w:p w14:paraId="349947C9" w14:textId="7763B1DF" w:rsidR="00E57844" w:rsidRDefault="00E57844" w:rsidP="00FF30B9">
      <w:pPr>
        <w:spacing w:line="360" w:lineRule="auto"/>
        <w:rPr>
          <w:rFonts w:ascii="Times New Roman" w:eastAsia="Times New Roman" w:hAnsi="Times New Roman" w:cs="Times New Roman"/>
          <w:b/>
          <w:bCs/>
          <w:sz w:val="24"/>
          <w:szCs w:val="24"/>
        </w:rPr>
      </w:pPr>
    </w:p>
    <w:p w14:paraId="46ABBFA2" w14:textId="45E37B00" w:rsidR="00E57844" w:rsidRDefault="00E57844" w:rsidP="00FF30B9">
      <w:pPr>
        <w:spacing w:line="360" w:lineRule="auto"/>
        <w:rPr>
          <w:rFonts w:ascii="Times New Roman" w:eastAsia="Times New Roman" w:hAnsi="Times New Roman" w:cs="Times New Roman"/>
          <w:b/>
          <w:bCs/>
          <w:sz w:val="24"/>
          <w:szCs w:val="24"/>
        </w:rPr>
      </w:pPr>
    </w:p>
    <w:p w14:paraId="42F27DF9" w14:textId="6BD7A487" w:rsidR="00E57844" w:rsidRDefault="00E57844" w:rsidP="00FF30B9">
      <w:pPr>
        <w:spacing w:line="360" w:lineRule="auto"/>
        <w:rPr>
          <w:rFonts w:ascii="Times New Roman" w:eastAsia="Times New Roman" w:hAnsi="Times New Roman" w:cs="Times New Roman"/>
          <w:b/>
          <w:bCs/>
          <w:sz w:val="24"/>
          <w:szCs w:val="24"/>
        </w:rPr>
      </w:pPr>
    </w:p>
    <w:p w14:paraId="4ACFBE89" w14:textId="1ECD7267" w:rsidR="00E57844" w:rsidRDefault="00E57844" w:rsidP="00FF30B9">
      <w:pPr>
        <w:spacing w:line="360" w:lineRule="auto"/>
        <w:rPr>
          <w:rFonts w:ascii="Times New Roman" w:eastAsia="Times New Roman" w:hAnsi="Times New Roman" w:cs="Times New Roman"/>
          <w:b/>
          <w:bCs/>
          <w:sz w:val="24"/>
          <w:szCs w:val="24"/>
        </w:rPr>
      </w:pPr>
    </w:p>
    <w:p w14:paraId="4AAA8AB8" w14:textId="0B98A29E" w:rsidR="00E57844" w:rsidRDefault="00E57844" w:rsidP="00FF30B9">
      <w:pPr>
        <w:spacing w:line="360" w:lineRule="auto"/>
        <w:rPr>
          <w:rFonts w:ascii="Times New Roman" w:eastAsia="Times New Roman" w:hAnsi="Times New Roman" w:cs="Times New Roman"/>
          <w:b/>
          <w:bCs/>
          <w:sz w:val="24"/>
          <w:szCs w:val="24"/>
        </w:rPr>
      </w:pPr>
    </w:p>
    <w:p w14:paraId="79A33ED8" w14:textId="06AECE32" w:rsidR="00E57844" w:rsidRDefault="00E57844" w:rsidP="00FF30B9">
      <w:pPr>
        <w:spacing w:line="360" w:lineRule="auto"/>
        <w:rPr>
          <w:rFonts w:ascii="Times New Roman" w:eastAsia="Times New Roman" w:hAnsi="Times New Roman" w:cs="Times New Roman"/>
          <w:b/>
          <w:bCs/>
          <w:sz w:val="24"/>
          <w:szCs w:val="24"/>
        </w:rPr>
      </w:pPr>
    </w:p>
    <w:p w14:paraId="7B291307" w14:textId="71CBDC97" w:rsidR="00E57844" w:rsidRDefault="00E57844" w:rsidP="00FF30B9">
      <w:pPr>
        <w:spacing w:line="360" w:lineRule="auto"/>
        <w:rPr>
          <w:rFonts w:ascii="Times New Roman" w:eastAsia="Times New Roman" w:hAnsi="Times New Roman" w:cs="Times New Roman"/>
          <w:b/>
          <w:bCs/>
          <w:sz w:val="24"/>
          <w:szCs w:val="24"/>
        </w:rPr>
      </w:pPr>
    </w:p>
    <w:p w14:paraId="34DA802C" w14:textId="3D73E071" w:rsidR="00E57844" w:rsidRDefault="00E57844" w:rsidP="00FF30B9">
      <w:pPr>
        <w:spacing w:line="360" w:lineRule="auto"/>
        <w:rPr>
          <w:rFonts w:ascii="Times New Roman" w:eastAsia="Times New Roman" w:hAnsi="Times New Roman" w:cs="Times New Roman"/>
          <w:b/>
          <w:bCs/>
          <w:sz w:val="24"/>
          <w:szCs w:val="24"/>
        </w:rPr>
      </w:pPr>
    </w:p>
    <w:p w14:paraId="21761B54" w14:textId="4B033BE8" w:rsidR="00E57844" w:rsidRDefault="00E57844" w:rsidP="00FF30B9">
      <w:pPr>
        <w:spacing w:line="360" w:lineRule="auto"/>
        <w:rPr>
          <w:rFonts w:ascii="Times New Roman" w:eastAsia="Times New Roman" w:hAnsi="Times New Roman" w:cs="Times New Roman"/>
          <w:b/>
          <w:bCs/>
          <w:sz w:val="24"/>
          <w:szCs w:val="24"/>
        </w:rPr>
      </w:pPr>
    </w:p>
    <w:p w14:paraId="561E1DAE" w14:textId="5C65735A" w:rsidR="00E57844" w:rsidRDefault="00E57844" w:rsidP="00FF30B9">
      <w:pPr>
        <w:spacing w:line="360" w:lineRule="auto"/>
        <w:rPr>
          <w:rFonts w:ascii="Times New Roman" w:eastAsia="Times New Roman" w:hAnsi="Times New Roman" w:cs="Times New Roman"/>
          <w:b/>
          <w:bCs/>
          <w:sz w:val="24"/>
          <w:szCs w:val="24"/>
        </w:rPr>
      </w:pPr>
    </w:p>
    <w:p w14:paraId="3B07270D" w14:textId="1C71F205" w:rsidR="00E57844" w:rsidRDefault="00E57844" w:rsidP="00FF30B9">
      <w:pPr>
        <w:spacing w:line="360" w:lineRule="auto"/>
        <w:rPr>
          <w:rFonts w:ascii="Times New Roman" w:eastAsia="Times New Roman" w:hAnsi="Times New Roman" w:cs="Times New Roman"/>
          <w:b/>
          <w:bCs/>
          <w:sz w:val="24"/>
          <w:szCs w:val="24"/>
        </w:rPr>
      </w:pPr>
    </w:p>
    <w:p w14:paraId="5A5E6A8E" w14:textId="732AA106" w:rsidR="00E57844" w:rsidRDefault="00E57844" w:rsidP="00FF30B9">
      <w:pPr>
        <w:spacing w:line="360" w:lineRule="auto"/>
        <w:rPr>
          <w:rFonts w:ascii="Times New Roman" w:eastAsia="Times New Roman" w:hAnsi="Times New Roman" w:cs="Times New Roman"/>
          <w:b/>
          <w:bCs/>
          <w:sz w:val="24"/>
          <w:szCs w:val="24"/>
        </w:rPr>
      </w:pPr>
    </w:p>
    <w:p w14:paraId="45706268" w14:textId="037C1A1C" w:rsidR="00E57844" w:rsidRDefault="00E57844" w:rsidP="00FF30B9">
      <w:pPr>
        <w:spacing w:line="360" w:lineRule="auto"/>
        <w:rPr>
          <w:rFonts w:ascii="Times New Roman" w:eastAsia="Times New Roman" w:hAnsi="Times New Roman" w:cs="Times New Roman"/>
          <w:b/>
          <w:bCs/>
          <w:sz w:val="24"/>
          <w:szCs w:val="24"/>
        </w:rPr>
      </w:pPr>
    </w:p>
    <w:p w14:paraId="4B024DFB" w14:textId="32767DA9" w:rsidR="00E57844" w:rsidRDefault="00E57844" w:rsidP="00FF30B9">
      <w:pPr>
        <w:spacing w:line="360" w:lineRule="auto"/>
        <w:rPr>
          <w:rFonts w:ascii="Times New Roman" w:eastAsia="Times New Roman" w:hAnsi="Times New Roman" w:cs="Times New Roman"/>
          <w:b/>
          <w:bCs/>
          <w:sz w:val="24"/>
          <w:szCs w:val="24"/>
        </w:rPr>
      </w:pPr>
    </w:p>
    <w:p w14:paraId="06BF9051" w14:textId="7E1037AF" w:rsidR="00E57844" w:rsidRDefault="00E57844" w:rsidP="00FF30B9">
      <w:pPr>
        <w:spacing w:line="360" w:lineRule="auto"/>
        <w:rPr>
          <w:rFonts w:ascii="Times New Roman" w:eastAsia="Times New Roman" w:hAnsi="Times New Roman" w:cs="Times New Roman"/>
          <w:b/>
          <w:bCs/>
          <w:sz w:val="24"/>
          <w:szCs w:val="24"/>
        </w:rPr>
      </w:pPr>
    </w:p>
    <w:p w14:paraId="4F35209F" w14:textId="44314AE7" w:rsidR="00E57844" w:rsidRDefault="00E57844" w:rsidP="00FF30B9">
      <w:pPr>
        <w:spacing w:line="360" w:lineRule="auto"/>
        <w:rPr>
          <w:rFonts w:ascii="Times New Roman" w:eastAsia="Times New Roman" w:hAnsi="Times New Roman" w:cs="Times New Roman"/>
          <w:b/>
          <w:bCs/>
          <w:sz w:val="24"/>
          <w:szCs w:val="24"/>
        </w:rPr>
      </w:pPr>
    </w:p>
    <w:p w14:paraId="32136346" w14:textId="77777777" w:rsidR="00E57844" w:rsidRDefault="00E57844" w:rsidP="00FF30B9">
      <w:pPr>
        <w:spacing w:line="360" w:lineRule="auto"/>
        <w:rPr>
          <w:rFonts w:ascii="Times New Roman" w:eastAsia="Times New Roman" w:hAnsi="Times New Roman" w:cs="Times New Roman"/>
          <w:b/>
          <w:bCs/>
          <w:sz w:val="24"/>
          <w:szCs w:val="24"/>
        </w:rPr>
      </w:pPr>
    </w:p>
    <w:p w14:paraId="00000020" w14:textId="77777777" w:rsidR="005250B4" w:rsidRDefault="005250B4" w:rsidP="00FF30B9">
      <w:pPr>
        <w:spacing w:line="360" w:lineRule="auto"/>
        <w:rPr>
          <w:rFonts w:ascii="Times New Roman" w:eastAsia="Times New Roman" w:hAnsi="Times New Roman" w:cs="Times New Roman"/>
          <w:b/>
          <w:bCs/>
          <w:sz w:val="24"/>
          <w:szCs w:val="24"/>
        </w:rPr>
      </w:pPr>
    </w:p>
    <w:p w14:paraId="00000021" w14:textId="77777777" w:rsidR="005250B4" w:rsidRDefault="005250B4" w:rsidP="00FF30B9">
      <w:pPr>
        <w:spacing w:line="360" w:lineRule="auto"/>
        <w:rPr>
          <w:rFonts w:ascii="Times New Roman" w:eastAsia="Times New Roman" w:hAnsi="Times New Roman" w:cs="Times New Roman"/>
          <w:b/>
          <w:bCs/>
          <w:sz w:val="24"/>
          <w:szCs w:val="24"/>
        </w:rPr>
      </w:pPr>
    </w:p>
    <w:p w14:paraId="00000022"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774-C305.S12). (2023). Oxford University Press eBooks. https://doi.org/10.1093/med/9780197584521.003.0304</w:t>
      </w:r>
    </w:p>
    <w:p w14:paraId="00000023"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4"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Koenig, H. G., </w:t>
      </w:r>
      <w:proofErr w:type="spellStart"/>
      <w:r w:rsidRPr="00E57844">
        <w:rPr>
          <w:rFonts w:ascii="Times New Roman" w:eastAsia="Times New Roman" w:hAnsi="Times New Roman" w:cs="Times New Roman"/>
          <w:bCs/>
          <w:sz w:val="24"/>
          <w:szCs w:val="24"/>
        </w:rPr>
        <w:t>VanderWeele</w:t>
      </w:r>
      <w:proofErr w:type="spellEnd"/>
      <w:r w:rsidRPr="00E57844">
        <w:rPr>
          <w:rFonts w:ascii="Times New Roman" w:eastAsia="Times New Roman" w:hAnsi="Times New Roman" w:cs="Times New Roman"/>
          <w:bCs/>
          <w:sz w:val="24"/>
          <w:szCs w:val="24"/>
        </w:rPr>
        <w:t xml:space="preserve">, T. J., &amp; </w:t>
      </w:r>
      <w:proofErr w:type="spellStart"/>
      <w:r w:rsidRPr="00E57844">
        <w:rPr>
          <w:rFonts w:ascii="Times New Roman" w:eastAsia="Times New Roman" w:hAnsi="Times New Roman" w:cs="Times New Roman"/>
          <w:bCs/>
          <w:sz w:val="24"/>
          <w:szCs w:val="24"/>
        </w:rPr>
        <w:t>Peteet</w:t>
      </w:r>
      <w:proofErr w:type="spellEnd"/>
      <w:r w:rsidRPr="00E57844">
        <w:rPr>
          <w:rFonts w:ascii="Times New Roman" w:eastAsia="Times New Roman" w:hAnsi="Times New Roman" w:cs="Times New Roman"/>
          <w:bCs/>
          <w:sz w:val="24"/>
          <w:szCs w:val="24"/>
        </w:rPr>
        <w:t xml:space="preserve">, J. R.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397–415). Oxford University Press. https://doi.org/10.1093/oso/9780190088859.003.0021</w:t>
      </w:r>
    </w:p>
    <w:p w14:paraId="00000025"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6"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Dagher</w:t>
      </w:r>
      <w:proofErr w:type="spellEnd"/>
      <w:r w:rsidRPr="00E57844">
        <w:rPr>
          <w:rFonts w:ascii="Times New Roman" w:eastAsia="Times New Roman" w:hAnsi="Times New Roman" w:cs="Times New Roman"/>
          <w:bCs/>
          <w:sz w:val="24"/>
          <w:szCs w:val="24"/>
        </w:rPr>
        <w:t xml:space="preserve">, T. H., &amp; Beck, L.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260–261). Oxford University Press. https</w:t>
      </w:r>
      <w:r w:rsidRPr="00E57844">
        <w:rPr>
          <w:rFonts w:ascii="Times New Roman" w:eastAsia="Times New Roman" w:hAnsi="Times New Roman" w:cs="Times New Roman"/>
          <w:bCs/>
          <w:sz w:val="24"/>
          <w:szCs w:val="24"/>
        </w:rPr>
        <w:t>://doi.org/10.1093/med/9780197584569.003.0104</w:t>
      </w:r>
    </w:p>
    <w:p w14:paraId="00000027"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8"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Burnier</w:t>
      </w:r>
      <w:proofErr w:type="spellEnd"/>
      <w:r w:rsidRPr="00E57844">
        <w:rPr>
          <w:rFonts w:ascii="Times New Roman" w:eastAsia="Times New Roman" w:hAnsi="Times New Roman" w:cs="Times New Roman"/>
          <w:bCs/>
          <w:sz w:val="24"/>
          <w:szCs w:val="24"/>
        </w:rPr>
        <w:t xml:space="preserve">, M., &amp; </w:t>
      </w:r>
      <w:proofErr w:type="spellStart"/>
      <w:r w:rsidRPr="00E57844">
        <w:rPr>
          <w:rFonts w:ascii="Times New Roman" w:eastAsia="Times New Roman" w:hAnsi="Times New Roman" w:cs="Times New Roman"/>
          <w:bCs/>
          <w:sz w:val="24"/>
          <w:szCs w:val="24"/>
        </w:rPr>
        <w:t>Wuerzner</w:t>
      </w:r>
      <w:proofErr w:type="spellEnd"/>
      <w:r w:rsidRPr="00E57844">
        <w:rPr>
          <w:rFonts w:ascii="Times New Roman" w:eastAsia="Times New Roman" w:hAnsi="Times New Roman" w:cs="Times New Roman"/>
          <w:bCs/>
          <w:sz w:val="24"/>
          <w:szCs w:val="24"/>
        </w:rPr>
        <w:t xml:space="preserve">, G. (2015). </w:t>
      </w:r>
      <w:r w:rsidRPr="00E57844">
        <w:rPr>
          <w:rFonts w:ascii="Times New Roman" w:eastAsia="Times New Roman" w:hAnsi="Times New Roman" w:cs="Times New Roman"/>
          <w:bCs/>
          <w:i/>
          <w:iCs/>
          <w:sz w:val="24"/>
          <w:szCs w:val="24"/>
        </w:rPr>
        <w:t>Pathophysiology of Hypertension</w:t>
      </w:r>
      <w:r w:rsidRPr="00E57844">
        <w:rPr>
          <w:rFonts w:ascii="Times New Roman" w:eastAsia="Times New Roman" w:hAnsi="Times New Roman" w:cs="Times New Roman"/>
          <w:bCs/>
          <w:sz w:val="24"/>
          <w:szCs w:val="24"/>
        </w:rPr>
        <w:t xml:space="preserve"> (pp. 655–683). </w:t>
      </w:r>
      <w:proofErr w:type="spellStart"/>
      <w:r w:rsidRPr="00E57844">
        <w:rPr>
          <w:rFonts w:ascii="Times New Roman" w:eastAsia="Times New Roman" w:hAnsi="Times New Roman" w:cs="Times New Roman"/>
          <w:bCs/>
          <w:sz w:val="24"/>
          <w:szCs w:val="24"/>
        </w:rPr>
        <w:t>Adis</w:t>
      </w:r>
      <w:proofErr w:type="spellEnd"/>
      <w:r w:rsidRPr="00E57844">
        <w:rPr>
          <w:rFonts w:ascii="Times New Roman" w:eastAsia="Times New Roman" w:hAnsi="Times New Roman" w:cs="Times New Roman"/>
          <w:bCs/>
          <w:sz w:val="24"/>
          <w:szCs w:val="24"/>
        </w:rPr>
        <w:t>, Cham. https://doi.org/10.1007/978-3-319-15961-4_31</w:t>
      </w:r>
    </w:p>
    <w:p w14:paraId="00000029"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A"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Mazhar</w:t>
      </w:r>
      <w:proofErr w:type="spellEnd"/>
      <w:r w:rsidRPr="00E57844">
        <w:rPr>
          <w:rFonts w:ascii="Times New Roman" w:eastAsia="Times New Roman" w:hAnsi="Times New Roman" w:cs="Times New Roman"/>
          <w:bCs/>
          <w:sz w:val="24"/>
          <w:szCs w:val="24"/>
        </w:rPr>
        <w:t>, S., Rafi, U., &amp; Noreen, A. (2023). Hypertension: Causes, Sym</w:t>
      </w:r>
      <w:r w:rsidRPr="00E57844">
        <w:rPr>
          <w:rFonts w:ascii="Times New Roman" w:eastAsia="Times New Roman" w:hAnsi="Times New Roman" w:cs="Times New Roman"/>
          <w:bCs/>
          <w:sz w:val="24"/>
          <w:szCs w:val="24"/>
        </w:rPr>
        <w:t xml:space="preserve">ptoms, Treatment and Prevention. </w:t>
      </w:r>
      <w:r w:rsidRPr="00E57844">
        <w:rPr>
          <w:rFonts w:ascii="Times New Roman" w:eastAsia="Times New Roman" w:hAnsi="Times New Roman" w:cs="Times New Roman"/>
          <w:bCs/>
          <w:i/>
          <w:iCs/>
          <w:sz w:val="24"/>
          <w:szCs w:val="24"/>
        </w:rPr>
        <w:t>Pakistan Biomedical Journal</w:t>
      </w:r>
      <w:r w:rsidRPr="00E57844">
        <w:rPr>
          <w:rFonts w:ascii="Times New Roman" w:eastAsia="Times New Roman" w:hAnsi="Times New Roman" w:cs="Times New Roman"/>
          <w:bCs/>
          <w:sz w:val="24"/>
          <w:szCs w:val="24"/>
        </w:rPr>
        <w:t>, 02–07. https://doi.org/10.54393/pbmj.v6i04.858</w:t>
      </w:r>
    </w:p>
    <w:p w14:paraId="0000002B"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C"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Mirza, M., </w:t>
      </w:r>
      <w:proofErr w:type="spellStart"/>
      <w:r w:rsidRPr="00E57844">
        <w:rPr>
          <w:rFonts w:ascii="Times New Roman" w:eastAsia="Times New Roman" w:hAnsi="Times New Roman" w:cs="Times New Roman"/>
          <w:bCs/>
          <w:sz w:val="24"/>
          <w:szCs w:val="24"/>
        </w:rPr>
        <w:t>Nishath</w:t>
      </w:r>
      <w:proofErr w:type="spellEnd"/>
      <w:r w:rsidRPr="00E57844">
        <w:rPr>
          <w:rFonts w:ascii="Times New Roman" w:eastAsia="Times New Roman" w:hAnsi="Times New Roman" w:cs="Times New Roman"/>
          <w:bCs/>
          <w:sz w:val="24"/>
          <w:szCs w:val="24"/>
        </w:rPr>
        <w:t xml:space="preserve">, S. H., &amp; Saeed, F. U. (2024). The Silent Storm: Understanding Hypertension. </w:t>
      </w:r>
      <w:r w:rsidRPr="00E57844">
        <w:rPr>
          <w:rFonts w:ascii="Times New Roman" w:eastAsia="Times New Roman" w:hAnsi="Times New Roman" w:cs="Times New Roman"/>
          <w:bCs/>
          <w:i/>
          <w:iCs/>
          <w:sz w:val="24"/>
          <w:szCs w:val="24"/>
        </w:rPr>
        <w:t>International Journal of Innovative Science and Re</w:t>
      </w:r>
      <w:r w:rsidRPr="00E57844">
        <w:rPr>
          <w:rFonts w:ascii="Times New Roman" w:eastAsia="Times New Roman" w:hAnsi="Times New Roman" w:cs="Times New Roman"/>
          <w:bCs/>
          <w:i/>
          <w:iCs/>
          <w:sz w:val="24"/>
          <w:szCs w:val="24"/>
        </w:rPr>
        <w:t>search Technology</w:t>
      </w:r>
      <w:r w:rsidRPr="00E57844">
        <w:rPr>
          <w:rFonts w:ascii="Times New Roman" w:eastAsia="Times New Roman" w:hAnsi="Times New Roman" w:cs="Times New Roman"/>
          <w:bCs/>
          <w:sz w:val="24"/>
          <w:szCs w:val="24"/>
        </w:rPr>
        <w:t>, 3405–3415. https://doi.org/10.38124/ijisrt/ijisrt24apr1387</w:t>
      </w:r>
    </w:p>
    <w:p w14:paraId="0000002D"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E"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Thalib</w:t>
      </w:r>
      <w:proofErr w:type="spellEnd"/>
      <w:r w:rsidRPr="00E57844">
        <w:rPr>
          <w:rFonts w:ascii="Times New Roman" w:eastAsia="Times New Roman" w:hAnsi="Times New Roman" w:cs="Times New Roman"/>
          <w:bCs/>
          <w:sz w:val="24"/>
          <w:szCs w:val="24"/>
        </w:rPr>
        <w:t xml:space="preserve">, A. (2025). </w:t>
      </w:r>
      <w:r w:rsidRPr="00E57844">
        <w:rPr>
          <w:rFonts w:ascii="Times New Roman" w:eastAsia="Times New Roman" w:hAnsi="Times New Roman" w:cs="Times New Roman"/>
          <w:bCs/>
          <w:i/>
          <w:iCs/>
          <w:sz w:val="24"/>
          <w:szCs w:val="24"/>
        </w:rPr>
        <w:t xml:space="preserve">Hypertension Causes, Impacts, and Control Strategies </w:t>
      </w:r>
      <w:proofErr w:type="gramStart"/>
      <w:r w:rsidRPr="00E57844">
        <w:rPr>
          <w:rFonts w:ascii="Times New Roman" w:eastAsia="Times New Roman" w:hAnsi="Times New Roman" w:cs="Times New Roman"/>
          <w:bCs/>
          <w:i/>
          <w:iCs/>
          <w:sz w:val="24"/>
          <w:szCs w:val="24"/>
        </w:rPr>
        <w:t>In</w:t>
      </w:r>
      <w:proofErr w:type="gramEnd"/>
      <w:r w:rsidRPr="00E57844">
        <w:rPr>
          <w:rFonts w:ascii="Times New Roman" w:eastAsia="Times New Roman" w:hAnsi="Times New Roman" w:cs="Times New Roman"/>
          <w:bCs/>
          <w:i/>
          <w:iCs/>
          <w:sz w:val="24"/>
          <w:szCs w:val="24"/>
        </w:rPr>
        <w:t xml:space="preserve"> The Modern Era</w:t>
      </w:r>
      <w:r w:rsidRPr="00E57844">
        <w:rPr>
          <w:rFonts w:ascii="Times New Roman" w:eastAsia="Times New Roman" w:hAnsi="Times New Roman" w:cs="Times New Roman"/>
          <w:bCs/>
          <w:sz w:val="24"/>
          <w:szCs w:val="24"/>
        </w:rPr>
        <w:t xml:space="preserve">. </w:t>
      </w:r>
      <w:r w:rsidRPr="00E57844">
        <w:rPr>
          <w:rFonts w:ascii="Times New Roman" w:eastAsia="Times New Roman" w:hAnsi="Times New Roman" w:cs="Times New Roman"/>
          <w:bCs/>
          <w:i/>
          <w:iCs/>
          <w:sz w:val="24"/>
          <w:szCs w:val="24"/>
        </w:rPr>
        <w:t>2</w:t>
      </w:r>
      <w:r w:rsidRPr="00E57844">
        <w:rPr>
          <w:rFonts w:ascii="Times New Roman" w:eastAsia="Times New Roman" w:hAnsi="Times New Roman" w:cs="Times New Roman"/>
          <w:bCs/>
          <w:sz w:val="24"/>
          <w:szCs w:val="24"/>
        </w:rPr>
        <w:t>(1: February), 12–19. https://doi.org/10.64914/249e0j45</w:t>
      </w:r>
    </w:p>
    <w:p w14:paraId="0000002F" w14:textId="77777777" w:rsidR="005250B4" w:rsidRDefault="005250B4" w:rsidP="00FF30B9">
      <w:pPr>
        <w:spacing w:line="360" w:lineRule="auto"/>
        <w:rPr>
          <w:rFonts w:ascii="Times New Roman" w:eastAsia="Times New Roman" w:hAnsi="Times New Roman" w:cs="Times New Roman"/>
          <w:b/>
          <w:bCs/>
          <w:sz w:val="24"/>
          <w:szCs w:val="24"/>
        </w:rPr>
      </w:pPr>
    </w:p>
    <w:sectPr w:rsidR="005250B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9A24DFCA-E7B2-4335-950D-6170434A9EE8}"/>
    <w:embedBold r:id="rId2" w:fontKey="{7378C473-B3AE-46A0-AECC-032C33E5827B}"/>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8B6F3D1C-C1DD-4422-B605-C33D8D8D16C1}"/>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CBD388F"/>
    <w:multiLevelType w:val="hybridMultilevel"/>
    <w:tmpl w:val="E5B61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50B4"/>
    <w:rsid w:val="002C586C"/>
    <w:rsid w:val="005250B4"/>
    <w:rsid w:val="005C6120"/>
    <w:rsid w:val="007E0F1D"/>
    <w:rsid w:val="008C2EAC"/>
    <w:rsid w:val="00E412CF"/>
    <w:rsid w:val="00E57844"/>
    <w:rsid w:val="00FF30B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30528"/>
  <w15:docId w15:val="{5E27C125-6CE6-4E7E-ACE2-77D528BB3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MS Mincho" w:hAnsi="Arial" w:cs="Arial"/>
        <w:sz w:val="22"/>
        <w:szCs w:val="22"/>
        <w:lang w:val="en-GB"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rFonts w:eastAsia="Arial"/>
      <w:color w:val="666666"/>
      <w:sz w:val="30"/>
      <w:szCs w:val="30"/>
    </w:rPr>
  </w:style>
  <w:style w:type="paragraph" w:styleId="ListParagraph">
    <w:name w:val="List Paragraph"/>
    <w:basedOn w:val="Normal"/>
    <w:uiPriority w:val="34"/>
    <w:qFormat/>
    <w:rsid w:val="00E412CF"/>
    <w:pPr>
      <w:ind w:left="720"/>
      <w:contextualSpacing/>
    </w:pPr>
  </w:style>
  <w:style w:type="character" w:customStyle="1" w:styleId="in-toolbar">
    <w:name w:val="in-toolbar"/>
    <w:basedOn w:val="DefaultParagraphFont"/>
    <w:rsid w:val="00E412CF"/>
  </w:style>
  <w:style w:type="character" w:styleId="Emphasis">
    <w:name w:val="Emphasis"/>
    <w:basedOn w:val="DefaultParagraphFont"/>
    <w:uiPriority w:val="20"/>
    <w:qFormat/>
    <w:rsid w:val="00E412C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7344512">
      <w:bodyDiv w:val="1"/>
      <w:marLeft w:val="0"/>
      <w:marRight w:val="0"/>
      <w:marTop w:val="0"/>
      <w:marBottom w:val="0"/>
      <w:divBdr>
        <w:top w:val="none" w:sz="0" w:space="0" w:color="auto"/>
        <w:left w:val="none" w:sz="0" w:space="0" w:color="auto"/>
        <w:bottom w:val="none" w:sz="0" w:space="0" w:color="auto"/>
        <w:right w:val="none" w:sz="0" w:space="0" w:color="auto"/>
      </w:divBdr>
    </w:div>
    <w:div w:id="1274941079">
      <w:bodyDiv w:val="1"/>
      <w:marLeft w:val="0"/>
      <w:marRight w:val="0"/>
      <w:marTop w:val="0"/>
      <w:marBottom w:val="0"/>
      <w:divBdr>
        <w:top w:val="none" w:sz="0" w:space="0" w:color="auto"/>
        <w:left w:val="none" w:sz="0" w:space="0" w:color="auto"/>
        <w:bottom w:val="none" w:sz="0" w:space="0" w:color="auto"/>
        <w:right w:val="none" w:sz="0" w:space="0" w:color="auto"/>
      </w:divBdr>
      <w:divsChild>
        <w:div w:id="1760180200">
          <w:marLeft w:val="0"/>
          <w:marRight w:val="108"/>
          <w:marTop w:val="18"/>
          <w:marBottom w:val="108"/>
          <w:divBdr>
            <w:top w:val="none" w:sz="0" w:space="0" w:color="auto"/>
            <w:left w:val="none" w:sz="0" w:space="0" w:color="auto"/>
            <w:bottom w:val="none" w:sz="0" w:space="0" w:color="auto"/>
            <w:right w:val="none" w:sz="0" w:space="0" w:color="auto"/>
          </w:divBdr>
          <w:divsChild>
            <w:div w:id="1417903542">
              <w:marLeft w:val="0"/>
              <w:marRight w:val="0"/>
              <w:marTop w:val="0"/>
              <w:marBottom w:val="0"/>
              <w:divBdr>
                <w:top w:val="none" w:sz="0" w:space="0" w:color="auto"/>
                <w:left w:val="none" w:sz="0" w:space="0" w:color="auto"/>
                <w:bottom w:val="none" w:sz="0" w:space="0" w:color="auto"/>
                <w:right w:val="none" w:sz="0" w:space="0" w:color="auto"/>
              </w:divBdr>
              <w:divsChild>
                <w:div w:id="1107386587">
                  <w:marLeft w:val="0"/>
                  <w:marRight w:val="0"/>
                  <w:marTop w:val="0"/>
                  <w:marBottom w:val="0"/>
                  <w:divBdr>
                    <w:top w:val="none" w:sz="0" w:space="0" w:color="auto"/>
                    <w:left w:val="none" w:sz="0" w:space="0" w:color="auto"/>
                    <w:bottom w:val="none" w:sz="0" w:space="0" w:color="auto"/>
                    <w:right w:val="none" w:sz="0" w:space="0" w:color="auto"/>
                  </w:divBdr>
                  <w:divsChild>
                    <w:div w:id="977999056">
                      <w:marLeft w:val="0"/>
                      <w:marRight w:val="0"/>
                      <w:marTop w:val="0"/>
                      <w:marBottom w:val="0"/>
                      <w:divBdr>
                        <w:top w:val="none" w:sz="0" w:space="0" w:color="auto"/>
                        <w:left w:val="none" w:sz="0" w:space="0" w:color="auto"/>
                        <w:bottom w:val="none" w:sz="0" w:space="0" w:color="auto"/>
                        <w:right w:val="none" w:sz="0" w:space="0" w:color="auto"/>
                      </w:divBdr>
                      <w:divsChild>
                        <w:div w:id="126067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09928">
      <w:bodyDiv w:val="1"/>
      <w:marLeft w:val="0"/>
      <w:marRight w:val="0"/>
      <w:marTop w:val="0"/>
      <w:marBottom w:val="0"/>
      <w:divBdr>
        <w:top w:val="none" w:sz="0" w:space="0" w:color="auto"/>
        <w:left w:val="none" w:sz="0" w:space="0" w:color="auto"/>
        <w:bottom w:val="none" w:sz="0" w:space="0" w:color="auto"/>
        <w:right w:val="none" w:sz="0" w:space="0" w:color="auto"/>
      </w:divBdr>
    </w:div>
    <w:div w:id="1610547814">
      <w:bodyDiv w:val="1"/>
      <w:marLeft w:val="0"/>
      <w:marRight w:val="0"/>
      <w:marTop w:val="0"/>
      <w:marBottom w:val="0"/>
      <w:divBdr>
        <w:top w:val="none" w:sz="0" w:space="0" w:color="auto"/>
        <w:left w:val="none" w:sz="0" w:space="0" w:color="auto"/>
        <w:bottom w:val="none" w:sz="0" w:space="0" w:color="auto"/>
        <w:right w:val="none" w:sz="0" w:space="0" w:color="auto"/>
      </w:divBdr>
      <w:divsChild>
        <w:div w:id="264459950">
          <w:marLeft w:val="0"/>
          <w:marRight w:val="108"/>
          <w:marTop w:val="18"/>
          <w:marBottom w:val="108"/>
          <w:divBdr>
            <w:top w:val="none" w:sz="0" w:space="0" w:color="auto"/>
            <w:left w:val="none" w:sz="0" w:space="0" w:color="auto"/>
            <w:bottom w:val="none" w:sz="0" w:space="0" w:color="auto"/>
            <w:right w:val="none" w:sz="0" w:space="0" w:color="auto"/>
          </w:divBdr>
          <w:divsChild>
            <w:div w:id="1240167686">
              <w:marLeft w:val="0"/>
              <w:marRight w:val="0"/>
              <w:marTop w:val="0"/>
              <w:marBottom w:val="0"/>
              <w:divBdr>
                <w:top w:val="none" w:sz="0" w:space="0" w:color="auto"/>
                <w:left w:val="none" w:sz="0" w:space="0" w:color="auto"/>
                <w:bottom w:val="none" w:sz="0" w:space="0" w:color="auto"/>
                <w:right w:val="none" w:sz="0" w:space="0" w:color="auto"/>
              </w:divBdr>
              <w:divsChild>
                <w:div w:id="98188764">
                  <w:marLeft w:val="0"/>
                  <w:marRight w:val="0"/>
                  <w:marTop w:val="0"/>
                  <w:marBottom w:val="0"/>
                  <w:divBdr>
                    <w:top w:val="none" w:sz="0" w:space="0" w:color="auto"/>
                    <w:left w:val="none" w:sz="0" w:space="0" w:color="auto"/>
                    <w:bottom w:val="none" w:sz="0" w:space="0" w:color="auto"/>
                    <w:right w:val="none" w:sz="0" w:space="0" w:color="auto"/>
                  </w:divBdr>
                  <w:divsChild>
                    <w:div w:id="1186481962">
                      <w:marLeft w:val="0"/>
                      <w:marRight w:val="0"/>
                      <w:marTop w:val="0"/>
                      <w:marBottom w:val="0"/>
                      <w:divBdr>
                        <w:top w:val="none" w:sz="0" w:space="0" w:color="auto"/>
                        <w:left w:val="none" w:sz="0" w:space="0" w:color="auto"/>
                        <w:bottom w:val="none" w:sz="0" w:space="0" w:color="auto"/>
                        <w:right w:val="none" w:sz="0" w:space="0" w:color="auto"/>
                      </w:divBdr>
                      <w:divsChild>
                        <w:div w:id="8861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48632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1286</TotalTime>
  <Pages>7</Pages>
  <Words>1710</Words>
  <Characters>9752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2</cp:revision>
  <dcterms:created xsi:type="dcterms:W3CDTF">2025-12-16T17:47:00Z</dcterms:created>
  <dcterms:modified xsi:type="dcterms:W3CDTF">2025-12-17T15:13:00Z</dcterms:modified>
</cp:coreProperties>
</file>