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E7401">
      <w:pPr>
        <w:spacing w:line="360" w:lineRule="auto"/>
        <w:jc w:val="center"/>
        <w:rPr>
          <w:rFonts w:hint="default" w:eastAsia="Times New Roman" w:cs="Times New Roman" w:asciiTheme="minorAscii" w:hAnsiTheme="minorAscii"/>
          <w:b/>
          <w:bCs/>
          <w:sz w:val="24"/>
          <w:szCs w:val="24"/>
        </w:rPr>
      </w:pPr>
      <w:r>
        <w:rPr>
          <w:rFonts w:hint="default" w:eastAsia="Times New Roman" w:cs="Times New Roman" w:asciiTheme="minorAscii" w:hAnsiTheme="minorAscii"/>
          <w:b/>
          <w:bCs/>
          <w:sz w:val="24"/>
          <w:szCs w:val="24"/>
        </w:rPr>
        <w:t>DETERMINANTS AND PREDICTION OF HYPERTENSION: A STATISTICAL AND MACHINE LEARNING APPROACH</w:t>
      </w:r>
    </w:p>
    <w:p w14:paraId="1A0AD68F">
      <w:pPr>
        <w:spacing w:line="360" w:lineRule="auto"/>
        <w:jc w:val="both"/>
        <w:rPr>
          <w:rFonts w:hint="default" w:eastAsia="Times New Roman" w:cs="Times New Roman" w:asciiTheme="minorAscii" w:hAnsiTheme="minorAscii"/>
          <w:b/>
          <w:bCs/>
          <w:sz w:val="22"/>
          <w:szCs w:val="22"/>
        </w:rPr>
      </w:pPr>
    </w:p>
    <w:p w14:paraId="27A93F14">
      <w:pPr>
        <w:spacing w:line="360" w:lineRule="auto"/>
        <w:jc w:val="both"/>
        <w:rPr>
          <w:rFonts w:hint="default" w:eastAsia="Times New Roman" w:cs="Times New Roman" w:asciiTheme="minorAscii" w:hAnsiTheme="minorAscii"/>
          <w:b/>
          <w:bCs/>
          <w:sz w:val="22"/>
          <w:szCs w:val="22"/>
        </w:rPr>
      </w:pPr>
    </w:p>
    <w:p w14:paraId="5D4F6474">
      <w:pPr>
        <w:spacing w:line="360" w:lineRule="auto"/>
        <w:jc w:val="both"/>
        <w:rPr>
          <w:rFonts w:hint="default" w:eastAsia="Times New Roman" w:cs="Times New Roman" w:asciiTheme="minorAscii" w:hAnsiTheme="minorAscii"/>
          <w:b/>
          <w:bCs/>
          <w:sz w:val="22"/>
          <w:szCs w:val="22"/>
        </w:rPr>
      </w:pPr>
    </w:p>
    <w:p w14:paraId="6DF123AA">
      <w:pPr>
        <w:spacing w:line="360" w:lineRule="auto"/>
        <w:jc w:val="both"/>
        <w:rPr>
          <w:rFonts w:hint="default" w:eastAsia="Times New Roman" w:cs="Times New Roman" w:asciiTheme="minorAscii" w:hAnsiTheme="minorAscii"/>
          <w:b/>
          <w:bCs/>
          <w:sz w:val="22"/>
          <w:szCs w:val="22"/>
        </w:rPr>
      </w:pPr>
    </w:p>
    <w:p w14:paraId="2161C0BE">
      <w:pPr>
        <w:spacing w:line="360" w:lineRule="auto"/>
        <w:jc w:val="both"/>
        <w:rPr>
          <w:rFonts w:hint="default" w:eastAsia="Times New Roman" w:cs="Times New Roman" w:asciiTheme="minorAscii" w:hAnsiTheme="minorAscii"/>
          <w:b/>
          <w:bCs/>
          <w:sz w:val="22"/>
          <w:szCs w:val="22"/>
        </w:rPr>
      </w:pPr>
    </w:p>
    <w:p w14:paraId="1FDA1A6A">
      <w:pPr>
        <w:spacing w:line="360" w:lineRule="auto"/>
        <w:jc w:val="center"/>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DATA SCIENTIST: OMOROWA EDWIN</w:t>
      </w:r>
    </w:p>
    <w:p w14:paraId="1FCF7090">
      <w:pPr>
        <w:spacing w:line="360" w:lineRule="auto"/>
        <w:jc w:val="both"/>
        <w:rPr>
          <w:rFonts w:hint="default" w:eastAsia="Times New Roman" w:cs="Times New Roman" w:asciiTheme="minorAscii" w:hAnsiTheme="minorAscii"/>
          <w:b/>
          <w:bCs/>
          <w:sz w:val="22"/>
          <w:szCs w:val="22"/>
        </w:rPr>
      </w:pPr>
    </w:p>
    <w:p w14:paraId="5636C406">
      <w:pPr>
        <w:spacing w:line="360" w:lineRule="auto"/>
        <w:jc w:val="both"/>
        <w:rPr>
          <w:rFonts w:hint="default" w:eastAsia="Times New Roman" w:cs="Times New Roman" w:asciiTheme="minorAscii" w:hAnsiTheme="minorAscii"/>
          <w:b/>
          <w:bCs/>
          <w:sz w:val="22"/>
          <w:szCs w:val="22"/>
        </w:rPr>
      </w:pPr>
    </w:p>
    <w:p w14:paraId="6CDE4A56">
      <w:pPr>
        <w:spacing w:line="360" w:lineRule="auto"/>
        <w:jc w:val="both"/>
        <w:rPr>
          <w:rFonts w:hint="default" w:eastAsia="Times New Roman" w:cs="Times New Roman" w:asciiTheme="minorAscii" w:hAnsiTheme="minorAscii"/>
          <w:b/>
          <w:bCs/>
          <w:sz w:val="22"/>
          <w:szCs w:val="22"/>
        </w:rPr>
      </w:pPr>
    </w:p>
    <w:p w14:paraId="4AB07ED8">
      <w:pPr>
        <w:spacing w:line="360" w:lineRule="auto"/>
        <w:jc w:val="both"/>
        <w:rPr>
          <w:rFonts w:hint="default" w:eastAsia="Times New Roman" w:cs="Times New Roman" w:asciiTheme="minorAscii" w:hAnsiTheme="minorAscii"/>
          <w:b/>
          <w:bCs/>
          <w:sz w:val="22"/>
          <w:szCs w:val="22"/>
        </w:rPr>
      </w:pPr>
    </w:p>
    <w:p w14:paraId="24D82B5F">
      <w:pPr>
        <w:spacing w:line="360" w:lineRule="auto"/>
        <w:jc w:val="both"/>
        <w:rPr>
          <w:rFonts w:hint="default" w:eastAsia="Times New Roman" w:cs="Times New Roman" w:asciiTheme="minorAscii" w:hAnsiTheme="minorAscii"/>
          <w:b/>
          <w:bCs/>
          <w:sz w:val="22"/>
          <w:szCs w:val="22"/>
        </w:rPr>
      </w:pPr>
    </w:p>
    <w:p w14:paraId="75F748D0">
      <w:pPr>
        <w:spacing w:line="360" w:lineRule="auto"/>
        <w:jc w:val="both"/>
        <w:rPr>
          <w:rFonts w:hint="default" w:eastAsia="Times New Roman" w:cs="Times New Roman" w:asciiTheme="minorAscii" w:hAnsiTheme="minorAscii"/>
          <w:b/>
          <w:bCs/>
          <w:sz w:val="22"/>
          <w:szCs w:val="22"/>
        </w:rPr>
      </w:pPr>
    </w:p>
    <w:p w14:paraId="4F615F19">
      <w:pPr>
        <w:spacing w:line="360" w:lineRule="auto"/>
        <w:jc w:val="both"/>
        <w:rPr>
          <w:rFonts w:hint="default" w:eastAsia="Times New Roman" w:cs="Times New Roman" w:asciiTheme="minorAscii" w:hAnsiTheme="minorAscii"/>
          <w:b/>
          <w:bCs/>
          <w:sz w:val="22"/>
          <w:szCs w:val="22"/>
        </w:rPr>
      </w:pPr>
    </w:p>
    <w:p w14:paraId="4FC5E91A">
      <w:pPr>
        <w:spacing w:line="360" w:lineRule="auto"/>
        <w:jc w:val="both"/>
        <w:rPr>
          <w:rFonts w:hint="default" w:eastAsia="Times New Roman" w:cs="Times New Roman" w:asciiTheme="minorAscii" w:hAnsiTheme="minorAscii"/>
          <w:b/>
          <w:bCs/>
          <w:sz w:val="22"/>
          <w:szCs w:val="22"/>
        </w:rPr>
      </w:pPr>
    </w:p>
    <w:p w14:paraId="2593F955">
      <w:pPr>
        <w:spacing w:line="360" w:lineRule="auto"/>
        <w:jc w:val="both"/>
        <w:rPr>
          <w:rFonts w:hint="default" w:eastAsia="Times New Roman" w:cs="Times New Roman" w:asciiTheme="minorAscii" w:hAnsiTheme="minorAscii"/>
          <w:b/>
          <w:bCs/>
          <w:sz w:val="22"/>
          <w:szCs w:val="22"/>
        </w:rPr>
      </w:pPr>
    </w:p>
    <w:p w14:paraId="3AF4580C">
      <w:pPr>
        <w:spacing w:line="360" w:lineRule="auto"/>
        <w:jc w:val="both"/>
        <w:rPr>
          <w:rFonts w:hint="default" w:eastAsia="Times New Roman" w:cs="Times New Roman" w:asciiTheme="minorAscii" w:hAnsiTheme="minorAscii"/>
          <w:b/>
          <w:bCs/>
          <w:sz w:val="22"/>
          <w:szCs w:val="22"/>
        </w:rPr>
      </w:pPr>
    </w:p>
    <w:p w14:paraId="351AF968">
      <w:pPr>
        <w:spacing w:line="360" w:lineRule="auto"/>
        <w:jc w:val="both"/>
        <w:rPr>
          <w:rFonts w:hint="default" w:eastAsia="Times New Roman" w:cs="Times New Roman" w:asciiTheme="minorAscii" w:hAnsiTheme="minorAscii"/>
          <w:b/>
          <w:bCs/>
          <w:sz w:val="22"/>
          <w:szCs w:val="22"/>
        </w:rPr>
      </w:pPr>
    </w:p>
    <w:p w14:paraId="714ECCF8">
      <w:pPr>
        <w:spacing w:line="360" w:lineRule="auto"/>
        <w:jc w:val="both"/>
        <w:rPr>
          <w:rFonts w:hint="default" w:eastAsia="Times New Roman" w:cs="Times New Roman" w:asciiTheme="minorAscii" w:hAnsiTheme="minorAscii"/>
          <w:b/>
          <w:bCs/>
          <w:sz w:val="22"/>
          <w:szCs w:val="22"/>
        </w:rPr>
      </w:pPr>
    </w:p>
    <w:p w14:paraId="7D4B2EBC">
      <w:pPr>
        <w:spacing w:line="360" w:lineRule="auto"/>
        <w:jc w:val="both"/>
        <w:rPr>
          <w:rFonts w:hint="default" w:eastAsia="Times New Roman" w:cs="Times New Roman" w:asciiTheme="minorAscii" w:hAnsiTheme="minorAscii"/>
          <w:b/>
          <w:bCs/>
          <w:sz w:val="22"/>
          <w:szCs w:val="22"/>
        </w:rPr>
      </w:pPr>
    </w:p>
    <w:p w14:paraId="1826F5E2">
      <w:pPr>
        <w:spacing w:line="360" w:lineRule="auto"/>
        <w:jc w:val="both"/>
        <w:rPr>
          <w:rFonts w:hint="default" w:eastAsia="Times New Roman" w:cs="Times New Roman" w:asciiTheme="minorAscii" w:hAnsiTheme="minorAscii"/>
          <w:b/>
          <w:bCs/>
          <w:sz w:val="22"/>
          <w:szCs w:val="22"/>
        </w:rPr>
      </w:pPr>
    </w:p>
    <w:p w14:paraId="227B0BF8">
      <w:pPr>
        <w:spacing w:line="360" w:lineRule="auto"/>
        <w:jc w:val="both"/>
        <w:rPr>
          <w:rFonts w:hint="default" w:eastAsia="Times New Roman" w:cs="Times New Roman" w:asciiTheme="minorAscii" w:hAnsiTheme="minorAscii"/>
          <w:b/>
          <w:bCs/>
          <w:sz w:val="22"/>
          <w:szCs w:val="22"/>
        </w:rPr>
      </w:pPr>
    </w:p>
    <w:p w14:paraId="6BC0BC3A">
      <w:pPr>
        <w:spacing w:line="360" w:lineRule="auto"/>
        <w:jc w:val="both"/>
        <w:rPr>
          <w:rFonts w:hint="default" w:eastAsia="Times New Roman" w:cs="Times New Roman" w:asciiTheme="minorAscii" w:hAnsiTheme="minorAscii"/>
          <w:b/>
          <w:bCs/>
          <w:sz w:val="22"/>
          <w:szCs w:val="22"/>
        </w:rPr>
      </w:pPr>
    </w:p>
    <w:p w14:paraId="2D27E103">
      <w:pPr>
        <w:spacing w:line="360" w:lineRule="auto"/>
        <w:jc w:val="both"/>
        <w:rPr>
          <w:rFonts w:hint="default" w:eastAsia="Times New Roman" w:cs="Times New Roman" w:asciiTheme="minorAscii" w:hAnsiTheme="minorAscii"/>
          <w:b/>
          <w:bCs/>
          <w:sz w:val="22"/>
          <w:szCs w:val="22"/>
        </w:rPr>
      </w:pPr>
    </w:p>
    <w:p w14:paraId="7129A0A4">
      <w:pPr>
        <w:spacing w:line="360" w:lineRule="auto"/>
        <w:jc w:val="both"/>
        <w:rPr>
          <w:rFonts w:hint="default" w:eastAsia="Times New Roman" w:cs="Times New Roman" w:asciiTheme="minorAscii" w:hAnsiTheme="minorAscii"/>
          <w:b/>
          <w:bCs/>
          <w:sz w:val="22"/>
          <w:szCs w:val="22"/>
        </w:rPr>
      </w:pPr>
    </w:p>
    <w:p w14:paraId="5CC258ED">
      <w:pPr>
        <w:spacing w:line="360" w:lineRule="auto"/>
        <w:jc w:val="both"/>
        <w:rPr>
          <w:rFonts w:hint="default" w:eastAsia="Times New Roman" w:cs="Times New Roman" w:asciiTheme="minorAscii" w:hAnsiTheme="minorAscii"/>
          <w:b/>
          <w:bCs/>
          <w:sz w:val="22"/>
          <w:szCs w:val="22"/>
        </w:rPr>
      </w:pPr>
    </w:p>
    <w:p w14:paraId="44C0426C">
      <w:pPr>
        <w:spacing w:line="360" w:lineRule="auto"/>
        <w:jc w:val="both"/>
        <w:rPr>
          <w:rFonts w:hint="default" w:eastAsia="Times New Roman" w:cs="Times New Roman" w:asciiTheme="minorAscii" w:hAnsiTheme="minorAscii"/>
          <w:b/>
          <w:bCs/>
          <w:sz w:val="22"/>
          <w:szCs w:val="22"/>
        </w:rPr>
      </w:pPr>
    </w:p>
    <w:p w14:paraId="0C8C70B5">
      <w:pPr>
        <w:spacing w:line="360" w:lineRule="auto"/>
        <w:jc w:val="both"/>
        <w:rPr>
          <w:rFonts w:hint="default" w:eastAsia="Times New Roman" w:cs="Times New Roman" w:asciiTheme="minorAscii" w:hAnsiTheme="minorAscii"/>
          <w:b/>
          <w:bCs/>
          <w:sz w:val="22"/>
          <w:szCs w:val="22"/>
        </w:rPr>
      </w:pPr>
    </w:p>
    <w:p w14:paraId="46AC6C68">
      <w:pPr>
        <w:spacing w:line="360" w:lineRule="auto"/>
        <w:jc w:val="both"/>
        <w:rPr>
          <w:rFonts w:hint="default" w:eastAsia="Times New Roman" w:cs="Times New Roman" w:asciiTheme="minorAscii" w:hAnsiTheme="minorAscii"/>
          <w:b/>
          <w:bCs/>
          <w:sz w:val="22"/>
          <w:szCs w:val="22"/>
        </w:rPr>
      </w:pPr>
    </w:p>
    <w:p w14:paraId="7C787A93">
      <w:pPr>
        <w:spacing w:line="360" w:lineRule="auto"/>
        <w:jc w:val="both"/>
        <w:rPr>
          <w:rFonts w:hint="default" w:eastAsia="Times New Roman" w:cs="Times New Roman" w:asciiTheme="minorAscii" w:hAnsiTheme="minorAscii"/>
          <w:b/>
          <w:bCs/>
          <w:sz w:val="22"/>
          <w:szCs w:val="22"/>
        </w:rPr>
      </w:pPr>
    </w:p>
    <w:p w14:paraId="63E6EE90">
      <w:pPr>
        <w:spacing w:line="360" w:lineRule="auto"/>
        <w:jc w:val="both"/>
        <w:rPr>
          <w:rFonts w:hint="default" w:eastAsia="Times New Roman" w:cs="Times New Roman" w:asciiTheme="minorAscii" w:hAnsiTheme="minorAscii"/>
          <w:b/>
          <w:bCs/>
          <w:sz w:val="22"/>
          <w:szCs w:val="22"/>
        </w:rPr>
      </w:pPr>
    </w:p>
    <w:p w14:paraId="27AFA908">
      <w:pPr>
        <w:spacing w:line="360" w:lineRule="auto"/>
        <w:jc w:val="both"/>
        <w:rPr>
          <w:rFonts w:hint="default" w:eastAsia="Times New Roman" w:cs="Times New Roman" w:asciiTheme="minorAscii" w:hAnsiTheme="minorAscii"/>
          <w:b/>
          <w:bCs/>
          <w:sz w:val="22"/>
          <w:szCs w:val="22"/>
        </w:rPr>
      </w:pPr>
    </w:p>
    <w:p w14:paraId="3D127FC9">
      <w:pPr>
        <w:spacing w:line="360" w:lineRule="auto"/>
        <w:jc w:val="both"/>
        <w:rPr>
          <w:rFonts w:hint="default" w:eastAsia="Times New Roman" w:cs="Times New Roman" w:asciiTheme="minorAscii" w:hAnsiTheme="minorAscii"/>
          <w:b/>
          <w:bCs/>
          <w:sz w:val="22"/>
          <w:szCs w:val="22"/>
        </w:rPr>
      </w:pPr>
    </w:p>
    <w:p w14:paraId="3ECA0178">
      <w:pPr>
        <w:spacing w:line="360" w:lineRule="auto"/>
        <w:jc w:val="both"/>
        <w:rPr>
          <w:rFonts w:hint="default" w:eastAsia="Times New Roman" w:cs="Times New Roman" w:asciiTheme="minorAscii" w:hAnsiTheme="minorAscii"/>
          <w:b/>
          <w:bCs/>
          <w:sz w:val="22"/>
          <w:szCs w:val="22"/>
        </w:rPr>
      </w:pPr>
    </w:p>
    <w:p w14:paraId="48EA2F38">
      <w:pPr>
        <w:spacing w:line="360" w:lineRule="auto"/>
        <w:jc w:val="both"/>
        <w:rPr>
          <w:rFonts w:hint="default" w:eastAsia="Times New Roman" w:cs="Times New Roman" w:asciiTheme="minorAscii" w:hAnsiTheme="minorAscii"/>
          <w:b/>
          <w:bCs/>
          <w:sz w:val="22"/>
          <w:szCs w:val="22"/>
        </w:rPr>
      </w:pPr>
    </w:p>
    <w:p w14:paraId="779C8D73">
      <w:pPr>
        <w:spacing w:line="360" w:lineRule="auto"/>
        <w:jc w:val="both"/>
        <w:rPr>
          <w:rFonts w:hint="default" w:eastAsia="Times New Roman" w:asciiTheme="minorAscii" w:hAnsiTheme="minorAscii"/>
          <w:b/>
          <w:bCs/>
          <w:sz w:val="22"/>
          <w:szCs w:val="22"/>
        </w:rPr>
      </w:pPr>
      <w:r>
        <w:rPr>
          <w:rFonts w:hint="default" w:eastAsia="Times New Roman" w:asciiTheme="minorAscii" w:hAnsiTheme="minorAscii"/>
          <w:b/>
          <w:bCs/>
          <w:sz w:val="22"/>
          <w:szCs w:val="22"/>
        </w:rPr>
        <w:t xml:space="preserve">Abstract </w:t>
      </w:r>
    </w:p>
    <w:p w14:paraId="0635F27B">
      <w:pPr>
        <w:spacing w:line="360" w:lineRule="auto"/>
        <w:jc w:val="both"/>
        <w:rPr>
          <w:rFonts w:hint="default" w:eastAsia="Times New Roman" w:asciiTheme="minorAscii" w:hAnsiTheme="minorAscii"/>
          <w:b/>
          <w:bCs/>
          <w:sz w:val="22"/>
          <w:szCs w:val="22"/>
        </w:rPr>
      </w:pPr>
      <w:r>
        <w:rPr>
          <w:rFonts w:hint="default" w:eastAsia="Times New Roman" w:asciiTheme="minorAscii" w:hAnsiTheme="minorAscii"/>
          <w:b/>
          <w:bCs/>
          <w:sz w:val="22"/>
          <w:szCs w:val="22"/>
        </w:rPr>
        <w:t xml:space="preserve">Introduction: </w:t>
      </w:r>
      <w:r>
        <w:rPr>
          <w:rFonts w:hint="default" w:eastAsia="Times New Roman" w:asciiTheme="minorAscii" w:hAnsiTheme="minorAscii"/>
          <w:b w:val="0"/>
          <w:bCs w:val="0"/>
          <w:sz w:val="22"/>
          <w:szCs w:val="22"/>
        </w:rPr>
        <w:t>Hypertension is a widespread, often asymptomatic condition and a leading contributor to cardiovascular morbidity and mortality worldwide. Owing to its multifactorial etiology, identifying key determinants and developing reliable predictive tools are essential for effective prevention and management. This study applies a data-driven analytical approach to examine factors associated with hypertension and to develop predictive models for individual risk assessment.</w:t>
      </w:r>
    </w:p>
    <w:p w14:paraId="47EAF4B7">
      <w:pPr>
        <w:spacing w:line="360" w:lineRule="auto"/>
        <w:jc w:val="both"/>
        <w:rPr>
          <w:rFonts w:hint="default" w:eastAsia="Times New Roman" w:asciiTheme="minorAscii" w:hAnsiTheme="minorAscii"/>
          <w:b w:val="0"/>
          <w:bCs w:val="0"/>
          <w:sz w:val="22"/>
          <w:szCs w:val="22"/>
        </w:rPr>
      </w:pPr>
      <w:r>
        <w:rPr>
          <w:rFonts w:hint="default" w:eastAsia="Times New Roman" w:asciiTheme="minorAscii" w:hAnsiTheme="minorAscii"/>
          <w:b/>
          <w:bCs/>
          <w:sz w:val="22"/>
          <w:szCs w:val="22"/>
        </w:rPr>
        <w:t xml:space="preserve">Methods: </w:t>
      </w:r>
      <w:r>
        <w:rPr>
          <w:rFonts w:hint="default" w:eastAsia="Times New Roman" w:asciiTheme="minorAscii" w:hAnsiTheme="minorAscii"/>
          <w:b w:val="0"/>
          <w:bCs w:val="0"/>
          <w:sz w:val="22"/>
          <w:szCs w:val="22"/>
        </w:rPr>
        <w:t xml:space="preserve">A dataset comprising 1,985 adult records with demographic, lifestyle, and clinical variables was </w:t>
      </w:r>
      <w:r>
        <w:rPr>
          <w:rFonts w:hint="eastAsia" w:asciiTheme="minorAscii" w:hAnsiTheme="minorAscii"/>
          <w:b w:val="0"/>
          <w:bCs w:val="0"/>
          <w:sz w:val="22"/>
          <w:szCs w:val="22"/>
          <w:lang w:eastAsia="ja-JP"/>
        </w:rPr>
        <w:t>analyzed</w:t>
      </w:r>
      <w:r>
        <w:rPr>
          <w:rFonts w:hint="default" w:eastAsia="Times New Roman" w:asciiTheme="minorAscii" w:hAnsiTheme="minorAscii"/>
          <w:b w:val="0"/>
          <w:bCs w:val="0"/>
          <w:sz w:val="22"/>
          <w:szCs w:val="22"/>
        </w:rPr>
        <w:t xml:space="preserve">. Exploratory data analysis and descriptive statistics were used to profile the data. Inferential analyses, including independent samples t-tests and chi-square tests, assessed associations between hypertension status and variables such as age, BMI, stress score, sleep duration, smoking status, family history, and blood pressure history. Confirmatory factor analysis was conducted to explore latent physiological and </w:t>
      </w:r>
      <w:r>
        <w:rPr>
          <w:rFonts w:hint="eastAsia" w:asciiTheme="minorAscii" w:hAnsiTheme="minorAscii"/>
          <w:b w:val="0"/>
          <w:bCs w:val="0"/>
          <w:sz w:val="22"/>
          <w:szCs w:val="22"/>
          <w:lang w:eastAsia="ja-JP"/>
        </w:rPr>
        <w:t>psycho-social</w:t>
      </w:r>
      <w:r>
        <w:rPr>
          <w:rFonts w:hint="default" w:eastAsia="Times New Roman" w:asciiTheme="minorAscii" w:hAnsiTheme="minorAscii"/>
          <w:b w:val="0"/>
          <w:bCs w:val="0"/>
          <w:sz w:val="22"/>
          <w:szCs w:val="22"/>
        </w:rPr>
        <w:t xml:space="preserve"> constructs. Machine learning models, including Random Forest and Gradient Boosting classifiers, were trained using selected predictors and evaluated using accuracy, precision, recall, and F1-score.</w:t>
      </w:r>
    </w:p>
    <w:p w14:paraId="373B2D77">
      <w:pPr>
        <w:spacing w:line="360" w:lineRule="auto"/>
        <w:jc w:val="both"/>
        <w:rPr>
          <w:rFonts w:hint="default" w:eastAsia="Times New Roman" w:asciiTheme="minorAscii" w:hAnsiTheme="minorAscii"/>
          <w:b/>
          <w:bCs/>
          <w:sz w:val="22"/>
          <w:szCs w:val="22"/>
        </w:rPr>
      </w:pPr>
      <w:r>
        <w:rPr>
          <w:rFonts w:hint="default" w:eastAsia="Times New Roman" w:asciiTheme="minorAscii" w:hAnsiTheme="minorAscii"/>
          <w:b/>
          <w:bCs/>
          <w:sz w:val="22"/>
          <w:szCs w:val="22"/>
        </w:rPr>
        <w:t xml:space="preserve">Results: </w:t>
      </w:r>
      <w:r>
        <w:rPr>
          <w:rFonts w:hint="default" w:eastAsia="Times New Roman" w:asciiTheme="minorAscii" w:hAnsiTheme="minorAscii"/>
          <w:b w:val="0"/>
          <w:bCs w:val="0"/>
          <w:sz w:val="22"/>
          <w:szCs w:val="22"/>
        </w:rPr>
        <w:t>Significant associations with hypertension were observed for age, BMI, stress score, smoking status, family history, sleep duration, and prior blood pressure history (p &lt; .001). Random Forest achieved the best predictive performance with 84.9% accuracy and balanced classification metrics, slightly outperforming Gradient Boosting.</w:t>
      </w:r>
    </w:p>
    <w:p w14:paraId="478ED3BA">
      <w:pPr>
        <w:spacing w:line="360" w:lineRule="auto"/>
        <w:jc w:val="both"/>
        <w:rPr>
          <w:rFonts w:hint="default" w:eastAsia="Times New Roman" w:cs="Times New Roman" w:asciiTheme="minorAscii" w:hAnsiTheme="minorAscii"/>
          <w:b w:val="0"/>
          <w:bCs w:val="0"/>
          <w:sz w:val="22"/>
          <w:szCs w:val="22"/>
        </w:rPr>
      </w:pPr>
      <w:r>
        <w:rPr>
          <w:rFonts w:hint="default" w:eastAsia="Times New Roman" w:asciiTheme="minorAscii" w:hAnsiTheme="minorAscii"/>
          <w:b/>
          <w:bCs/>
          <w:sz w:val="22"/>
          <w:szCs w:val="22"/>
        </w:rPr>
        <w:t xml:space="preserve">Discussion: </w:t>
      </w:r>
      <w:r>
        <w:rPr>
          <w:rFonts w:hint="default" w:eastAsia="Times New Roman" w:asciiTheme="minorAscii" w:hAnsiTheme="minorAscii"/>
          <w:b w:val="0"/>
          <w:bCs w:val="0"/>
          <w:sz w:val="22"/>
          <w:szCs w:val="22"/>
        </w:rPr>
        <w:t>The findings highlight key modifiable and non-modifiable risk factors for hypertension and demonstrate the effectiveness of combining inferential statistics with machine learning for risk prediction. The resulting model provides a practical framework for hypertension risk stratification in clinical and public health settings.</w:t>
      </w:r>
    </w:p>
    <w:p w14:paraId="58BF898E">
      <w:pPr>
        <w:spacing w:line="360" w:lineRule="auto"/>
        <w:jc w:val="both"/>
        <w:rPr>
          <w:rFonts w:hint="default" w:eastAsia="Times New Roman" w:cs="Times New Roman" w:asciiTheme="minorAscii" w:hAnsiTheme="minorAscii"/>
          <w:b w:val="0"/>
          <w:bCs w:val="0"/>
          <w:sz w:val="22"/>
          <w:szCs w:val="22"/>
        </w:rPr>
      </w:pPr>
    </w:p>
    <w:p w14:paraId="54D6D66F">
      <w:pPr>
        <w:spacing w:line="360" w:lineRule="auto"/>
        <w:jc w:val="both"/>
        <w:rPr>
          <w:rFonts w:hint="default" w:eastAsia="Times New Roman" w:cs="Times New Roman" w:asciiTheme="minorAscii" w:hAnsiTheme="minorAscii"/>
          <w:b/>
          <w:bCs/>
          <w:sz w:val="22"/>
          <w:szCs w:val="22"/>
        </w:rPr>
      </w:pPr>
    </w:p>
    <w:p w14:paraId="379B11E8">
      <w:pPr>
        <w:spacing w:line="360" w:lineRule="auto"/>
        <w:jc w:val="both"/>
        <w:rPr>
          <w:rFonts w:hint="default" w:eastAsia="Times New Roman" w:cs="Times New Roman" w:asciiTheme="minorAscii" w:hAnsiTheme="minorAscii"/>
          <w:b/>
          <w:bCs/>
          <w:sz w:val="22"/>
          <w:szCs w:val="22"/>
        </w:rPr>
      </w:pPr>
    </w:p>
    <w:p w14:paraId="5D02F9C1">
      <w:pPr>
        <w:spacing w:line="360" w:lineRule="auto"/>
        <w:jc w:val="both"/>
        <w:rPr>
          <w:rFonts w:hint="default" w:eastAsia="Times New Roman" w:cs="Times New Roman" w:asciiTheme="minorAscii" w:hAnsiTheme="minorAscii"/>
          <w:b/>
          <w:bCs/>
          <w:sz w:val="22"/>
          <w:szCs w:val="22"/>
        </w:rPr>
      </w:pPr>
    </w:p>
    <w:p w14:paraId="310DA30A">
      <w:pPr>
        <w:spacing w:line="360" w:lineRule="auto"/>
        <w:jc w:val="both"/>
        <w:rPr>
          <w:rFonts w:hint="default" w:eastAsia="Times New Roman" w:cs="Times New Roman" w:asciiTheme="minorAscii" w:hAnsiTheme="minorAscii"/>
          <w:b/>
          <w:bCs/>
          <w:sz w:val="22"/>
          <w:szCs w:val="22"/>
        </w:rPr>
      </w:pPr>
    </w:p>
    <w:p w14:paraId="42F05F9F">
      <w:pPr>
        <w:spacing w:line="360" w:lineRule="auto"/>
        <w:jc w:val="both"/>
        <w:rPr>
          <w:rFonts w:hint="default" w:eastAsia="Times New Roman" w:cs="Times New Roman" w:asciiTheme="minorAscii" w:hAnsiTheme="minorAscii"/>
          <w:b/>
          <w:bCs/>
          <w:sz w:val="22"/>
          <w:szCs w:val="22"/>
        </w:rPr>
      </w:pPr>
    </w:p>
    <w:p w14:paraId="4D0E2C1F">
      <w:pPr>
        <w:spacing w:line="360" w:lineRule="auto"/>
        <w:jc w:val="both"/>
        <w:rPr>
          <w:rFonts w:hint="default" w:eastAsia="Times New Roman" w:cs="Times New Roman" w:asciiTheme="minorAscii" w:hAnsiTheme="minorAscii"/>
          <w:b/>
          <w:bCs/>
          <w:sz w:val="22"/>
          <w:szCs w:val="22"/>
        </w:rPr>
      </w:pPr>
    </w:p>
    <w:p w14:paraId="520AFB53">
      <w:pPr>
        <w:spacing w:line="360" w:lineRule="auto"/>
        <w:jc w:val="both"/>
        <w:rPr>
          <w:rFonts w:hint="default" w:eastAsia="Times New Roman" w:cs="Times New Roman" w:asciiTheme="minorAscii" w:hAnsiTheme="minorAscii"/>
          <w:b/>
          <w:bCs/>
          <w:sz w:val="22"/>
          <w:szCs w:val="22"/>
        </w:rPr>
      </w:pPr>
    </w:p>
    <w:p w14:paraId="48BEC9F2">
      <w:pPr>
        <w:spacing w:line="360" w:lineRule="auto"/>
        <w:jc w:val="both"/>
        <w:rPr>
          <w:rFonts w:hint="default" w:eastAsia="Times New Roman" w:cs="Times New Roman" w:asciiTheme="minorAscii" w:hAnsiTheme="minorAscii"/>
          <w:b/>
          <w:bCs/>
          <w:sz w:val="22"/>
          <w:szCs w:val="22"/>
        </w:rPr>
      </w:pPr>
    </w:p>
    <w:p w14:paraId="25AC59DF">
      <w:pPr>
        <w:spacing w:line="360" w:lineRule="auto"/>
        <w:jc w:val="both"/>
        <w:rPr>
          <w:rFonts w:hint="default" w:eastAsia="Times New Roman" w:cs="Times New Roman" w:asciiTheme="minorAscii" w:hAnsiTheme="minorAscii"/>
          <w:b/>
          <w:bCs/>
          <w:sz w:val="22"/>
          <w:szCs w:val="22"/>
        </w:rPr>
      </w:pPr>
    </w:p>
    <w:p w14:paraId="7FDEEA2E">
      <w:pPr>
        <w:spacing w:line="360" w:lineRule="auto"/>
        <w:jc w:val="both"/>
        <w:rPr>
          <w:rFonts w:hint="default" w:cs="Times New Roman" w:asciiTheme="minorAscii" w:hAnsiTheme="minorAscii"/>
          <w:b/>
          <w:sz w:val="22"/>
          <w:szCs w:val="22"/>
        </w:rPr>
      </w:pPr>
      <w:bookmarkStart w:id="0" w:name="_tk8nysn2csav" w:colFirst="0" w:colLast="0"/>
      <w:bookmarkEnd w:id="0"/>
    </w:p>
    <w:p w14:paraId="3D7D2597">
      <w:pPr>
        <w:spacing w:line="360" w:lineRule="auto"/>
        <w:jc w:val="both"/>
        <w:rPr>
          <w:rFonts w:hint="default" w:cs="Times New Roman" w:asciiTheme="minorAscii" w:hAnsiTheme="minorAscii"/>
          <w:b/>
          <w:sz w:val="22"/>
          <w:szCs w:val="22"/>
        </w:rPr>
      </w:pPr>
    </w:p>
    <w:p w14:paraId="07D266C2">
      <w:pPr>
        <w:spacing w:line="360" w:lineRule="auto"/>
        <w:jc w:val="both"/>
        <w:rPr>
          <w:rFonts w:hint="default" w:cs="Times New Roman" w:asciiTheme="minorAscii" w:hAnsiTheme="minorAscii"/>
          <w:b/>
          <w:sz w:val="22"/>
          <w:szCs w:val="22"/>
        </w:rPr>
      </w:pPr>
    </w:p>
    <w:p w14:paraId="6E2BA58B">
      <w:pPr>
        <w:spacing w:line="360" w:lineRule="auto"/>
        <w:jc w:val="both"/>
        <w:rPr>
          <w:rFonts w:hint="default" w:cs="Times New Roman" w:asciiTheme="minorAscii" w:hAnsiTheme="minorAscii"/>
          <w:b/>
          <w:sz w:val="22"/>
          <w:szCs w:val="22"/>
        </w:rPr>
      </w:pPr>
      <w:r>
        <w:rPr>
          <w:rFonts w:hint="default" w:cs="Times New Roman" w:asciiTheme="minorAscii" w:hAnsiTheme="minorAscii"/>
          <w:b/>
          <w:sz w:val="22"/>
          <w:szCs w:val="22"/>
        </w:rPr>
        <w:t>Background</w:t>
      </w:r>
    </w:p>
    <w:p w14:paraId="1B7AC82C">
      <w:pPr>
        <w:spacing w:line="360" w:lineRule="auto"/>
        <w:jc w:val="both"/>
        <w:rPr>
          <w:rFonts w:hint="default" w:cs="Times New Roman" w:asciiTheme="minorAscii" w:hAnsiTheme="minorAscii"/>
          <w:sz w:val="22"/>
          <w:szCs w:val="22"/>
        </w:rPr>
      </w:pPr>
      <w:r>
        <w:rPr>
          <w:rFonts w:hint="default" w:cs="Times New Roman" w:asciiTheme="minorAscii" w:hAnsiTheme="minorAscii"/>
          <w:sz w:val="22"/>
          <w:szCs w:val="22"/>
        </w:rPr>
        <w:t xml:space="preserve">This report presents a data-driven analytical investigation into hypertension, a prevalent and often asymptomatic condition that remains a leading contributor to global cardiovascular morbidity and mortality. Often referred to as the “silent killer,” hypertension results from a complex interplay of non-modifiable factors, such as age and genetic predisposition, and modifiable lifestyle risks, including high dietary sodium intake, obesity, physical inactivity, and chronic </w:t>
      </w:r>
      <w:r>
        <w:rPr>
          <w:rFonts w:hint="eastAsia" w:cs="Times New Roman" w:asciiTheme="minorAscii" w:hAnsiTheme="minorAscii"/>
          <w:sz w:val="22"/>
          <w:szCs w:val="22"/>
          <w:lang w:eastAsia="ja-JP"/>
        </w:rPr>
        <w:t>psycho-social</w:t>
      </w:r>
      <w:r>
        <w:rPr>
          <w:rFonts w:hint="default" w:cs="Times New Roman" w:asciiTheme="minorAscii" w:hAnsiTheme="minorAscii"/>
          <w:sz w:val="22"/>
          <w:szCs w:val="22"/>
        </w:rPr>
        <w:t xml:space="preserve"> stress. Effective management of hypertension is a critical public health priority, requiring strategies that range from individual lifestyle modification to systematic clinical interventions.</w:t>
      </w:r>
    </w:p>
    <w:p w14:paraId="505E116E">
      <w:pPr>
        <w:spacing w:line="360" w:lineRule="auto"/>
        <w:jc w:val="both"/>
        <w:rPr>
          <w:rFonts w:hint="default" w:cs="Times New Roman" w:asciiTheme="minorAscii" w:hAnsiTheme="minorAscii"/>
          <w:sz w:val="22"/>
          <w:szCs w:val="22"/>
        </w:rPr>
      </w:pPr>
    </w:p>
    <w:p w14:paraId="43CF93CF">
      <w:pPr>
        <w:spacing w:line="360" w:lineRule="auto"/>
        <w:jc w:val="both"/>
        <w:rPr>
          <w:rFonts w:hint="default" w:cs="Times New Roman" w:asciiTheme="minorAscii" w:hAnsiTheme="minorAscii"/>
          <w:sz w:val="22"/>
          <w:szCs w:val="22"/>
        </w:rPr>
      </w:pPr>
      <w:r>
        <w:rPr>
          <w:rFonts w:hint="default" w:cs="Times New Roman" w:asciiTheme="minorAscii" w:hAnsiTheme="minorAscii"/>
          <w:sz w:val="22"/>
          <w:szCs w:val="22"/>
        </w:rPr>
        <w:t xml:space="preserve">The primary objective of this report is to conduct a comprehensive analytical workflow on a provided </w:t>
      </w:r>
      <w:r>
        <w:rPr>
          <w:rFonts w:hint="eastAsia" w:cs="Times New Roman" w:asciiTheme="minorAscii" w:hAnsiTheme="minorAscii"/>
          <w:sz w:val="22"/>
          <w:szCs w:val="22"/>
          <w:lang w:eastAsia="ja-JP"/>
        </w:rPr>
        <w:t>datasets</w:t>
      </w:r>
      <w:r>
        <w:rPr>
          <w:rFonts w:hint="default" w:cs="Times New Roman" w:asciiTheme="minorAscii" w:hAnsiTheme="minorAscii"/>
          <w:sz w:val="22"/>
          <w:szCs w:val="22"/>
        </w:rPr>
        <w:t xml:space="preserve"> to identify key determinants of hypertension and develop a robust predictive model for individual risk assessment. The methodology is structured into three sequential phases: exploration, inference, and prediction. Initially, exploratory data analysis summarizes demographic, clinical, and </w:t>
      </w:r>
      <w:r>
        <w:rPr>
          <w:rFonts w:hint="eastAsia" w:cs="Times New Roman" w:asciiTheme="minorAscii" w:hAnsiTheme="minorAscii"/>
          <w:sz w:val="22"/>
          <w:szCs w:val="22"/>
          <w:lang w:eastAsia="ja-JP"/>
        </w:rPr>
        <w:t>behavioral</w:t>
      </w:r>
      <w:r>
        <w:rPr>
          <w:rFonts w:hint="default" w:cs="Times New Roman" w:asciiTheme="minorAscii" w:hAnsiTheme="minorAscii"/>
          <w:sz w:val="22"/>
          <w:szCs w:val="22"/>
        </w:rPr>
        <w:t xml:space="preserve"> variables through descriptive statistics and visualizations, highlighting foundational patterns. Inferential testing</w:t>
      </w:r>
      <w:r>
        <w:rPr>
          <w:rFonts w:hint="default" w:cs="Times New Roman" w:asciiTheme="minorAscii" w:hAnsiTheme="minorAscii"/>
          <w:sz w:val="22"/>
          <w:szCs w:val="22"/>
          <w:lang w:val="en-US" w:eastAsia="ja-JP"/>
        </w:rPr>
        <w:t xml:space="preserve"> </w:t>
      </w:r>
      <w:r>
        <w:rPr>
          <w:rFonts w:hint="default" w:cs="Times New Roman" w:asciiTheme="minorAscii" w:hAnsiTheme="minorAscii"/>
          <w:sz w:val="22"/>
          <w:szCs w:val="22"/>
        </w:rPr>
        <w:t>including t-tests and chi-square analyses then evaluates the significance of associations between variables such as age, BMI, stress, smoking status, and hypertension outcomes.</w:t>
      </w:r>
    </w:p>
    <w:p w14:paraId="0D6646CA">
      <w:pPr>
        <w:spacing w:line="360" w:lineRule="auto"/>
        <w:jc w:val="both"/>
        <w:rPr>
          <w:rFonts w:hint="default" w:cs="Times New Roman" w:asciiTheme="minorAscii" w:hAnsiTheme="minorAscii"/>
          <w:sz w:val="22"/>
          <w:szCs w:val="22"/>
        </w:rPr>
      </w:pPr>
    </w:p>
    <w:p w14:paraId="531D8BD3">
      <w:pPr>
        <w:spacing w:line="360" w:lineRule="auto"/>
        <w:jc w:val="both"/>
        <w:rPr>
          <w:rFonts w:hint="default" w:cs="Times New Roman" w:asciiTheme="minorAscii" w:hAnsiTheme="minorAscii"/>
          <w:sz w:val="22"/>
          <w:szCs w:val="22"/>
        </w:rPr>
      </w:pPr>
      <w:r>
        <w:rPr>
          <w:rFonts w:hint="default" w:cs="Times New Roman" w:asciiTheme="minorAscii" w:hAnsiTheme="minorAscii"/>
          <w:sz w:val="22"/>
          <w:szCs w:val="22"/>
        </w:rPr>
        <w:t>Building on these insights, predictive modelling employs key predictors to train and optimize machine learning algorithms, specifically Random Forest and Gradient Boosting classifiers. Model performance is evaluated using accuracy, precision, recall, and F1-score to identify the most reliable tool for hypertension classification. This end-to-end analytical workflow</w:t>
      </w:r>
      <w:r>
        <w:rPr>
          <w:rFonts w:hint="default" w:cs="Times New Roman" w:asciiTheme="minorAscii" w:hAnsiTheme="minorAscii"/>
          <w:sz w:val="22"/>
          <w:szCs w:val="22"/>
          <w:lang w:val="en-US" w:eastAsia="ja-JP"/>
        </w:rPr>
        <w:t xml:space="preserve"> </w:t>
      </w:r>
      <w:r>
        <w:rPr>
          <w:rFonts w:hint="default" w:cs="Times New Roman" w:asciiTheme="minorAscii" w:hAnsiTheme="minorAscii"/>
          <w:sz w:val="22"/>
          <w:szCs w:val="22"/>
        </w:rPr>
        <w:t>from data profiling to predictive modelling demonstrates a practical, evidence-based approach to transforming raw health data into actionable intelligence. The findings and the resulting predictive framework aim to support risk stratification, inform targeted prevention strategies, and enhance decision-making in clinical and public health settings for hypertension management.</w:t>
      </w:r>
    </w:p>
    <w:p w14:paraId="79D7E83C">
      <w:pPr>
        <w:jc w:val="both"/>
        <w:rPr>
          <w:rFonts w:hint="default" w:eastAsia="Times New Roman" w:cs="Times New Roman" w:asciiTheme="minorAscii" w:hAnsiTheme="minorAscii"/>
          <w:b/>
          <w:bCs/>
          <w:sz w:val="22"/>
          <w:szCs w:val="22"/>
        </w:rPr>
      </w:pPr>
    </w:p>
    <w:p w14:paraId="43FB645D">
      <w:pPr>
        <w:jc w:val="both"/>
        <w:rPr>
          <w:rFonts w:hint="default" w:eastAsia="Times New Roman" w:cs="Times New Roman" w:asciiTheme="minorAscii" w:hAnsiTheme="minorAscii"/>
          <w:b/>
          <w:bCs/>
          <w:sz w:val="22"/>
          <w:szCs w:val="22"/>
        </w:rPr>
      </w:pPr>
    </w:p>
    <w:p w14:paraId="00E5EC14">
      <w:pPr>
        <w:jc w:val="both"/>
        <w:rPr>
          <w:rFonts w:hint="default" w:asciiTheme="minorAscii" w:hAnsiTheme="minorAscii"/>
          <w:sz w:val="22"/>
          <w:szCs w:val="22"/>
        </w:rPr>
      </w:pPr>
    </w:p>
    <w:p w14:paraId="193367E4">
      <w:pPr>
        <w:jc w:val="both"/>
        <w:rPr>
          <w:rFonts w:hint="default" w:asciiTheme="minorAscii" w:hAnsiTheme="minorAscii"/>
          <w:sz w:val="22"/>
          <w:szCs w:val="22"/>
        </w:rPr>
      </w:pPr>
    </w:p>
    <w:p w14:paraId="42B31DA1">
      <w:pPr>
        <w:jc w:val="both"/>
        <w:rPr>
          <w:rFonts w:hint="default" w:asciiTheme="minorAscii" w:hAnsiTheme="minorAscii"/>
          <w:sz w:val="22"/>
          <w:szCs w:val="22"/>
        </w:rPr>
      </w:pPr>
    </w:p>
    <w:p w14:paraId="0563080C">
      <w:pPr>
        <w:jc w:val="both"/>
        <w:rPr>
          <w:rFonts w:hint="default" w:asciiTheme="minorAscii" w:hAnsiTheme="minorAscii"/>
          <w:sz w:val="22"/>
          <w:szCs w:val="22"/>
        </w:rPr>
      </w:pPr>
    </w:p>
    <w:p w14:paraId="2D5FBD45">
      <w:pPr>
        <w:pStyle w:val="3"/>
        <w:keepNext w:val="0"/>
        <w:keepLines w:val="0"/>
        <w:spacing w:after="80" w:line="360" w:lineRule="auto"/>
        <w:jc w:val="both"/>
        <w:rPr>
          <w:rFonts w:hint="default" w:eastAsia="Times New Roman" w:cs="Times New Roman" w:asciiTheme="minorAscii" w:hAnsiTheme="minorAscii"/>
          <w:b/>
          <w:bCs/>
          <w:sz w:val="22"/>
          <w:szCs w:val="22"/>
        </w:rPr>
      </w:pPr>
    </w:p>
    <w:p w14:paraId="4F2BC3C5">
      <w:pPr>
        <w:pStyle w:val="3"/>
        <w:keepNext w:val="0"/>
        <w:keepLines w:val="0"/>
        <w:spacing w:after="8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Introduction</w:t>
      </w:r>
    </w:p>
    <w:p w14:paraId="7E3C1AA2">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Hypertension is a prevalent and often asymptomatic condition that remains a major contributor to global morbidity and mortality, primarily through its role in cardiovascular diseases such as ischemic heart disease and stroke. Commonly referred to as the “silent killer,” hypertension affects a substantial proportion of the global population, with nearly half of adults in the United States living with the condition. Its largely </w:t>
      </w:r>
      <w:r>
        <w:rPr>
          <w:rFonts w:hint="eastAsia" w:cs="Times New Roman" w:asciiTheme="minorAscii" w:hAnsiTheme="minorAscii"/>
          <w:sz w:val="22"/>
          <w:szCs w:val="22"/>
          <w:lang w:eastAsia="ja-JP"/>
        </w:rPr>
        <w:t>symptom-less</w:t>
      </w:r>
      <w:r>
        <w:rPr>
          <w:rFonts w:hint="default" w:eastAsia="Times New Roman" w:cs="Times New Roman" w:asciiTheme="minorAscii" w:hAnsiTheme="minorAscii"/>
          <w:sz w:val="22"/>
          <w:szCs w:val="22"/>
        </w:rPr>
        <w:t xml:space="preserve"> nature frequently delays diagnosis, increasing the risk of severe complications when left un</w:t>
      </w:r>
      <w:r>
        <w:rPr>
          <w:rFonts w:hint="eastAsia" w:cs="Times New Roman" w:asciiTheme="minorAscii" w:hAnsiTheme="minorAscii"/>
          <w:sz w:val="22"/>
          <w:szCs w:val="22"/>
          <w:lang w:val="en-US" w:eastAsia="ja-JP"/>
        </w:rPr>
        <w:t>-</w:t>
      </w:r>
      <w:r>
        <w:rPr>
          <w:rFonts w:hint="default" w:eastAsia="Times New Roman" w:cs="Times New Roman" w:asciiTheme="minorAscii" w:hAnsiTheme="minorAscii"/>
          <w:sz w:val="22"/>
          <w:szCs w:val="22"/>
        </w:rPr>
        <w:t>managed. Consequently, effective hypertension control is essential across diverse clinical and public health contexts, including pregnancy, surgical care, and long-term disease prevention.</w:t>
      </w:r>
    </w:p>
    <w:p w14:paraId="62D6AA4B">
      <w:pPr>
        <w:spacing w:line="360" w:lineRule="auto"/>
        <w:jc w:val="both"/>
        <w:rPr>
          <w:rFonts w:hint="default" w:eastAsia="Times New Roman" w:cs="Times New Roman" w:asciiTheme="minorAscii" w:hAnsiTheme="minorAscii"/>
          <w:sz w:val="22"/>
          <w:szCs w:val="22"/>
        </w:rPr>
      </w:pPr>
    </w:p>
    <w:p w14:paraId="604FD962">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Hypertensive disorders pose particular risks during pregnancy, complicating approximately 5% to 10% of all pregnancies and contributing significantly to maternal and fetal morbidity. These disorders include chronic hypertension, gestational hypertension, and </w:t>
      </w:r>
      <w:r>
        <w:rPr>
          <w:rFonts w:hint="eastAsia" w:cs="Times New Roman" w:asciiTheme="minorAscii" w:hAnsiTheme="minorAscii"/>
          <w:sz w:val="22"/>
          <w:szCs w:val="22"/>
          <w:lang w:eastAsia="ja-JP"/>
        </w:rPr>
        <w:t>pre-eclampsia</w:t>
      </w:r>
      <w:r>
        <w:rPr>
          <w:rFonts w:hint="default" w:eastAsia="Times New Roman" w:cs="Times New Roman" w:asciiTheme="minorAscii" w:hAnsiTheme="minorAscii"/>
          <w:sz w:val="22"/>
          <w:szCs w:val="22"/>
        </w:rPr>
        <w:t>, each presenting distinct clinical challenges (“Hypertension”, 2023). Management during pregnancy requires careful balancing of maternal blood pressure control with fetal safety, as antihypertensive medications may affect fetal development and utero-placental blood flow (“Hypertension”, 2023). This highlights the need for tailored treatment strategies for vulnerable populations.</w:t>
      </w:r>
    </w:p>
    <w:p w14:paraId="72537225">
      <w:pPr>
        <w:spacing w:line="360" w:lineRule="auto"/>
        <w:jc w:val="both"/>
        <w:rPr>
          <w:rFonts w:hint="default" w:eastAsia="Times New Roman" w:cs="Times New Roman" w:asciiTheme="minorAscii" w:hAnsiTheme="minorAscii"/>
          <w:sz w:val="22"/>
          <w:szCs w:val="22"/>
        </w:rPr>
      </w:pPr>
    </w:p>
    <w:p w14:paraId="064EE4B7">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The burden of hypertension is unevenly distributed across populations. Certain subgroups, including African Americans and older adults, experience disproportionately higher prevalence rates, often compounded by limited access to healthcare services (Koenig et al., 2024). Beyond biological determinants, psychological, social, and environmental factors substantially influence blood pressure regulation. Socio-cultural factors, such as religious involvement, have been explored for their potential roles in stress reduction and blood pressure control (Koenig et al., 2024). Preventive strategies strongly emphasize lifestyle modification, particularly dietary approaches such as the DASH and Mediterranean diets, which are low in sodium and saturated fats and have demonstrated effectiveness in reducing blood pressure (“Hypertension”, 2022).</w:t>
      </w:r>
    </w:p>
    <w:p w14:paraId="1BA8E9EB">
      <w:pPr>
        <w:spacing w:line="360" w:lineRule="auto"/>
        <w:jc w:val="both"/>
        <w:rPr>
          <w:rFonts w:hint="default" w:eastAsia="Times New Roman" w:cs="Times New Roman" w:asciiTheme="minorAscii" w:hAnsiTheme="minorAscii"/>
          <w:sz w:val="22"/>
          <w:szCs w:val="22"/>
        </w:rPr>
      </w:pPr>
    </w:p>
    <w:p w14:paraId="3A22A102">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Hypertension management typically involves a combination of lifestyle interventions and pharmacological therapy. Commonly prescribed medications, including calcium channel blockers and beta blockers, are effective in lowering blood pressure and reducing cardiovascular risk (Dagher &amp; Beck, 2024). In surgical settings, appropriate preoperative and postoperative blood pressure management is critical to minimizing morbidity and mortality (Dagher &amp; Beck, 2024). Long-term control often depends on affordable antihypertensive medications supported by strong primary healthcare systems that facilitate early detection, monitoring, and adherence (“Hypertension”, 2023).</w:t>
      </w:r>
    </w:p>
    <w:p w14:paraId="5D878BE3">
      <w:pPr>
        <w:spacing w:line="360" w:lineRule="auto"/>
        <w:jc w:val="both"/>
        <w:rPr>
          <w:rFonts w:hint="default" w:eastAsia="Times New Roman" w:cs="Times New Roman" w:asciiTheme="minorAscii" w:hAnsiTheme="minorAscii"/>
          <w:sz w:val="22"/>
          <w:szCs w:val="22"/>
        </w:rPr>
      </w:pPr>
    </w:p>
    <w:p w14:paraId="340E6C37">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From an etiological perspective, hypertension results from complex interactions among genetic, environmental, and lifestyle factors. Primary hypertension accounts for approximately 90% to 95% of cases, with genetic predisposition and family history increasing susceptibility (“Hypertension”, 2023; Burnier &amp; Wuerzner, 2015). Modifiable risk factors—including high sodium intake, physical inactivity, smoking, excessive alcohol consumption, and obesity—play a critical role (Mazhar et al., 2023; Mirza et al., 2024). Excess body weight increases vascular resistance and disrupts metabolic regulation, while aging-related changes in renal function and arterial elasticity further elevate blood pressure (Burnier &amp; Wuerzner, 2015; Thalib, 2025).</w:t>
      </w:r>
    </w:p>
    <w:p w14:paraId="285A5146">
      <w:pPr>
        <w:spacing w:line="360" w:lineRule="auto"/>
        <w:jc w:val="both"/>
        <w:rPr>
          <w:rFonts w:hint="default" w:eastAsia="Times New Roman" w:cs="Times New Roman" w:asciiTheme="minorAscii" w:hAnsiTheme="minorAscii"/>
          <w:sz w:val="22"/>
          <w:szCs w:val="22"/>
        </w:rPr>
      </w:pPr>
    </w:p>
    <w:p w14:paraId="2F6047CF">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Given the multifactorial nature of hypertension, personalized and data-driven approaches are essential. By analysing relevant datasets, this report aims to identify key patterns and determinants of hypertension, supporting evidence-based strategies for improved prevention, management, and health outcomes.</w:t>
      </w:r>
    </w:p>
    <w:p w14:paraId="0E09CB17">
      <w:pPr>
        <w:spacing w:line="360" w:lineRule="auto"/>
        <w:jc w:val="both"/>
        <w:rPr>
          <w:rFonts w:hint="default" w:eastAsia="Times New Roman" w:cs="Times New Roman" w:asciiTheme="minorAscii" w:hAnsiTheme="minorAscii"/>
          <w:sz w:val="22"/>
          <w:szCs w:val="22"/>
        </w:rPr>
      </w:pPr>
    </w:p>
    <w:p w14:paraId="0B231089">
      <w:pPr>
        <w:spacing w:line="360" w:lineRule="auto"/>
        <w:jc w:val="both"/>
        <w:rPr>
          <w:rFonts w:hint="default" w:eastAsia="Times New Roman" w:cs="Times New Roman" w:asciiTheme="minorAscii" w:hAnsiTheme="minorAscii"/>
          <w:sz w:val="22"/>
          <w:szCs w:val="22"/>
        </w:rPr>
      </w:pPr>
    </w:p>
    <w:p w14:paraId="79785C91">
      <w:pPr>
        <w:spacing w:line="360" w:lineRule="auto"/>
        <w:jc w:val="both"/>
        <w:rPr>
          <w:rFonts w:hint="default" w:eastAsia="Times New Roman" w:cs="Times New Roman" w:asciiTheme="minorAscii" w:hAnsiTheme="minorAscii"/>
          <w:sz w:val="22"/>
          <w:szCs w:val="22"/>
        </w:rPr>
      </w:pPr>
    </w:p>
    <w:p w14:paraId="7F5B45E5">
      <w:pPr>
        <w:spacing w:line="360" w:lineRule="auto"/>
        <w:jc w:val="both"/>
        <w:rPr>
          <w:rFonts w:hint="default" w:eastAsia="Times New Roman" w:cs="Times New Roman" w:asciiTheme="minorAscii" w:hAnsiTheme="minorAscii"/>
          <w:sz w:val="22"/>
          <w:szCs w:val="22"/>
        </w:rPr>
      </w:pPr>
    </w:p>
    <w:p w14:paraId="5A65CB9C">
      <w:pPr>
        <w:spacing w:line="360" w:lineRule="auto"/>
        <w:jc w:val="both"/>
        <w:rPr>
          <w:rFonts w:hint="default" w:eastAsia="Times New Roman" w:cs="Times New Roman" w:asciiTheme="minorAscii" w:hAnsiTheme="minorAscii"/>
          <w:sz w:val="22"/>
          <w:szCs w:val="22"/>
        </w:rPr>
      </w:pPr>
    </w:p>
    <w:p w14:paraId="70B3459A">
      <w:pPr>
        <w:spacing w:line="360" w:lineRule="auto"/>
        <w:jc w:val="both"/>
        <w:rPr>
          <w:rFonts w:hint="default" w:eastAsia="Times New Roman" w:cs="Times New Roman" w:asciiTheme="minorAscii" w:hAnsiTheme="minorAscii"/>
          <w:sz w:val="22"/>
          <w:szCs w:val="22"/>
        </w:rPr>
      </w:pPr>
    </w:p>
    <w:p w14:paraId="1F3D6994">
      <w:pPr>
        <w:spacing w:line="360" w:lineRule="auto"/>
        <w:jc w:val="both"/>
        <w:rPr>
          <w:rFonts w:hint="default" w:eastAsia="Times New Roman" w:cs="Times New Roman" w:asciiTheme="minorAscii" w:hAnsiTheme="minorAscii"/>
          <w:sz w:val="22"/>
          <w:szCs w:val="22"/>
        </w:rPr>
      </w:pPr>
    </w:p>
    <w:p w14:paraId="5A1D9C19">
      <w:pPr>
        <w:spacing w:line="360" w:lineRule="auto"/>
        <w:jc w:val="both"/>
        <w:rPr>
          <w:rFonts w:hint="default" w:eastAsia="Times New Roman" w:cs="Times New Roman" w:asciiTheme="minorAscii" w:hAnsiTheme="minorAscii"/>
          <w:sz w:val="22"/>
          <w:szCs w:val="22"/>
        </w:rPr>
      </w:pPr>
    </w:p>
    <w:p w14:paraId="0B96A798">
      <w:pPr>
        <w:spacing w:line="360" w:lineRule="auto"/>
        <w:jc w:val="both"/>
        <w:rPr>
          <w:rFonts w:hint="default" w:eastAsia="Times New Roman" w:cs="Times New Roman" w:asciiTheme="minorAscii" w:hAnsiTheme="minorAscii"/>
          <w:sz w:val="22"/>
          <w:szCs w:val="22"/>
        </w:rPr>
      </w:pPr>
    </w:p>
    <w:p w14:paraId="0ECBB609">
      <w:pPr>
        <w:spacing w:line="360" w:lineRule="auto"/>
        <w:jc w:val="both"/>
        <w:rPr>
          <w:rFonts w:hint="default" w:eastAsia="Times New Roman" w:cs="Times New Roman" w:asciiTheme="minorAscii" w:hAnsiTheme="minorAscii"/>
          <w:sz w:val="22"/>
          <w:szCs w:val="22"/>
        </w:rPr>
      </w:pPr>
    </w:p>
    <w:p w14:paraId="4C419460">
      <w:pPr>
        <w:spacing w:line="360" w:lineRule="auto"/>
        <w:jc w:val="both"/>
        <w:rPr>
          <w:rFonts w:hint="default" w:eastAsia="Times New Roman" w:cs="Times New Roman" w:asciiTheme="minorAscii" w:hAnsiTheme="minorAscii"/>
          <w:sz w:val="22"/>
          <w:szCs w:val="22"/>
        </w:rPr>
      </w:pPr>
    </w:p>
    <w:p w14:paraId="63A4FCEA">
      <w:pPr>
        <w:spacing w:line="360" w:lineRule="auto"/>
        <w:jc w:val="both"/>
        <w:rPr>
          <w:rFonts w:hint="default" w:eastAsia="Times New Roman" w:cs="Times New Roman" w:asciiTheme="minorAscii" w:hAnsiTheme="minorAscii"/>
          <w:sz w:val="22"/>
          <w:szCs w:val="22"/>
        </w:rPr>
      </w:pPr>
    </w:p>
    <w:p w14:paraId="4C9D7974">
      <w:pPr>
        <w:spacing w:line="360" w:lineRule="auto"/>
        <w:jc w:val="both"/>
        <w:rPr>
          <w:rFonts w:hint="default" w:eastAsia="Times New Roman" w:cs="Times New Roman" w:asciiTheme="minorAscii" w:hAnsiTheme="minorAscii"/>
          <w:sz w:val="22"/>
          <w:szCs w:val="22"/>
        </w:rPr>
      </w:pPr>
    </w:p>
    <w:p w14:paraId="64AE154E">
      <w:pPr>
        <w:spacing w:line="360" w:lineRule="auto"/>
        <w:jc w:val="both"/>
        <w:rPr>
          <w:rFonts w:hint="default" w:eastAsia="Times New Roman" w:cs="Times New Roman" w:asciiTheme="minorAscii" w:hAnsiTheme="minorAscii"/>
          <w:sz w:val="22"/>
          <w:szCs w:val="22"/>
        </w:rPr>
      </w:pPr>
    </w:p>
    <w:p w14:paraId="443262EF">
      <w:pPr>
        <w:spacing w:line="360" w:lineRule="auto"/>
        <w:jc w:val="both"/>
        <w:rPr>
          <w:rFonts w:hint="default" w:eastAsia="Times New Roman" w:cs="Times New Roman" w:asciiTheme="minorAscii" w:hAnsiTheme="minorAscii"/>
          <w:sz w:val="22"/>
          <w:szCs w:val="22"/>
        </w:rPr>
      </w:pPr>
    </w:p>
    <w:p w14:paraId="1C21A05F">
      <w:pPr>
        <w:spacing w:line="360" w:lineRule="auto"/>
        <w:jc w:val="both"/>
        <w:rPr>
          <w:rFonts w:hint="default" w:eastAsia="Times New Roman" w:cs="Times New Roman" w:asciiTheme="minorAscii" w:hAnsiTheme="minorAscii"/>
          <w:sz w:val="22"/>
          <w:szCs w:val="22"/>
        </w:rPr>
      </w:pPr>
    </w:p>
    <w:p w14:paraId="04EF127C">
      <w:pPr>
        <w:spacing w:line="360" w:lineRule="auto"/>
        <w:jc w:val="both"/>
        <w:rPr>
          <w:rFonts w:hint="default" w:eastAsia="Times New Roman" w:cs="Times New Roman" w:asciiTheme="minorAscii" w:hAnsiTheme="minorAscii"/>
          <w:sz w:val="22"/>
          <w:szCs w:val="22"/>
        </w:rPr>
      </w:pPr>
    </w:p>
    <w:p w14:paraId="597B6DEC">
      <w:pPr>
        <w:spacing w:line="360" w:lineRule="auto"/>
        <w:jc w:val="both"/>
        <w:rPr>
          <w:rFonts w:hint="default" w:eastAsia="Times New Roman" w:cs="Times New Roman" w:asciiTheme="minorAscii" w:hAnsiTheme="minorAscii"/>
          <w:sz w:val="22"/>
          <w:szCs w:val="22"/>
        </w:rPr>
      </w:pPr>
    </w:p>
    <w:p w14:paraId="26F564DB">
      <w:pPr>
        <w:spacing w:line="360" w:lineRule="auto"/>
        <w:jc w:val="both"/>
        <w:rPr>
          <w:rFonts w:hint="default" w:eastAsia="Times New Roman" w:cs="Times New Roman" w:asciiTheme="minorAscii" w:hAnsiTheme="minorAscii"/>
          <w:sz w:val="22"/>
          <w:szCs w:val="22"/>
        </w:rPr>
      </w:pPr>
    </w:p>
    <w:p w14:paraId="3BB0E39A">
      <w:pPr>
        <w:spacing w:line="360" w:lineRule="auto"/>
        <w:jc w:val="both"/>
        <w:rPr>
          <w:rFonts w:hint="default" w:eastAsia="Times New Roman" w:cs="Times New Roman" w:asciiTheme="minorAscii" w:hAnsiTheme="minorAscii"/>
          <w:sz w:val="22"/>
          <w:szCs w:val="22"/>
        </w:rPr>
      </w:pPr>
    </w:p>
    <w:p w14:paraId="0000000B">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Methodology</w:t>
      </w:r>
    </w:p>
    <w:p w14:paraId="0000000C">
      <w:pPr>
        <w:spacing w:before="240" w:after="240"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This analysis focuses on exploring hypertension patterns, understanding key determinants, and building a predictive model using the provided dataset. The workflow begins with thorough data cleaning and pre-processing, including handling missing values, removing duplicates, standardizing column names, encoding categorical variables, and scaling numerical features. This ensures the dataset is consistent and ready for analysis. Descriptive statistics and visualizations, such as histograms, boxplots, and correlation heat maps, are used to examine the distribution of hypertension and identify potential trends, outliers, and relationships between demographic, lifestyle, and clinical factors.</w:t>
      </w:r>
    </w:p>
    <w:p w14:paraId="0A674A02">
      <w:pPr>
        <w:spacing w:before="240" w:after="240"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Following this, statistical tests such as t-tests and correlation analyses are applied to assess significant associations between features and hypertension. Based on these insights, a machine learning model is developed to predict hypertension risk, with the dataset split into training and testing sets. Algorithms such as logistic regression or decision trees are implemented, and model performance is evaluated using metrics including accuracy, precision, recall, and ROC-AUC. This integrated approach demonstrates the application of data analysis, statistical testing, and predictive modelling to extract actionable insights and showcase data-driven problem-solving skills in a professional portfolio.</w:t>
      </w:r>
    </w:p>
    <w:p w14:paraId="1D0A0563">
      <w:pPr>
        <w:spacing w:before="240" w:after="240" w:line="360" w:lineRule="auto"/>
        <w:jc w:val="both"/>
        <w:rPr>
          <w:rFonts w:hint="default" w:eastAsia="Times New Roman" w:cs="Times New Roman" w:asciiTheme="minorAscii" w:hAnsiTheme="minorAscii"/>
          <w:sz w:val="22"/>
          <w:szCs w:val="22"/>
        </w:rPr>
      </w:pPr>
    </w:p>
    <w:p w14:paraId="7828D10A">
      <w:pPr>
        <w:spacing w:before="240" w:after="240" w:line="360" w:lineRule="auto"/>
        <w:jc w:val="both"/>
        <w:rPr>
          <w:rFonts w:hint="default" w:eastAsia="Times New Roman" w:cs="Times New Roman" w:asciiTheme="minorAscii" w:hAnsiTheme="minorAscii"/>
          <w:sz w:val="22"/>
          <w:szCs w:val="22"/>
        </w:rPr>
      </w:pPr>
    </w:p>
    <w:p w14:paraId="7D4B5A97">
      <w:pPr>
        <w:spacing w:before="240" w:after="240" w:line="360" w:lineRule="auto"/>
        <w:jc w:val="both"/>
        <w:rPr>
          <w:rFonts w:hint="default" w:eastAsia="Times New Roman" w:cs="Times New Roman" w:asciiTheme="minorAscii" w:hAnsiTheme="minorAscii"/>
          <w:sz w:val="22"/>
          <w:szCs w:val="22"/>
        </w:rPr>
      </w:pPr>
    </w:p>
    <w:p w14:paraId="675FE555">
      <w:pPr>
        <w:spacing w:before="240" w:after="240" w:line="360" w:lineRule="auto"/>
        <w:jc w:val="both"/>
        <w:rPr>
          <w:rFonts w:hint="default" w:eastAsia="Times New Roman" w:cs="Times New Roman" w:asciiTheme="minorAscii" w:hAnsiTheme="minorAscii"/>
          <w:sz w:val="22"/>
          <w:szCs w:val="22"/>
        </w:rPr>
      </w:pPr>
    </w:p>
    <w:p w14:paraId="123BC233">
      <w:pPr>
        <w:spacing w:before="240" w:after="240" w:line="360" w:lineRule="auto"/>
        <w:jc w:val="both"/>
        <w:rPr>
          <w:rFonts w:hint="default" w:eastAsia="Times New Roman" w:cs="Times New Roman" w:asciiTheme="minorAscii" w:hAnsiTheme="minorAscii"/>
          <w:sz w:val="22"/>
          <w:szCs w:val="22"/>
        </w:rPr>
      </w:pPr>
    </w:p>
    <w:p w14:paraId="23362715">
      <w:pPr>
        <w:spacing w:before="240" w:after="240" w:line="360" w:lineRule="auto"/>
        <w:jc w:val="both"/>
        <w:rPr>
          <w:rFonts w:hint="default" w:eastAsia="Times New Roman" w:cs="Times New Roman" w:asciiTheme="minorAscii" w:hAnsiTheme="minorAscii"/>
          <w:sz w:val="22"/>
          <w:szCs w:val="22"/>
        </w:rPr>
      </w:pPr>
    </w:p>
    <w:p w14:paraId="045DE5B7">
      <w:pPr>
        <w:spacing w:before="240" w:after="240" w:line="360" w:lineRule="auto"/>
        <w:jc w:val="both"/>
        <w:rPr>
          <w:rFonts w:hint="default" w:eastAsia="Times New Roman" w:cs="Times New Roman" w:asciiTheme="minorAscii" w:hAnsiTheme="minorAscii"/>
          <w:sz w:val="22"/>
          <w:szCs w:val="22"/>
        </w:rPr>
      </w:pPr>
    </w:p>
    <w:p w14:paraId="0964CA74">
      <w:pPr>
        <w:spacing w:before="240" w:after="240" w:line="360" w:lineRule="auto"/>
        <w:jc w:val="both"/>
        <w:rPr>
          <w:rFonts w:hint="default" w:eastAsia="Times New Roman" w:cs="Times New Roman" w:asciiTheme="minorAscii" w:hAnsiTheme="minorAscii"/>
          <w:sz w:val="22"/>
          <w:szCs w:val="22"/>
        </w:rPr>
      </w:pPr>
    </w:p>
    <w:p w14:paraId="7877C457">
      <w:pPr>
        <w:spacing w:before="240" w:after="240" w:line="360" w:lineRule="auto"/>
        <w:jc w:val="both"/>
        <w:rPr>
          <w:rFonts w:hint="default" w:eastAsia="Times New Roman" w:cs="Times New Roman" w:asciiTheme="minorAscii" w:hAnsiTheme="minorAscii"/>
          <w:sz w:val="22"/>
          <w:szCs w:val="22"/>
        </w:rPr>
      </w:pPr>
    </w:p>
    <w:p w14:paraId="75C5F0A8">
      <w:pPr>
        <w:spacing w:before="240" w:after="240" w:line="360" w:lineRule="auto"/>
        <w:jc w:val="both"/>
        <w:rPr>
          <w:rFonts w:hint="default" w:eastAsia="Times New Roman" w:cs="Times New Roman" w:asciiTheme="minorAscii" w:hAnsiTheme="minorAscii"/>
          <w:sz w:val="22"/>
          <w:szCs w:val="22"/>
        </w:rPr>
      </w:pPr>
    </w:p>
    <w:p w14:paraId="3B925BE9">
      <w:pPr>
        <w:spacing w:before="240" w:after="240" w:line="360" w:lineRule="auto"/>
        <w:jc w:val="both"/>
        <w:rPr>
          <w:rFonts w:hint="default" w:eastAsia="Times New Roman" w:cs="Times New Roman" w:asciiTheme="minorAscii" w:hAnsiTheme="minorAscii"/>
          <w:sz w:val="22"/>
          <w:szCs w:val="22"/>
        </w:rPr>
      </w:pPr>
    </w:p>
    <w:p w14:paraId="00000012">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Result</w:t>
      </w:r>
    </w:p>
    <w:p w14:paraId="00000013">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Data Overview</w:t>
      </w:r>
    </w:p>
    <w:p w14:paraId="00000014">
      <w:pPr>
        <w:spacing w:before="240" w:after="240"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The </w:t>
      </w:r>
      <w:r>
        <w:rPr>
          <w:rFonts w:hint="eastAsia" w:cs="Times New Roman" w:asciiTheme="minorAscii" w:hAnsiTheme="minorAscii"/>
          <w:sz w:val="22"/>
          <w:szCs w:val="22"/>
          <w:lang w:eastAsia="ja-JP"/>
        </w:rPr>
        <w:t>datasets</w:t>
      </w:r>
      <w:r>
        <w:rPr>
          <w:rFonts w:hint="default" w:eastAsia="Times New Roman" w:cs="Times New Roman" w:asciiTheme="minorAscii" w:hAnsiTheme="minorAscii"/>
          <w:sz w:val="22"/>
          <w:szCs w:val="22"/>
        </w:rPr>
        <w:t xml:space="preserve"> consists of 1985 records with 11 variables capturing demographic, lifestyle, and clinical factors related to hypertension. The numerical features include Age, Salt Intake, Stress Score, Sleep Duration, and BMI. The average age of participants is approximately 50 years, with a wide range from 18 to 84 years, reflecting a diverse adult population? Salt intake averages 8.53 g/day, while stress scores have a mean of 4.98 on the measured scale. Participants report an average sleep duration of 6.45 hours, and the mean BMI is 26.02, indicating that a significant portion of the population falls in the overweight category.</w:t>
      </w:r>
    </w:p>
    <w:p w14:paraId="6469C7B3">
      <w:pPr>
        <w:spacing w:before="240" w:after="240"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The </w:t>
      </w:r>
      <w:r>
        <w:rPr>
          <w:rFonts w:hint="eastAsia" w:cs="Times New Roman" w:asciiTheme="minorAscii" w:hAnsiTheme="minorAscii"/>
          <w:sz w:val="22"/>
          <w:szCs w:val="22"/>
          <w:lang w:eastAsia="ja-JP"/>
        </w:rPr>
        <w:t>datasets</w:t>
      </w:r>
      <w:r>
        <w:rPr>
          <w:rFonts w:hint="default" w:eastAsia="Times New Roman" w:cs="Times New Roman" w:asciiTheme="minorAscii" w:hAnsiTheme="minorAscii"/>
          <w:sz w:val="22"/>
          <w:szCs w:val="22"/>
        </w:rPr>
        <w:t xml:space="preserve"> also includes several categorical variables, such as BP History, Medication, Family History, Exercise Level, Smoking Status, and Has Hypertension. Notably, the Medication column has some missing values (approximately 799 entries), which will require handling during analysis. Other categorical variables, such as family history of hypertension, exercise levels, and smoking status, provide insights into lifestyle and hereditary influences. Overall, these summary statistics highlight the variability and range within the </w:t>
      </w:r>
      <w:r>
        <w:rPr>
          <w:rFonts w:hint="eastAsia" w:cs="Times New Roman" w:asciiTheme="minorAscii" w:hAnsiTheme="minorAscii"/>
          <w:sz w:val="22"/>
          <w:szCs w:val="22"/>
          <w:lang w:eastAsia="ja-JP"/>
        </w:rPr>
        <w:t>datasets</w:t>
      </w:r>
      <w:r>
        <w:rPr>
          <w:rFonts w:hint="default" w:eastAsia="Times New Roman" w:cs="Times New Roman" w:asciiTheme="minorAscii" w:hAnsiTheme="minorAscii"/>
          <w:sz w:val="22"/>
          <w:szCs w:val="22"/>
        </w:rPr>
        <w:t>, establishing a solid foundation for exploratory data analysis, statistical testing, and subsequent machine learning modelling aimed at understanding and predicting hypertension risk.</w:t>
      </w:r>
    </w:p>
    <w:tbl>
      <w:tblPr>
        <w:tblStyle w:val="9"/>
        <w:tblW w:w="8620" w:type="dxa"/>
        <w:tblInd w:w="0" w:type="dxa"/>
        <w:tblLayout w:type="autofit"/>
        <w:tblCellMar>
          <w:top w:w="0" w:type="dxa"/>
          <w:left w:w="108" w:type="dxa"/>
          <w:bottom w:w="0" w:type="dxa"/>
          <w:right w:w="108" w:type="dxa"/>
        </w:tblCellMar>
      </w:tblPr>
      <w:tblGrid>
        <w:gridCol w:w="1900"/>
        <w:gridCol w:w="960"/>
        <w:gridCol w:w="960"/>
        <w:gridCol w:w="960"/>
        <w:gridCol w:w="960"/>
        <w:gridCol w:w="960"/>
        <w:gridCol w:w="960"/>
        <w:gridCol w:w="960"/>
      </w:tblGrid>
      <w:tr w14:paraId="7950AD8B">
        <w:tblPrEx>
          <w:tblCellMar>
            <w:top w:w="0" w:type="dxa"/>
            <w:left w:w="108" w:type="dxa"/>
            <w:bottom w:w="0" w:type="dxa"/>
            <w:right w:w="108" w:type="dxa"/>
          </w:tblCellMar>
        </w:tblPrEx>
        <w:trPr>
          <w:trHeight w:val="300" w:hRule="atLeast"/>
        </w:trPr>
        <w:tc>
          <w:tcPr>
            <w:tcW w:w="1900" w:type="dxa"/>
            <w:tcBorders>
              <w:top w:val="single" w:color="auto" w:sz="4" w:space="0"/>
              <w:left w:val="nil"/>
              <w:bottom w:val="single" w:color="auto" w:sz="4" w:space="0"/>
              <w:right w:val="nil"/>
            </w:tcBorders>
            <w:shd w:val="clear" w:color="auto" w:fill="auto"/>
            <w:vAlign w:val="center"/>
          </w:tcPr>
          <w:p w14:paraId="11C5D834">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Variable</w:t>
            </w:r>
          </w:p>
        </w:tc>
        <w:tc>
          <w:tcPr>
            <w:tcW w:w="960" w:type="dxa"/>
            <w:tcBorders>
              <w:top w:val="single" w:color="auto" w:sz="4" w:space="0"/>
              <w:left w:val="nil"/>
              <w:bottom w:val="single" w:color="auto" w:sz="4" w:space="0"/>
              <w:right w:val="nil"/>
            </w:tcBorders>
            <w:shd w:val="clear" w:color="auto" w:fill="auto"/>
            <w:vAlign w:val="center"/>
          </w:tcPr>
          <w:p w14:paraId="27E45346">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Mean</w:t>
            </w:r>
          </w:p>
        </w:tc>
        <w:tc>
          <w:tcPr>
            <w:tcW w:w="960" w:type="dxa"/>
            <w:tcBorders>
              <w:top w:val="single" w:color="auto" w:sz="4" w:space="0"/>
              <w:left w:val="nil"/>
              <w:bottom w:val="single" w:color="auto" w:sz="4" w:space="0"/>
              <w:right w:val="nil"/>
            </w:tcBorders>
            <w:shd w:val="clear" w:color="auto" w:fill="auto"/>
            <w:vAlign w:val="center"/>
          </w:tcPr>
          <w:p w14:paraId="7D5B5E32">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Std</w:t>
            </w:r>
          </w:p>
        </w:tc>
        <w:tc>
          <w:tcPr>
            <w:tcW w:w="960" w:type="dxa"/>
            <w:tcBorders>
              <w:top w:val="single" w:color="auto" w:sz="4" w:space="0"/>
              <w:left w:val="nil"/>
              <w:bottom w:val="single" w:color="auto" w:sz="4" w:space="0"/>
              <w:right w:val="nil"/>
            </w:tcBorders>
            <w:shd w:val="clear" w:color="auto" w:fill="auto"/>
            <w:vAlign w:val="center"/>
          </w:tcPr>
          <w:p w14:paraId="3539A617">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7FA598FE">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25%</w:t>
            </w:r>
          </w:p>
        </w:tc>
        <w:tc>
          <w:tcPr>
            <w:tcW w:w="960" w:type="dxa"/>
            <w:tcBorders>
              <w:top w:val="single" w:color="auto" w:sz="4" w:space="0"/>
              <w:left w:val="nil"/>
              <w:bottom w:val="single" w:color="auto" w:sz="4" w:space="0"/>
              <w:right w:val="nil"/>
            </w:tcBorders>
            <w:shd w:val="clear" w:color="auto" w:fill="auto"/>
            <w:vAlign w:val="center"/>
          </w:tcPr>
          <w:p w14:paraId="0EEB43E9">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50%</w:t>
            </w:r>
          </w:p>
        </w:tc>
        <w:tc>
          <w:tcPr>
            <w:tcW w:w="960" w:type="dxa"/>
            <w:tcBorders>
              <w:top w:val="single" w:color="auto" w:sz="4" w:space="0"/>
              <w:left w:val="nil"/>
              <w:bottom w:val="single" w:color="auto" w:sz="4" w:space="0"/>
              <w:right w:val="nil"/>
            </w:tcBorders>
            <w:shd w:val="clear" w:color="auto" w:fill="auto"/>
            <w:vAlign w:val="center"/>
          </w:tcPr>
          <w:p w14:paraId="7298EA07">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75%</w:t>
            </w:r>
          </w:p>
        </w:tc>
        <w:tc>
          <w:tcPr>
            <w:tcW w:w="960" w:type="dxa"/>
            <w:tcBorders>
              <w:top w:val="single" w:color="auto" w:sz="4" w:space="0"/>
              <w:left w:val="nil"/>
              <w:bottom w:val="single" w:color="auto" w:sz="4" w:space="0"/>
              <w:right w:val="nil"/>
            </w:tcBorders>
            <w:shd w:val="clear" w:color="auto" w:fill="auto"/>
            <w:vAlign w:val="center"/>
          </w:tcPr>
          <w:p w14:paraId="6F570B12">
            <w:pPr>
              <w:spacing w:line="360" w:lineRule="auto"/>
              <w:jc w:val="both"/>
              <w:rPr>
                <w:rFonts w:hint="default" w:eastAsia="Times New Roman" w:cs="Times New Roman" w:asciiTheme="minorAscii" w:hAnsiTheme="minorAscii"/>
                <w:b/>
                <w:bCs/>
                <w:color w:val="000000"/>
                <w:sz w:val="22"/>
                <w:szCs w:val="22"/>
              </w:rPr>
            </w:pPr>
            <w:r>
              <w:rPr>
                <w:rFonts w:hint="default" w:eastAsia="Times New Roman" w:cs="Times New Roman" w:asciiTheme="minorAscii" w:hAnsiTheme="minorAscii"/>
                <w:b/>
                <w:bCs/>
                <w:color w:val="000000"/>
                <w:sz w:val="22"/>
                <w:szCs w:val="22"/>
              </w:rPr>
              <w:t>Max</w:t>
            </w:r>
          </w:p>
        </w:tc>
      </w:tr>
      <w:tr w14:paraId="3B40C5B2">
        <w:tblPrEx>
          <w:tblCellMar>
            <w:top w:w="0" w:type="dxa"/>
            <w:left w:w="108" w:type="dxa"/>
            <w:bottom w:w="0" w:type="dxa"/>
            <w:right w:w="108" w:type="dxa"/>
          </w:tblCellMar>
        </w:tblPrEx>
        <w:trPr>
          <w:trHeight w:val="300" w:hRule="atLeast"/>
        </w:trPr>
        <w:tc>
          <w:tcPr>
            <w:tcW w:w="1900" w:type="dxa"/>
            <w:tcBorders>
              <w:top w:val="nil"/>
              <w:left w:val="nil"/>
              <w:bottom w:val="nil"/>
              <w:right w:val="nil"/>
            </w:tcBorders>
            <w:shd w:val="clear" w:color="auto" w:fill="auto"/>
            <w:vAlign w:val="center"/>
          </w:tcPr>
          <w:p w14:paraId="271E9F04">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Age</w:t>
            </w:r>
          </w:p>
        </w:tc>
        <w:tc>
          <w:tcPr>
            <w:tcW w:w="960" w:type="dxa"/>
            <w:tcBorders>
              <w:top w:val="nil"/>
              <w:left w:val="nil"/>
              <w:bottom w:val="nil"/>
              <w:right w:val="nil"/>
            </w:tcBorders>
            <w:shd w:val="clear" w:color="auto" w:fill="auto"/>
            <w:vAlign w:val="center"/>
          </w:tcPr>
          <w:p w14:paraId="5CCEE2B7">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50.34</w:t>
            </w:r>
          </w:p>
        </w:tc>
        <w:tc>
          <w:tcPr>
            <w:tcW w:w="960" w:type="dxa"/>
            <w:tcBorders>
              <w:top w:val="nil"/>
              <w:left w:val="nil"/>
              <w:bottom w:val="nil"/>
              <w:right w:val="nil"/>
            </w:tcBorders>
            <w:shd w:val="clear" w:color="auto" w:fill="auto"/>
            <w:vAlign w:val="center"/>
          </w:tcPr>
          <w:p w14:paraId="07DC7A40">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19.44</w:t>
            </w:r>
          </w:p>
        </w:tc>
        <w:tc>
          <w:tcPr>
            <w:tcW w:w="960" w:type="dxa"/>
            <w:tcBorders>
              <w:top w:val="nil"/>
              <w:left w:val="nil"/>
              <w:bottom w:val="nil"/>
              <w:right w:val="nil"/>
            </w:tcBorders>
            <w:shd w:val="clear" w:color="auto" w:fill="auto"/>
            <w:vAlign w:val="center"/>
          </w:tcPr>
          <w:p w14:paraId="304A8EB7">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18</w:t>
            </w:r>
          </w:p>
        </w:tc>
        <w:tc>
          <w:tcPr>
            <w:tcW w:w="960" w:type="dxa"/>
            <w:tcBorders>
              <w:top w:val="nil"/>
              <w:left w:val="nil"/>
              <w:bottom w:val="nil"/>
              <w:right w:val="nil"/>
            </w:tcBorders>
            <w:shd w:val="clear" w:color="auto" w:fill="auto"/>
            <w:vAlign w:val="center"/>
          </w:tcPr>
          <w:p w14:paraId="3751D56D">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34</w:t>
            </w:r>
          </w:p>
        </w:tc>
        <w:tc>
          <w:tcPr>
            <w:tcW w:w="960" w:type="dxa"/>
            <w:tcBorders>
              <w:top w:val="nil"/>
              <w:left w:val="nil"/>
              <w:bottom w:val="nil"/>
              <w:right w:val="nil"/>
            </w:tcBorders>
            <w:shd w:val="clear" w:color="auto" w:fill="auto"/>
            <w:vAlign w:val="center"/>
          </w:tcPr>
          <w:p w14:paraId="5975935C">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50</w:t>
            </w:r>
          </w:p>
        </w:tc>
        <w:tc>
          <w:tcPr>
            <w:tcW w:w="960" w:type="dxa"/>
            <w:tcBorders>
              <w:top w:val="nil"/>
              <w:left w:val="nil"/>
              <w:bottom w:val="nil"/>
              <w:right w:val="nil"/>
            </w:tcBorders>
            <w:shd w:val="clear" w:color="auto" w:fill="auto"/>
            <w:vAlign w:val="center"/>
          </w:tcPr>
          <w:p w14:paraId="0EA30552">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67</w:t>
            </w:r>
          </w:p>
        </w:tc>
        <w:tc>
          <w:tcPr>
            <w:tcW w:w="960" w:type="dxa"/>
            <w:tcBorders>
              <w:top w:val="nil"/>
              <w:left w:val="nil"/>
              <w:bottom w:val="nil"/>
              <w:right w:val="nil"/>
            </w:tcBorders>
            <w:shd w:val="clear" w:color="auto" w:fill="auto"/>
            <w:vAlign w:val="center"/>
          </w:tcPr>
          <w:p w14:paraId="1F0FC68D">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84</w:t>
            </w:r>
          </w:p>
        </w:tc>
      </w:tr>
      <w:tr w14:paraId="1AB73A69">
        <w:tblPrEx>
          <w:tblCellMar>
            <w:top w:w="0" w:type="dxa"/>
            <w:left w:w="108" w:type="dxa"/>
            <w:bottom w:w="0" w:type="dxa"/>
            <w:right w:w="108" w:type="dxa"/>
          </w:tblCellMar>
        </w:tblPrEx>
        <w:trPr>
          <w:trHeight w:val="300" w:hRule="atLeast"/>
        </w:trPr>
        <w:tc>
          <w:tcPr>
            <w:tcW w:w="1900" w:type="dxa"/>
            <w:tcBorders>
              <w:top w:val="nil"/>
              <w:left w:val="nil"/>
              <w:bottom w:val="nil"/>
              <w:right w:val="nil"/>
            </w:tcBorders>
            <w:shd w:val="clear" w:color="auto" w:fill="auto"/>
            <w:vAlign w:val="center"/>
          </w:tcPr>
          <w:p w14:paraId="3EED1987">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Salt Intake</w:t>
            </w:r>
          </w:p>
        </w:tc>
        <w:tc>
          <w:tcPr>
            <w:tcW w:w="960" w:type="dxa"/>
            <w:tcBorders>
              <w:top w:val="nil"/>
              <w:left w:val="nil"/>
              <w:bottom w:val="nil"/>
              <w:right w:val="nil"/>
            </w:tcBorders>
            <w:shd w:val="clear" w:color="auto" w:fill="auto"/>
            <w:vAlign w:val="center"/>
          </w:tcPr>
          <w:p w14:paraId="78026934">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8.53</w:t>
            </w:r>
          </w:p>
        </w:tc>
        <w:tc>
          <w:tcPr>
            <w:tcW w:w="960" w:type="dxa"/>
            <w:tcBorders>
              <w:top w:val="nil"/>
              <w:left w:val="nil"/>
              <w:bottom w:val="nil"/>
              <w:right w:val="nil"/>
            </w:tcBorders>
            <w:shd w:val="clear" w:color="auto" w:fill="auto"/>
            <w:vAlign w:val="center"/>
          </w:tcPr>
          <w:p w14:paraId="0F8AEE99">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1.99</w:t>
            </w:r>
          </w:p>
        </w:tc>
        <w:tc>
          <w:tcPr>
            <w:tcW w:w="960" w:type="dxa"/>
            <w:tcBorders>
              <w:top w:val="nil"/>
              <w:left w:val="nil"/>
              <w:bottom w:val="nil"/>
              <w:right w:val="nil"/>
            </w:tcBorders>
            <w:shd w:val="clear" w:color="auto" w:fill="auto"/>
            <w:vAlign w:val="center"/>
          </w:tcPr>
          <w:p w14:paraId="5FF01D0D">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2.5</w:t>
            </w:r>
          </w:p>
        </w:tc>
        <w:tc>
          <w:tcPr>
            <w:tcW w:w="960" w:type="dxa"/>
            <w:tcBorders>
              <w:top w:val="nil"/>
              <w:left w:val="nil"/>
              <w:bottom w:val="nil"/>
              <w:right w:val="nil"/>
            </w:tcBorders>
            <w:shd w:val="clear" w:color="auto" w:fill="auto"/>
            <w:vAlign w:val="center"/>
          </w:tcPr>
          <w:p w14:paraId="199761C7">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7.2</w:t>
            </w:r>
          </w:p>
        </w:tc>
        <w:tc>
          <w:tcPr>
            <w:tcW w:w="960" w:type="dxa"/>
            <w:tcBorders>
              <w:top w:val="nil"/>
              <w:left w:val="nil"/>
              <w:bottom w:val="nil"/>
              <w:right w:val="nil"/>
            </w:tcBorders>
            <w:shd w:val="clear" w:color="auto" w:fill="auto"/>
            <w:vAlign w:val="center"/>
          </w:tcPr>
          <w:p w14:paraId="5F8ED1E7">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8.5</w:t>
            </w:r>
          </w:p>
        </w:tc>
        <w:tc>
          <w:tcPr>
            <w:tcW w:w="960" w:type="dxa"/>
            <w:tcBorders>
              <w:top w:val="nil"/>
              <w:left w:val="nil"/>
              <w:bottom w:val="nil"/>
              <w:right w:val="nil"/>
            </w:tcBorders>
            <w:shd w:val="clear" w:color="auto" w:fill="auto"/>
            <w:vAlign w:val="center"/>
          </w:tcPr>
          <w:p w14:paraId="0517771E">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9.9</w:t>
            </w:r>
          </w:p>
        </w:tc>
        <w:tc>
          <w:tcPr>
            <w:tcW w:w="960" w:type="dxa"/>
            <w:tcBorders>
              <w:top w:val="nil"/>
              <w:left w:val="nil"/>
              <w:bottom w:val="nil"/>
              <w:right w:val="nil"/>
            </w:tcBorders>
            <w:shd w:val="clear" w:color="auto" w:fill="auto"/>
            <w:vAlign w:val="center"/>
          </w:tcPr>
          <w:p w14:paraId="70417876">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16.4</w:t>
            </w:r>
          </w:p>
        </w:tc>
      </w:tr>
      <w:tr w14:paraId="68EB7C49">
        <w:tblPrEx>
          <w:tblCellMar>
            <w:top w:w="0" w:type="dxa"/>
            <w:left w:w="108" w:type="dxa"/>
            <w:bottom w:w="0" w:type="dxa"/>
            <w:right w:w="108" w:type="dxa"/>
          </w:tblCellMar>
        </w:tblPrEx>
        <w:trPr>
          <w:trHeight w:val="300" w:hRule="atLeast"/>
        </w:trPr>
        <w:tc>
          <w:tcPr>
            <w:tcW w:w="1900" w:type="dxa"/>
            <w:tcBorders>
              <w:top w:val="nil"/>
              <w:left w:val="nil"/>
              <w:bottom w:val="nil"/>
              <w:right w:val="nil"/>
            </w:tcBorders>
            <w:shd w:val="clear" w:color="auto" w:fill="auto"/>
            <w:vAlign w:val="center"/>
          </w:tcPr>
          <w:p w14:paraId="02488539">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Stress Score</w:t>
            </w:r>
          </w:p>
        </w:tc>
        <w:tc>
          <w:tcPr>
            <w:tcW w:w="960" w:type="dxa"/>
            <w:tcBorders>
              <w:top w:val="nil"/>
              <w:left w:val="nil"/>
              <w:bottom w:val="nil"/>
              <w:right w:val="nil"/>
            </w:tcBorders>
            <w:shd w:val="clear" w:color="auto" w:fill="auto"/>
            <w:vAlign w:val="center"/>
          </w:tcPr>
          <w:p w14:paraId="26499078">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4.98</w:t>
            </w:r>
          </w:p>
        </w:tc>
        <w:tc>
          <w:tcPr>
            <w:tcW w:w="960" w:type="dxa"/>
            <w:tcBorders>
              <w:top w:val="nil"/>
              <w:left w:val="nil"/>
              <w:bottom w:val="nil"/>
              <w:right w:val="nil"/>
            </w:tcBorders>
            <w:shd w:val="clear" w:color="auto" w:fill="auto"/>
            <w:vAlign w:val="center"/>
          </w:tcPr>
          <w:p w14:paraId="6F381C70">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3.14</w:t>
            </w:r>
          </w:p>
        </w:tc>
        <w:tc>
          <w:tcPr>
            <w:tcW w:w="960" w:type="dxa"/>
            <w:tcBorders>
              <w:top w:val="nil"/>
              <w:left w:val="nil"/>
              <w:bottom w:val="nil"/>
              <w:right w:val="nil"/>
            </w:tcBorders>
            <w:shd w:val="clear" w:color="auto" w:fill="auto"/>
            <w:vAlign w:val="center"/>
          </w:tcPr>
          <w:p w14:paraId="56A7F484">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0</w:t>
            </w:r>
          </w:p>
        </w:tc>
        <w:tc>
          <w:tcPr>
            <w:tcW w:w="960" w:type="dxa"/>
            <w:tcBorders>
              <w:top w:val="nil"/>
              <w:left w:val="nil"/>
              <w:bottom w:val="nil"/>
              <w:right w:val="nil"/>
            </w:tcBorders>
            <w:shd w:val="clear" w:color="auto" w:fill="auto"/>
            <w:vAlign w:val="center"/>
          </w:tcPr>
          <w:p w14:paraId="045C414D">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w:t>
            </w:r>
          </w:p>
        </w:tc>
        <w:tc>
          <w:tcPr>
            <w:tcW w:w="960" w:type="dxa"/>
            <w:tcBorders>
              <w:top w:val="nil"/>
              <w:left w:val="nil"/>
              <w:bottom w:val="nil"/>
              <w:right w:val="nil"/>
            </w:tcBorders>
            <w:shd w:val="clear" w:color="auto" w:fill="auto"/>
            <w:vAlign w:val="center"/>
          </w:tcPr>
          <w:p w14:paraId="6241D62D">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5</w:t>
            </w:r>
          </w:p>
        </w:tc>
        <w:tc>
          <w:tcPr>
            <w:tcW w:w="960" w:type="dxa"/>
            <w:tcBorders>
              <w:top w:val="nil"/>
              <w:left w:val="nil"/>
              <w:bottom w:val="nil"/>
              <w:right w:val="nil"/>
            </w:tcBorders>
            <w:shd w:val="clear" w:color="auto" w:fill="auto"/>
            <w:vAlign w:val="center"/>
          </w:tcPr>
          <w:p w14:paraId="12C266D3">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8</w:t>
            </w:r>
          </w:p>
        </w:tc>
        <w:tc>
          <w:tcPr>
            <w:tcW w:w="960" w:type="dxa"/>
            <w:tcBorders>
              <w:top w:val="nil"/>
              <w:left w:val="nil"/>
              <w:bottom w:val="nil"/>
              <w:right w:val="nil"/>
            </w:tcBorders>
            <w:shd w:val="clear" w:color="auto" w:fill="auto"/>
            <w:vAlign w:val="center"/>
          </w:tcPr>
          <w:p w14:paraId="46EF6466">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10</w:t>
            </w:r>
          </w:p>
        </w:tc>
      </w:tr>
      <w:tr w14:paraId="00E1B91D">
        <w:tblPrEx>
          <w:tblCellMar>
            <w:top w:w="0" w:type="dxa"/>
            <w:left w:w="108" w:type="dxa"/>
            <w:bottom w:w="0" w:type="dxa"/>
            <w:right w:w="108" w:type="dxa"/>
          </w:tblCellMar>
        </w:tblPrEx>
        <w:trPr>
          <w:trHeight w:val="300" w:hRule="atLeast"/>
        </w:trPr>
        <w:tc>
          <w:tcPr>
            <w:tcW w:w="1900" w:type="dxa"/>
            <w:tcBorders>
              <w:top w:val="nil"/>
              <w:left w:val="nil"/>
              <w:bottom w:val="nil"/>
              <w:right w:val="nil"/>
            </w:tcBorders>
            <w:shd w:val="clear" w:color="auto" w:fill="auto"/>
            <w:vAlign w:val="center"/>
          </w:tcPr>
          <w:p w14:paraId="2D0BF78E">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Sleep Duration</w:t>
            </w:r>
          </w:p>
        </w:tc>
        <w:tc>
          <w:tcPr>
            <w:tcW w:w="960" w:type="dxa"/>
            <w:tcBorders>
              <w:top w:val="nil"/>
              <w:left w:val="nil"/>
              <w:bottom w:val="nil"/>
              <w:right w:val="nil"/>
            </w:tcBorders>
            <w:shd w:val="clear" w:color="auto" w:fill="auto"/>
            <w:vAlign w:val="center"/>
          </w:tcPr>
          <w:p w14:paraId="7FDF04AB">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6.45</w:t>
            </w:r>
          </w:p>
        </w:tc>
        <w:tc>
          <w:tcPr>
            <w:tcW w:w="960" w:type="dxa"/>
            <w:tcBorders>
              <w:top w:val="nil"/>
              <w:left w:val="nil"/>
              <w:bottom w:val="nil"/>
              <w:right w:val="nil"/>
            </w:tcBorders>
            <w:shd w:val="clear" w:color="auto" w:fill="auto"/>
            <w:vAlign w:val="center"/>
          </w:tcPr>
          <w:p w14:paraId="29C31539">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1.54</w:t>
            </w:r>
          </w:p>
        </w:tc>
        <w:tc>
          <w:tcPr>
            <w:tcW w:w="960" w:type="dxa"/>
            <w:tcBorders>
              <w:top w:val="nil"/>
              <w:left w:val="nil"/>
              <w:bottom w:val="nil"/>
              <w:right w:val="nil"/>
            </w:tcBorders>
            <w:shd w:val="clear" w:color="auto" w:fill="auto"/>
            <w:vAlign w:val="center"/>
          </w:tcPr>
          <w:p w14:paraId="3C120459">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1.5</w:t>
            </w:r>
          </w:p>
        </w:tc>
        <w:tc>
          <w:tcPr>
            <w:tcW w:w="960" w:type="dxa"/>
            <w:tcBorders>
              <w:top w:val="nil"/>
              <w:left w:val="nil"/>
              <w:bottom w:val="nil"/>
              <w:right w:val="nil"/>
            </w:tcBorders>
            <w:shd w:val="clear" w:color="auto" w:fill="auto"/>
            <w:vAlign w:val="center"/>
          </w:tcPr>
          <w:p w14:paraId="1A3D9F9A">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5.4</w:t>
            </w:r>
          </w:p>
        </w:tc>
        <w:tc>
          <w:tcPr>
            <w:tcW w:w="960" w:type="dxa"/>
            <w:tcBorders>
              <w:top w:val="nil"/>
              <w:left w:val="nil"/>
              <w:bottom w:val="nil"/>
              <w:right w:val="nil"/>
            </w:tcBorders>
            <w:shd w:val="clear" w:color="auto" w:fill="auto"/>
            <w:vAlign w:val="center"/>
          </w:tcPr>
          <w:p w14:paraId="4920A58B">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6.5</w:t>
            </w:r>
          </w:p>
        </w:tc>
        <w:tc>
          <w:tcPr>
            <w:tcW w:w="960" w:type="dxa"/>
            <w:tcBorders>
              <w:top w:val="nil"/>
              <w:left w:val="nil"/>
              <w:bottom w:val="nil"/>
              <w:right w:val="nil"/>
            </w:tcBorders>
            <w:shd w:val="clear" w:color="auto" w:fill="auto"/>
            <w:vAlign w:val="center"/>
          </w:tcPr>
          <w:p w14:paraId="047BB418">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7.5</w:t>
            </w:r>
          </w:p>
        </w:tc>
        <w:tc>
          <w:tcPr>
            <w:tcW w:w="960" w:type="dxa"/>
            <w:tcBorders>
              <w:top w:val="nil"/>
              <w:left w:val="nil"/>
              <w:bottom w:val="nil"/>
              <w:right w:val="nil"/>
            </w:tcBorders>
            <w:shd w:val="clear" w:color="auto" w:fill="auto"/>
            <w:vAlign w:val="center"/>
          </w:tcPr>
          <w:p w14:paraId="18B8B418">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11.4</w:t>
            </w:r>
          </w:p>
        </w:tc>
      </w:tr>
      <w:tr w14:paraId="2F706B3C">
        <w:tblPrEx>
          <w:tblCellMar>
            <w:top w:w="0" w:type="dxa"/>
            <w:left w:w="108" w:type="dxa"/>
            <w:bottom w:w="0" w:type="dxa"/>
            <w:right w:w="108" w:type="dxa"/>
          </w:tblCellMar>
        </w:tblPrEx>
        <w:trPr>
          <w:trHeight w:val="300" w:hRule="atLeast"/>
        </w:trPr>
        <w:tc>
          <w:tcPr>
            <w:tcW w:w="1900" w:type="dxa"/>
            <w:tcBorders>
              <w:top w:val="nil"/>
              <w:left w:val="nil"/>
              <w:bottom w:val="single" w:color="auto" w:sz="4" w:space="0"/>
              <w:right w:val="nil"/>
            </w:tcBorders>
            <w:shd w:val="clear" w:color="auto" w:fill="auto"/>
            <w:vAlign w:val="center"/>
          </w:tcPr>
          <w:p w14:paraId="6E875072">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BMI</w:t>
            </w:r>
          </w:p>
        </w:tc>
        <w:tc>
          <w:tcPr>
            <w:tcW w:w="960" w:type="dxa"/>
            <w:tcBorders>
              <w:top w:val="nil"/>
              <w:left w:val="nil"/>
              <w:bottom w:val="single" w:color="auto" w:sz="4" w:space="0"/>
              <w:right w:val="nil"/>
            </w:tcBorders>
            <w:shd w:val="clear" w:color="auto" w:fill="auto"/>
            <w:vAlign w:val="center"/>
          </w:tcPr>
          <w:p w14:paraId="45EC103F">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26.02</w:t>
            </w:r>
          </w:p>
        </w:tc>
        <w:tc>
          <w:tcPr>
            <w:tcW w:w="960" w:type="dxa"/>
            <w:tcBorders>
              <w:top w:val="nil"/>
              <w:left w:val="nil"/>
              <w:bottom w:val="single" w:color="auto" w:sz="4" w:space="0"/>
              <w:right w:val="nil"/>
            </w:tcBorders>
            <w:shd w:val="clear" w:color="auto" w:fill="auto"/>
            <w:vAlign w:val="center"/>
          </w:tcPr>
          <w:p w14:paraId="0C380E84">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4.51</w:t>
            </w:r>
          </w:p>
        </w:tc>
        <w:tc>
          <w:tcPr>
            <w:tcW w:w="960" w:type="dxa"/>
            <w:tcBorders>
              <w:top w:val="nil"/>
              <w:left w:val="nil"/>
              <w:bottom w:val="single" w:color="auto" w:sz="4" w:space="0"/>
              <w:right w:val="nil"/>
            </w:tcBorders>
            <w:shd w:val="clear" w:color="auto" w:fill="auto"/>
            <w:vAlign w:val="center"/>
          </w:tcPr>
          <w:p w14:paraId="5D919852">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11.9</w:t>
            </w:r>
          </w:p>
        </w:tc>
        <w:tc>
          <w:tcPr>
            <w:tcW w:w="960" w:type="dxa"/>
            <w:tcBorders>
              <w:top w:val="nil"/>
              <w:left w:val="nil"/>
              <w:bottom w:val="single" w:color="auto" w:sz="4" w:space="0"/>
              <w:right w:val="nil"/>
            </w:tcBorders>
            <w:shd w:val="clear" w:color="auto" w:fill="auto"/>
            <w:vAlign w:val="center"/>
          </w:tcPr>
          <w:p w14:paraId="358D6EBC">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23</w:t>
            </w:r>
          </w:p>
        </w:tc>
        <w:tc>
          <w:tcPr>
            <w:tcW w:w="960" w:type="dxa"/>
            <w:tcBorders>
              <w:top w:val="nil"/>
              <w:left w:val="nil"/>
              <w:bottom w:val="single" w:color="auto" w:sz="4" w:space="0"/>
              <w:right w:val="nil"/>
            </w:tcBorders>
            <w:shd w:val="clear" w:color="auto" w:fill="auto"/>
            <w:vAlign w:val="center"/>
          </w:tcPr>
          <w:p w14:paraId="0DDE002F">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25.9</w:t>
            </w:r>
          </w:p>
        </w:tc>
        <w:tc>
          <w:tcPr>
            <w:tcW w:w="960" w:type="dxa"/>
            <w:tcBorders>
              <w:top w:val="nil"/>
              <w:left w:val="nil"/>
              <w:bottom w:val="single" w:color="auto" w:sz="4" w:space="0"/>
              <w:right w:val="nil"/>
            </w:tcBorders>
            <w:shd w:val="clear" w:color="auto" w:fill="auto"/>
            <w:vAlign w:val="center"/>
          </w:tcPr>
          <w:p w14:paraId="18B9D568">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29.1</w:t>
            </w:r>
          </w:p>
        </w:tc>
        <w:tc>
          <w:tcPr>
            <w:tcW w:w="960" w:type="dxa"/>
            <w:tcBorders>
              <w:top w:val="nil"/>
              <w:left w:val="nil"/>
              <w:bottom w:val="single" w:color="auto" w:sz="4" w:space="0"/>
              <w:right w:val="nil"/>
            </w:tcBorders>
            <w:shd w:val="clear" w:color="auto" w:fill="auto"/>
            <w:vAlign w:val="center"/>
          </w:tcPr>
          <w:p w14:paraId="2C3CB174">
            <w:pPr>
              <w:spacing w:line="360" w:lineRule="auto"/>
              <w:jc w:val="both"/>
              <w:rPr>
                <w:rFonts w:hint="default" w:eastAsia="Times New Roman" w:cs="Times New Roman" w:asciiTheme="minorAscii" w:hAnsiTheme="minorAscii"/>
                <w:color w:val="000000"/>
                <w:sz w:val="22"/>
                <w:szCs w:val="22"/>
              </w:rPr>
            </w:pPr>
            <w:r>
              <w:rPr>
                <w:rFonts w:hint="default" w:eastAsia="Times New Roman" w:cs="Times New Roman" w:asciiTheme="minorAscii" w:hAnsiTheme="minorAscii"/>
                <w:color w:val="000000"/>
                <w:sz w:val="22"/>
                <w:szCs w:val="22"/>
              </w:rPr>
              <w:t>41.9</w:t>
            </w:r>
          </w:p>
        </w:tc>
      </w:tr>
    </w:tbl>
    <w:p w14:paraId="5322A7E1">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Table 1: Variable Summary Statistics</w:t>
      </w:r>
    </w:p>
    <w:p w14:paraId="0ADEEDB7">
      <w:pPr>
        <w:spacing w:before="240" w:after="240"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w:t>
      </w:r>
      <w:r>
        <w:rPr>
          <w:rFonts w:hint="eastAsia" w:cs="Times New Roman" w:asciiTheme="minorAscii" w:hAnsiTheme="minorAscii"/>
          <w:bCs/>
          <w:sz w:val="22"/>
          <w:szCs w:val="22"/>
          <w:lang w:eastAsia="ja-JP"/>
        </w:rPr>
        <w:t>datasets</w:t>
      </w:r>
      <w:r>
        <w:rPr>
          <w:rFonts w:hint="default" w:eastAsia="Times New Roman" w:cs="Times New Roman" w:asciiTheme="minorAscii" w:hAnsiTheme="minorAscii"/>
          <w:bCs/>
          <w:sz w:val="22"/>
          <w:szCs w:val="22"/>
        </w:rPr>
        <w:t xml:space="preserve"> reflects a diverse adult population, with participants ranging from 18 to 84 years and an average age of 50 years, suggesting inclusion of both younger and older adults. Salt intake averages 8.53 g/day, slightly above recommended levels, indicating potential dietary risk for hypertension. The Stress Score shows moderate variability (mean 4.98), with some individuals experiencing high stress. Sleep duration averages 6.45 hours, slightly below the recommended 7–8 hours, which may impact cardiovascular health. The mean BMI of 26.02 falls in the overweight range, highlighting a prevalent risk factor. Overall, these statistics indicate variability in lifestyle and clinical factors relevant to hypertension.</w:t>
      </w:r>
    </w:p>
    <w:p w14:paraId="29027BEE">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Age by Hypertension </w:t>
      </w:r>
    </w:p>
    <w:p w14:paraId="48312FE8">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5172075" cy="3448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72696" cy="3448464"/>
                    </a:xfrm>
                    <a:prstGeom prst="rect">
                      <a:avLst/>
                    </a:prstGeom>
                  </pic:spPr>
                </pic:pic>
              </a:graphicData>
            </a:graphic>
          </wp:inline>
        </w:drawing>
      </w:r>
    </w:p>
    <w:p w14:paraId="58C32348">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Fig 1: Bar chart Average Age on Hypertension</w:t>
      </w:r>
    </w:p>
    <w:tbl>
      <w:tblPr>
        <w:tblStyle w:val="9"/>
        <w:tblpPr w:leftFromText="180" w:rightFromText="180" w:vertAnchor="text" w:horzAnchor="margin" w:tblpY="197"/>
        <w:tblW w:w="9580" w:type="dxa"/>
        <w:tblInd w:w="0" w:type="dxa"/>
        <w:tblLayout w:type="autofit"/>
        <w:tblCellMar>
          <w:top w:w="0" w:type="dxa"/>
          <w:left w:w="108" w:type="dxa"/>
          <w:bottom w:w="0" w:type="dxa"/>
          <w:right w:w="108" w:type="dxa"/>
        </w:tblCellMar>
      </w:tblPr>
      <w:tblGrid>
        <w:gridCol w:w="1899"/>
        <w:gridCol w:w="959"/>
        <w:gridCol w:w="970"/>
        <w:gridCol w:w="959"/>
        <w:gridCol w:w="959"/>
        <w:gridCol w:w="958"/>
        <w:gridCol w:w="958"/>
        <w:gridCol w:w="959"/>
        <w:gridCol w:w="959"/>
      </w:tblGrid>
      <w:tr w14:paraId="24BC6947">
        <w:tblPrEx>
          <w:tblCellMar>
            <w:top w:w="0" w:type="dxa"/>
            <w:left w:w="108" w:type="dxa"/>
            <w:bottom w:w="0" w:type="dxa"/>
            <w:right w:w="108" w:type="dxa"/>
          </w:tblCellMar>
        </w:tblPrEx>
        <w:trPr>
          <w:trHeight w:val="600" w:hRule="atLeast"/>
        </w:trPr>
        <w:tc>
          <w:tcPr>
            <w:tcW w:w="1900" w:type="dxa"/>
            <w:tcBorders>
              <w:top w:val="single" w:color="auto" w:sz="4" w:space="0"/>
              <w:left w:val="nil"/>
              <w:bottom w:val="single" w:color="auto" w:sz="4" w:space="0"/>
              <w:right w:val="nil"/>
            </w:tcBorders>
            <w:shd w:val="clear" w:color="auto" w:fill="auto"/>
            <w:vAlign w:val="center"/>
          </w:tcPr>
          <w:p w14:paraId="007DB40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w:t>
            </w:r>
          </w:p>
        </w:tc>
        <w:tc>
          <w:tcPr>
            <w:tcW w:w="960" w:type="dxa"/>
            <w:tcBorders>
              <w:top w:val="single" w:color="auto" w:sz="4" w:space="0"/>
              <w:left w:val="nil"/>
              <w:bottom w:val="single" w:color="auto" w:sz="4" w:space="0"/>
              <w:right w:val="nil"/>
            </w:tcBorders>
            <w:shd w:val="clear" w:color="auto" w:fill="auto"/>
            <w:vAlign w:val="center"/>
          </w:tcPr>
          <w:p w14:paraId="716F658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Mean Age</w:t>
            </w:r>
          </w:p>
        </w:tc>
        <w:tc>
          <w:tcPr>
            <w:tcW w:w="960" w:type="dxa"/>
            <w:tcBorders>
              <w:top w:val="single" w:color="auto" w:sz="4" w:space="0"/>
              <w:left w:val="nil"/>
              <w:bottom w:val="single" w:color="auto" w:sz="4" w:space="0"/>
              <w:right w:val="nil"/>
            </w:tcBorders>
            <w:shd w:val="clear" w:color="auto" w:fill="auto"/>
            <w:vAlign w:val="center"/>
          </w:tcPr>
          <w:p w14:paraId="5997AE3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Median Age</w:t>
            </w:r>
          </w:p>
        </w:tc>
        <w:tc>
          <w:tcPr>
            <w:tcW w:w="960" w:type="dxa"/>
            <w:tcBorders>
              <w:top w:val="single" w:color="auto" w:sz="4" w:space="0"/>
              <w:left w:val="nil"/>
              <w:bottom w:val="single" w:color="auto" w:sz="4" w:space="0"/>
              <w:right w:val="nil"/>
            </w:tcBorders>
            <w:shd w:val="clear" w:color="auto" w:fill="auto"/>
            <w:vAlign w:val="center"/>
          </w:tcPr>
          <w:p w14:paraId="2B041B4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Std. Dev</w:t>
            </w:r>
          </w:p>
        </w:tc>
        <w:tc>
          <w:tcPr>
            <w:tcW w:w="960" w:type="dxa"/>
            <w:tcBorders>
              <w:top w:val="single" w:color="auto" w:sz="4" w:space="0"/>
              <w:left w:val="nil"/>
              <w:bottom w:val="single" w:color="auto" w:sz="4" w:space="0"/>
              <w:right w:val="nil"/>
            </w:tcBorders>
            <w:shd w:val="clear" w:color="auto" w:fill="auto"/>
            <w:vAlign w:val="center"/>
          </w:tcPr>
          <w:p w14:paraId="5797205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5BC0E0F4">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Q1</w:t>
            </w:r>
          </w:p>
        </w:tc>
        <w:tc>
          <w:tcPr>
            <w:tcW w:w="960" w:type="dxa"/>
            <w:tcBorders>
              <w:top w:val="single" w:color="auto" w:sz="4" w:space="0"/>
              <w:left w:val="nil"/>
              <w:bottom w:val="single" w:color="auto" w:sz="4" w:space="0"/>
              <w:right w:val="nil"/>
            </w:tcBorders>
            <w:shd w:val="clear" w:color="auto" w:fill="auto"/>
            <w:vAlign w:val="center"/>
          </w:tcPr>
          <w:p w14:paraId="1182DCB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Q3</w:t>
            </w:r>
          </w:p>
        </w:tc>
        <w:tc>
          <w:tcPr>
            <w:tcW w:w="960" w:type="dxa"/>
            <w:tcBorders>
              <w:top w:val="single" w:color="auto" w:sz="4" w:space="0"/>
              <w:left w:val="nil"/>
              <w:bottom w:val="single" w:color="auto" w:sz="4" w:space="0"/>
              <w:right w:val="nil"/>
            </w:tcBorders>
            <w:shd w:val="clear" w:color="auto" w:fill="auto"/>
            <w:vAlign w:val="center"/>
          </w:tcPr>
          <w:p w14:paraId="645922E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Max</w:t>
            </w:r>
          </w:p>
        </w:tc>
        <w:tc>
          <w:tcPr>
            <w:tcW w:w="960" w:type="dxa"/>
            <w:tcBorders>
              <w:top w:val="single" w:color="auto" w:sz="4" w:space="0"/>
              <w:left w:val="nil"/>
              <w:bottom w:val="single" w:color="auto" w:sz="4" w:space="0"/>
              <w:right w:val="nil"/>
            </w:tcBorders>
            <w:shd w:val="clear" w:color="auto" w:fill="auto"/>
            <w:vAlign w:val="center"/>
          </w:tcPr>
          <w:p w14:paraId="4A9DD9E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IQR</w:t>
            </w:r>
          </w:p>
        </w:tc>
      </w:tr>
      <w:tr w14:paraId="45700AAF">
        <w:tblPrEx>
          <w:tblCellMar>
            <w:top w:w="0" w:type="dxa"/>
            <w:left w:w="108" w:type="dxa"/>
            <w:bottom w:w="0" w:type="dxa"/>
            <w:right w:w="108" w:type="dxa"/>
          </w:tblCellMar>
        </w:tblPrEx>
        <w:trPr>
          <w:trHeight w:val="300" w:hRule="atLeast"/>
        </w:trPr>
        <w:tc>
          <w:tcPr>
            <w:tcW w:w="1900" w:type="dxa"/>
            <w:tcBorders>
              <w:top w:val="nil"/>
              <w:left w:val="nil"/>
              <w:bottom w:val="nil"/>
              <w:right w:val="nil"/>
            </w:tcBorders>
            <w:shd w:val="clear" w:color="auto" w:fill="auto"/>
            <w:vAlign w:val="center"/>
          </w:tcPr>
          <w:p w14:paraId="6B1F88C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960" w:type="dxa"/>
            <w:tcBorders>
              <w:top w:val="nil"/>
              <w:left w:val="nil"/>
              <w:bottom w:val="nil"/>
              <w:right w:val="nil"/>
            </w:tcBorders>
            <w:shd w:val="clear" w:color="auto" w:fill="auto"/>
            <w:vAlign w:val="center"/>
          </w:tcPr>
          <w:p w14:paraId="33CF3F2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46.08</w:t>
            </w:r>
          </w:p>
        </w:tc>
        <w:tc>
          <w:tcPr>
            <w:tcW w:w="960" w:type="dxa"/>
            <w:tcBorders>
              <w:top w:val="nil"/>
              <w:left w:val="nil"/>
              <w:bottom w:val="nil"/>
              <w:right w:val="nil"/>
            </w:tcBorders>
            <w:shd w:val="clear" w:color="auto" w:fill="auto"/>
            <w:vAlign w:val="center"/>
          </w:tcPr>
          <w:p w14:paraId="30B623D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43</w:t>
            </w:r>
          </w:p>
        </w:tc>
        <w:tc>
          <w:tcPr>
            <w:tcW w:w="960" w:type="dxa"/>
            <w:tcBorders>
              <w:top w:val="nil"/>
              <w:left w:val="nil"/>
              <w:bottom w:val="nil"/>
              <w:right w:val="nil"/>
            </w:tcBorders>
            <w:shd w:val="clear" w:color="auto" w:fill="auto"/>
            <w:vAlign w:val="center"/>
          </w:tcPr>
          <w:p w14:paraId="568AC2A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18.95</w:t>
            </w:r>
          </w:p>
        </w:tc>
        <w:tc>
          <w:tcPr>
            <w:tcW w:w="960" w:type="dxa"/>
            <w:tcBorders>
              <w:top w:val="nil"/>
              <w:left w:val="nil"/>
              <w:bottom w:val="nil"/>
              <w:right w:val="nil"/>
            </w:tcBorders>
            <w:shd w:val="clear" w:color="auto" w:fill="auto"/>
            <w:vAlign w:val="center"/>
          </w:tcPr>
          <w:p w14:paraId="245B6E8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18</w:t>
            </w:r>
          </w:p>
        </w:tc>
        <w:tc>
          <w:tcPr>
            <w:tcW w:w="960" w:type="dxa"/>
            <w:tcBorders>
              <w:top w:val="nil"/>
              <w:left w:val="nil"/>
              <w:bottom w:val="nil"/>
              <w:right w:val="nil"/>
            </w:tcBorders>
            <w:shd w:val="clear" w:color="auto" w:fill="auto"/>
            <w:vAlign w:val="center"/>
          </w:tcPr>
          <w:p w14:paraId="62ACA27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30</w:t>
            </w:r>
          </w:p>
        </w:tc>
        <w:tc>
          <w:tcPr>
            <w:tcW w:w="960" w:type="dxa"/>
            <w:tcBorders>
              <w:top w:val="nil"/>
              <w:left w:val="nil"/>
              <w:bottom w:val="nil"/>
              <w:right w:val="nil"/>
            </w:tcBorders>
            <w:shd w:val="clear" w:color="auto" w:fill="auto"/>
            <w:vAlign w:val="center"/>
          </w:tcPr>
          <w:p w14:paraId="13E16C2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61</w:t>
            </w:r>
          </w:p>
        </w:tc>
        <w:tc>
          <w:tcPr>
            <w:tcW w:w="960" w:type="dxa"/>
            <w:tcBorders>
              <w:top w:val="nil"/>
              <w:left w:val="nil"/>
              <w:bottom w:val="nil"/>
              <w:right w:val="nil"/>
            </w:tcBorders>
            <w:shd w:val="clear" w:color="auto" w:fill="auto"/>
            <w:vAlign w:val="center"/>
          </w:tcPr>
          <w:p w14:paraId="49FEBB2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84</w:t>
            </w:r>
          </w:p>
        </w:tc>
        <w:tc>
          <w:tcPr>
            <w:tcW w:w="960" w:type="dxa"/>
            <w:tcBorders>
              <w:top w:val="nil"/>
              <w:left w:val="nil"/>
              <w:bottom w:val="nil"/>
              <w:right w:val="nil"/>
            </w:tcBorders>
            <w:shd w:val="clear" w:color="auto" w:fill="auto"/>
            <w:vAlign w:val="center"/>
          </w:tcPr>
          <w:p w14:paraId="4C5DCC3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31</w:t>
            </w:r>
          </w:p>
        </w:tc>
      </w:tr>
      <w:tr w14:paraId="257FC1E7">
        <w:tblPrEx>
          <w:tblCellMar>
            <w:top w:w="0" w:type="dxa"/>
            <w:left w:w="108" w:type="dxa"/>
            <w:bottom w:w="0" w:type="dxa"/>
            <w:right w:w="108" w:type="dxa"/>
          </w:tblCellMar>
        </w:tblPrEx>
        <w:trPr>
          <w:trHeight w:val="300" w:hRule="atLeast"/>
        </w:trPr>
        <w:tc>
          <w:tcPr>
            <w:tcW w:w="1900" w:type="dxa"/>
            <w:tcBorders>
              <w:top w:val="nil"/>
              <w:left w:val="nil"/>
              <w:bottom w:val="single" w:color="auto" w:sz="4" w:space="0"/>
              <w:right w:val="nil"/>
            </w:tcBorders>
            <w:shd w:val="clear" w:color="auto" w:fill="auto"/>
            <w:vAlign w:val="center"/>
          </w:tcPr>
          <w:p w14:paraId="7656B7F5">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960" w:type="dxa"/>
            <w:tcBorders>
              <w:top w:val="nil"/>
              <w:left w:val="nil"/>
              <w:bottom w:val="single" w:color="auto" w:sz="4" w:space="0"/>
              <w:right w:val="nil"/>
            </w:tcBorders>
            <w:shd w:val="clear" w:color="auto" w:fill="auto"/>
            <w:vAlign w:val="center"/>
          </w:tcPr>
          <w:p w14:paraId="77DC30C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54.28</w:t>
            </w:r>
          </w:p>
        </w:tc>
        <w:tc>
          <w:tcPr>
            <w:tcW w:w="960" w:type="dxa"/>
            <w:tcBorders>
              <w:top w:val="nil"/>
              <w:left w:val="nil"/>
              <w:bottom w:val="single" w:color="auto" w:sz="4" w:space="0"/>
              <w:right w:val="nil"/>
            </w:tcBorders>
            <w:shd w:val="clear" w:color="auto" w:fill="auto"/>
            <w:vAlign w:val="center"/>
          </w:tcPr>
          <w:p w14:paraId="55484F6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56</w:t>
            </w:r>
          </w:p>
        </w:tc>
        <w:tc>
          <w:tcPr>
            <w:tcW w:w="960" w:type="dxa"/>
            <w:tcBorders>
              <w:top w:val="nil"/>
              <w:left w:val="nil"/>
              <w:bottom w:val="single" w:color="auto" w:sz="4" w:space="0"/>
              <w:right w:val="nil"/>
            </w:tcBorders>
            <w:shd w:val="clear" w:color="auto" w:fill="auto"/>
            <w:vAlign w:val="center"/>
          </w:tcPr>
          <w:p w14:paraId="521A3DA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19.06</w:t>
            </w:r>
          </w:p>
        </w:tc>
        <w:tc>
          <w:tcPr>
            <w:tcW w:w="960" w:type="dxa"/>
            <w:tcBorders>
              <w:top w:val="nil"/>
              <w:left w:val="nil"/>
              <w:bottom w:val="single" w:color="auto" w:sz="4" w:space="0"/>
              <w:right w:val="nil"/>
            </w:tcBorders>
            <w:shd w:val="clear" w:color="auto" w:fill="auto"/>
            <w:vAlign w:val="center"/>
          </w:tcPr>
          <w:p w14:paraId="53BB8AA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18</w:t>
            </w:r>
          </w:p>
        </w:tc>
        <w:tc>
          <w:tcPr>
            <w:tcW w:w="960" w:type="dxa"/>
            <w:tcBorders>
              <w:top w:val="nil"/>
              <w:left w:val="nil"/>
              <w:bottom w:val="single" w:color="auto" w:sz="4" w:space="0"/>
              <w:right w:val="nil"/>
            </w:tcBorders>
            <w:shd w:val="clear" w:color="auto" w:fill="auto"/>
            <w:vAlign w:val="center"/>
          </w:tcPr>
          <w:p w14:paraId="5CC30CD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38</w:t>
            </w:r>
          </w:p>
        </w:tc>
        <w:tc>
          <w:tcPr>
            <w:tcW w:w="960" w:type="dxa"/>
            <w:tcBorders>
              <w:top w:val="nil"/>
              <w:left w:val="nil"/>
              <w:bottom w:val="single" w:color="auto" w:sz="4" w:space="0"/>
              <w:right w:val="nil"/>
            </w:tcBorders>
            <w:shd w:val="clear" w:color="auto" w:fill="auto"/>
            <w:vAlign w:val="center"/>
          </w:tcPr>
          <w:p w14:paraId="41D0B50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70</w:t>
            </w:r>
          </w:p>
        </w:tc>
        <w:tc>
          <w:tcPr>
            <w:tcW w:w="960" w:type="dxa"/>
            <w:tcBorders>
              <w:top w:val="nil"/>
              <w:left w:val="nil"/>
              <w:bottom w:val="single" w:color="auto" w:sz="4" w:space="0"/>
              <w:right w:val="nil"/>
            </w:tcBorders>
            <w:shd w:val="clear" w:color="auto" w:fill="auto"/>
            <w:vAlign w:val="center"/>
          </w:tcPr>
          <w:p w14:paraId="7EBE93D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84</w:t>
            </w:r>
          </w:p>
        </w:tc>
        <w:tc>
          <w:tcPr>
            <w:tcW w:w="960" w:type="dxa"/>
            <w:tcBorders>
              <w:top w:val="nil"/>
              <w:left w:val="nil"/>
              <w:bottom w:val="single" w:color="auto" w:sz="4" w:space="0"/>
              <w:right w:val="nil"/>
            </w:tcBorders>
            <w:shd w:val="clear" w:color="auto" w:fill="auto"/>
            <w:vAlign w:val="center"/>
          </w:tcPr>
          <w:p w14:paraId="703B141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32</w:t>
            </w:r>
          </w:p>
        </w:tc>
      </w:tr>
    </w:tbl>
    <w:p w14:paraId="3C2D4DDA">
      <w:pPr>
        <w:spacing w:before="240" w:after="240" w:line="360" w:lineRule="auto"/>
        <w:jc w:val="both"/>
        <w:rPr>
          <w:rFonts w:hint="default" w:eastAsia="Times New Roman" w:cs="Times New Roman" w:asciiTheme="minorAscii" w:hAnsiTheme="minorAscii"/>
          <w:b/>
          <w:sz w:val="22"/>
          <w:szCs w:val="22"/>
        </w:rPr>
      </w:pPr>
      <w:r>
        <w:rPr>
          <w:rFonts w:hint="default" w:eastAsia="Times New Roman" w:cs="Times New Roman" w:asciiTheme="minorAscii" w:hAnsiTheme="minorAscii"/>
          <w:b/>
          <w:sz w:val="22"/>
          <w:szCs w:val="22"/>
        </w:rPr>
        <w:t xml:space="preserve">Table 2: Summary Statistics Age on Hypertension </w:t>
      </w:r>
    </w:p>
    <w:p w14:paraId="38D3355B">
      <w:pPr>
        <w:spacing w:before="240" w:after="240" w:line="360" w:lineRule="auto"/>
        <w:jc w:val="both"/>
        <w:rPr>
          <w:rFonts w:hint="default" w:eastAsia="Times New Roman" w:cs="Times New Roman" w:asciiTheme="minorAscii" w:hAnsiTheme="minorAscii"/>
          <w:b/>
          <w:sz w:val="22"/>
          <w:szCs w:val="22"/>
        </w:rPr>
      </w:pPr>
    </w:p>
    <w:p w14:paraId="6E5A3F70">
      <w:pPr>
        <w:spacing w:before="240" w:after="240"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The cross-tabulated age statistics show a clear difference between individuals with and without hypertension. Participants with hypertension have a higher mean age (54.28 years) and median age (56 years) compared to those without hypertension, who’s mean and median ages are 46.08 and 43 years respectively. This suggests that hypertension is more prevalent among older individuals in the </w:t>
      </w:r>
      <w:r>
        <w:rPr>
          <w:rFonts w:hint="eastAsia" w:cs="Times New Roman" w:asciiTheme="minorAscii" w:hAnsiTheme="minorAscii"/>
          <w:sz w:val="22"/>
          <w:szCs w:val="22"/>
          <w:lang w:eastAsia="ja-JP"/>
        </w:rPr>
        <w:t>datasets</w:t>
      </w:r>
      <w:r>
        <w:rPr>
          <w:rFonts w:hint="default" w:eastAsia="Times New Roman" w:cs="Times New Roman" w:asciiTheme="minorAscii" w:hAnsiTheme="minorAscii"/>
          <w:sz w:val="22"/>
          <w:szCs w:val="22"/>
        </w:rPr>
        <w:t xml:space="preserve">. The similar standard deviations in both groups indicate comparable age variability, while the higher </w:t>
      </w:r>
      <w:r>
        <w:rPr>
          <w:rFonts w:hint="eastAsia" w:cs="Times New Roman" w:asciiTheme="minorAscii" w:hAnsiTheme="minorAscii"/>
          <w:sz w:val="22"/>
          <w:szCs w:val="22"/>
          <w:lang w:eastAsia="ja-JP"/>
        </w:rPr>
        <w:t>quartile</w:t>
      </w:r>
      <w:r>
        <w:rPr>
          <w:rFonts w:hint="default" w:eastAsia="Times New Roman" w:cs="Times New Roman" w:asciiTheme="minorAscii" w:hAnsiTheme="minorAscii"/>
          <w:sz w:val="22"/>
          <w:szCs w:val="22"/>
        </w:rPr>
        <w:t xml:space="preserve"> (Q1 and Q3) for the hypertensive group further emphasize an age shift toward older populations. Overall, age appears to be an important factor associated with hypertension status in this analysis.</w:t>
      </w:r>
    </w:p>
    <w:p w14:paraId="04ECFB71">
      <w:pPr>
        <w:spacing w:before="240" w:after="240" w:line="360" w:lineRule="auto"/>
        <w:jc w:val="both"/>
        <w:rPr>
          <w:rFonts w:hint="default" w:eastAsia="Times New Roman" w:cs="Times New Roman" w:asciiTheme="minorAscii" w:hAnsiTheme="minorAscii"/>
          <w:sz w:val="22"/>
          <w:szCs w:val="22"/>
        </w:rPr>
      </w:pPr>
    </w:p>
    <w:p w14:paraId="4381E8A1">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Hypotheses (Influence of Age on Hypertension) </w:t>
      </w:r>
    </w:p>
    <w:p w14:paraId="7780AFF3">
      <w:pPr>
        <w:pStyle w:val="16"/>
        <w:numPr>
          <w:ilvl w:val="0"/>
          <w:numId w:val="1"/>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Null hypothesis (H₀): </w:t>
      </w:r>
      <w:r>
        <w:rPr>
          <w:rFonts w:hint="default" w:eastAsia="Times New Roman" w:cs="Times New Roman" w:asciiTheme="minorAscii" w:hAnsiTheme="minorAscii"/>
          <w:bCs/>
          <w:sz w:val="22"/>
          <w:szCs w:val="22"/>
        </w:rPr>
        <w:t>There is no difference in mean age between individuals with hypertension and those without.</w:t>
      </w:r>
    </w:p>
    <w:p w14:paraId="190F88A8">
      <w:pPr>
        <w:pStyle w:val="16"/>
        <w:numPr>
          <w:ilvl w:val="0"/>
          <w:numId w:val="1"/>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Alternative hypothesis (H₁): </w:t>
      </w:r>
      <w:r>
        <w:rPr>
          <w:rFonts w:hint="default" w:eastAsia="Times New Roman" w:cs="Times New Roman" w:asciiTheme="minorAscii" w:hAnsiTheme="minorAscii"/>
          <w:bCs/>
          <w:sz w:val="22"/>
          <w:szCs w:val="22"/>
        </w:rPr>
        <w:t>There is a significant difference in mean age between the two groups</w:t>
      </w:r>
    </w:p>
    <w:p w14:paraId="35128582">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714"/>
        <w:gridCol w:w="936"/>
        <w:gridCol w:w="848"/>
        <w:gridCol w:w="941"/>
        <w:gridCol w:w="1668"/>
        <w:gridCol w:w="1502"/>
        <w:gridCol w:w="1201"/>
        <w:gridCol w:w="1369"/>
      </w:tblGrid>
      <w:tr w14:paraId="441955DF">
        <w:tblPrEx>
          <w:tblCellMar>
            <w:top w:w="0" w:type="dxa"/>
            <w:left w:w="0" w:type="dxa"/>
            <w:bottom w:w="0" w:type="dxa"/>
            <w:right w:w="0" w:type="dxa"/>
          </w:tblCellMar>
        </w:tblPrEx>
        <w:trPr>
          <w:tblHeader/>
        </w:trPr>
        <w:tc>
          <w:tcPr>
            <w:tcW w:w="0" w:type="auto"/>
            <w:gridSpan w:val="8"/>
            <w:tcBorders>
              <w:top w:val="nil"/>
              <w:left w:val="nil"/>
              <w:bottom w:val="single" w:color="000000" w:sz="6" w:space="0"/>
              <w:right w:val="nil"/>
            </w:tcBorders>
            <w:tcMar>
              <w:top w:w="90" w:type="dxa"/>
              <w:left w:w="0" w:type="dxa"/>
              <w:bottom w:w="90" w:type="dxa"/>
              <w:right w:w="150" w:type="dxa"/>
            </w:tcMar>
            <w:vAlign w:val="center"/>
          </w:tcPr>
          <w:p w14:paraId="68E213A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Independent Samples T-Test</w:t>
            </w:r>
            <w:r>
              <w:rPr>
                <w:rFonts w:hint="default" w:eastAsia="Times New Roman" w:asciiTheme="minorAscii" w:hAnsiTheme="minorAscii"/>
                <w:color w:val="000000"/>
                <w:sz w:val="22"/>
                <w:szCs w:val="22"/>
              </w:rPr>
              <w:t xml:space="preserve"> </w:t>
            </w:r>
          </w:p>
        </w:tc>
      </w:tr>
      <w:tr w14:paraId="6E14866E">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1B00222F">
            <w:pPr>
              <w:spacing w:line="240" w:lineRule="auto"/>
              <w:jc w:val="both"/>
              <w:rPr>
                <w:rFonts w:hint="default" w:eastAsia="Times New Roman" w:asciiTheme="minorAscii" w:hAnsiTheme="minorAscii"/>
                <w:color w:val="000000"/>
                <w:sz w:val="22"/>
                <w:szCs w:val="22"/>
              </w:rPr>
            </w:pP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F2C143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t</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90FF26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 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3D2EEE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E24B29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Mean Difference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30E4496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Difference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0E112F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Cohen's d</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5A1750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Cohen's d</w:t>
            </w:r>
          </w:p>
        </w:tc>
      </w:tr>
      <w:tr w14:paraId="29009DC0">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4761CD4">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Age</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23CB606">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-9.597</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4E1FE92F">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9418438">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17A3183">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-8.196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7CA27E8">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0.854</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169EDC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-0.431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7D31CB1">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0.046</w:t>
            </w:r>
          </w:p>
        </w:tc>
      </w:tr>
      <w:tr w14:paraId="6C385D71">
        <w:tblPrEx>
          <w:tblCellMar>
            <w:top w:w="0" w:type="dxa"/>
            <w:left w:w="0" w:type="dxa"/>
            <w:bottom w:w="0" w:type="dxa"/>
            <w:right w:w="0" w:type="dxa"/>
          </w:tblCellMar>
        </w:tblPrEx>
        <w:tc>
          <w:tcPr>
            <w:tcW w:w="0" w:type="auto"/>
            <w:gridSpan w:val="8"/>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17B0945C">
            <w:pPr>
              <w:spacing w:after="144" w:line="240" w:lineRule="auto"/>
              <w:jc w:val="both"/>
              <w:rPr>
                <w:rFonts w:hint="default" w:eastAsia="Times New Roman" w:asciiTheme="minorAscii" w:hAnsiTheme="minorAscii"/>
                <w:color w:val="000000"/>
                <w:sz w:val="22"/>
                <w:szCs w:val="22"/>
              </w:rPr>
            </w:pPr>
          </w:p>
        </w:tc>
      </w:tr>
      <w:tr w14:paraId="5E4EE7E0">
        <w:tblPrEx>
          <w:tblCellMar>
            <w:top w:w="0" w:type="dxa"/>
            <w:left w:w="0" w:type="dxa"/>
            <w:bottom w:w="0" w:type="dxa"/>
            <w:right w:w="0" w:type="dxa"/>
          </w:tblCellMar>
        </w:tblPrEx>
        <w:tc>
          <w:tcPr>
            <w:tcW w:w="0" w:type="auto"/>
            <w:gridSpan w:val="8"/>
            <w:tcBorders>
              <w:top w:val="nil"/>
              <w:left w:val="nil"/>
              <w:bottom w:val="nil"/>
              <w:right w:val="nil"/>
            </w:tcBorders>
            <w:tcMar>
              <w:top w:w="15" w:type="dxa"/>
              <w:left w:w="0" w:type="dxa"/>
              <w:bottom w:w="45" w:type="dxa"/>
              <w:right w:w="180" w:type="dxa"/>
            </w:tcMar>
            <w:vAlign w:val="center"/>
          </w:tcPr>
          <w:p w14:paraId="4965B7F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Student's t-test.</w:t>
            </w:r>
          </w:p>
        </w:tc>
      </w:tr>
    </w:tbl>
    <w:p w14:paraId="0000001F">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3: T-test Impact of Age On hypertension </w:t>
      </w:r>
    </w:p>
    <w:p w14:paraId="3B369DB8">
      <w:pPr>
        <w:spacing w:line="360" w:lineRule="auto"/>
        <w:jc w:val="both"/>
        <w:rPr>
          <w:rFonts w:hint="default" w:eastAsia="Times New Roman" w:cs="Times New Roman" w:asciiTheme="minorAscii" w:hAnsiTheme="minorAscii"/>
          <w:b/>
          <w:bCs/>
          <w:sz w:val="22"/>
          <w:szCs w:val="22"/>
        </w:rPr>
      </w:pPr>
    </w:p>
    <w:p w14:paraId="32040C13">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independent samples t-test indicates a statistically significant difference in age between </w:t>
      </w:r>
      <w:r>
        <w:rPr>
          <w:rFonts w:hint="default" w:cs="Times New Roman" w:asciiTheme="minorAscii" w:hAnsiTheme="minorAscii" w:eastAsiaTheme="minorEastAsia"/>
          <w:bCs/>
          <w:sz w:val="22"/>
          <w:szCs w:val="22"/>
        </w:rPr>
        <w:t>individuals</w:t>
      </w:r>
      <w:r>
        <w:rPr>
          <w:rFonts w:hint="default" w:eastAsia="Times New Roman" w:cs="Times New Roman" w:asciiTheme="minorAscii" w:hAnsiTheme="minorAscii"/>
          <w:bCs/>
          <w:sz w:val="22"/>
          <w:szCs w:val="22"/>
        </w:rPr>
        <w:t xml:space="preserve"> with and without hypertension. The result shows a large t-value (t = −9.597, df = 1983, p &lt; .001), meaning the observed difference in mean age is highly unlikely to have occurred by chance. On average, individuals without hypertension are about 8.2 years younger than those with hypertension, as reflected in the mean difference. The effect size, Cohen’s d = −0.43, represents a moderate practical effect, indicating that the age difference is not only statistically significant but also meaningful in real-world terms. Overall, this finding supports age as an important factor associated with hypertension status in the </w:t>
      </w:r>
      <w:r>
        <w:rPr>
          <w:rFonts w:hint="eastAsia" w:cs="Times New Roman" w:asciiTheme="minorAscii" w:hAnsiTheme="minorAscii"/>
          <w:bCs/>
          <w:sz w:val="22"/>
          <w:szCs w:val="22"/>
          <w:lang w:eastAsia="ja-JP"/>
        </w:rPr>
        <w:t>dateset</w:t>
      </w:r>
      <w:r>
        <w:rPr>
          <w:rFonts w:hint="default" w:eastAsia="Times New Roman" w:cs="Times New Roman" w:asciiTheme="minorAscii" w:hAnsiTheme="minorAscii"/>
          <w:bCs/>
          <w:sz w:val="22"/>
          <w:szCs w:val="22"/>
        </w:rPr>
        <w:t>.</w:t>
      </w:r>
    </w:p>
    <w:p w14:paraId="67C9D57F">
      <w:pPr>
        <w:spacing w:before="240" w:after="240" w:line="360" w:lineRule="auto"/>
        <w:jc w:val="both"/>
        <w:rPr>
          <w:rFonts w:hint="default" w:eastAsia="Times New Roman" w:cs="Times New Roman" w:asciiTheme="minorAscii" w:hAnsiTheme="minorAscii"/>
          <w:b/>
          <w:bCs/>
          <w:sz w:val="22"/>
          <w:szCs w:val="22"/>
        </w:rPr>
      </w:pPr>
    </w:p>
    <w:p w14:paraId="6B743BF2">
      <w:pPr>
        <w:spacing w:before="240" w:after="240" w:line="360" w:lineRule="auto"/>
        <w:jc w:val="both"/>
        <w:rPr>
          <w:rFonts w:hint="default" w:eastAsia="Times New Roman" w:cs="Times New Roman" w:asciiTheme="minorAscii" w:hAnsiTheme="minorAscii"/>
          <w:b/>
          <w:bCs/>
          <w:sz w:val="22"/>
          <w:szCs w:val="22"/>
        </w:rPr>
      </w:pPr>
    </w:p>
    <w:p w14:paraId="358E487E">
      <w:pPr>
        <w:spacing w:before="240" w:after="240" w:line="360" w:lineRule="auto"/>
        <w:jc w:val="both"/>
        <w:rPr>
          <w:rFonts w:hint="default" w:eastAsia="Times New Roman" w:cs="Times New Roman" w:asciiTheme="minorAscii" w:hAnsiTheme="minorAscii"/>
          <w:b/>
          <w:bCs/>
          <w:sz w:val="22"/>
          <w:szCs w:val="22"/>
        </w:rPr>
      </w:pPr>
    </w:p>
    <w:p w14:paraId="06E981C2">
      <w:pPr>
        <w:spacing w:before="240" w:after="240" w:line="360" w:lineRule="auto"/>
        <w:jc w:val="both"/>
        <w:rPr>
          <w:rFonts w:hint="default" w:eastAsia="Times New Roman" w:cs="Times New Roman" w:asciiTheme="minorAscii" w:hAnsiTheme="minorAscii"/>
          <w:b/>
          <w:bCs/>
          <w:sz w:val="22"/>
          <w:szCs w:val="22"/>
        </w:rPr>
      </w:pPr>
    </w:p>
    <w:p w14:paraId="2F70F2BF">
      <w:pPr>
        <w:spacing w:before="240" w:after="240" w:line="360" w:lineRule="auto"/>
        <w:jc w:val="both"/>
        <w:rPr>
          <w:rFonts w:hint="default" w:eastAsia="Times New Roman" w:cs="Times New Roman" w:asciiTheme="minorAscii" w:hAnsiTheme="minorAscii"/>
          <w:b/>
          <w:bCs/>
          <w:sz w:val="22"/>
          <w:szCs w:val="22"/>
        </w:rPr>
      </w:pPr>
    </w:p>
    <w:p w14:paraId="5295E6AC">
      <w:pPr>
        <w:spacing w:before="240" w:after="240" w:line="360" w:lineRule="auto"/>
        <w:jc w:val="both"/>
        <w:rPr>
          <w:rFonts w:hint="default" w:eastAsia="Times New Roman" w:cs="Times New Roman" w:asciiTheme="minorAscii" w:hAnsiTheme="minorAscii"/>
          <w:b/>
          <w:bCs/>
          <w:sz w:val="22"/>
          <w:szCs w:val="22"/>
        </w:rPr>
      </w:pPr>
    </w:p>
    <w:p w14:paraId="0D1FEF3E">
      <w:pPr>
        <w:spacing w:before="240" w:after="240" w:line="360" w:lineRule="auto"/>
        <w:jc w:val="both"/>
        <w:rPr>
          <w:rFonts w:hint="default" w:eastAsia="Times New Roman" w:cs="Times New Roman" w:asciiTheme="minorAscii" w:hAnsiTheme="minorAscii"/>
          <w:b/>
          <w:bCs/>
          <w:sz w:val="22"/>
          <w:szCs w:val="22"/>
        </w:rPr>
      </w:pPr>
    </w:p>
    <w:p w14:paraId="57E66E55">
      <w:pPr>
        <w:spacing w:before="240" w:after="240" w:line="360" w:lineRule="auto"/>
        <w:jc w:val="both"/>
        <w:rPr>
          <w:rFonts w:hint="default" w:eastAsia="Times New Roman" w:cs="Times New Roman" w:asciiTheme="minorAscii" w:hAnsiTheme="minorAscii"/>
          <w:b/>
          <w:bCs/>
          <w:sz w:val="22"/>
          <w:szCs w:val="22"/>
        </w:rPr>
      </w:pPr>
    </w:p>
    <w:p w14:paraId="7A9B2BF9">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Impact of Salt on Hypertension </w:t>
      </w:r>
    </w:p>
    <w:p w14:paraId="65A9C7FD">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5715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52ACAEBC">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Fig 2: Bar Chart Salt on Hypertension </w:t>
      </w:r>
    </w:p>
    <w:tbl>
      <w:tblPr>
        <w:tblStyle w:val="9"/>
        <w:tblW w:w="10080" w:type="dxa"/>
        <w:tblInd w:w="0" w:type="dxa"/>
        <w:tblLayout w:type="autofit"/>
        <w:tblCellMar>
          <w:top w:w="0" w:type="dxa"/>
          <w:left w:w="108" w:type="dxa"/>
          <w:bottom w:w="0" w:type="dxa"/>
          <w:right w:w="108" w:type="dxa"/>
        </w:tblCellMar>
      </w:tblPr>
      <w:tblGrid>
        <w:gridCol w:w="2398"/>
        <w:gridCol w:w="959"/>
        <w:gridCol w:w="970"/>
        <w:gridCol w:w="959"/>
        <w:gridCol w:w="959"/>
        <w:gridCol w:w="958"/>
        <w:gridCol w:w="959"/>
        <w:gridCol w:w="959"/>
        <w:gridCol w:w="959"/>
      </w:tblGrid>
      <w:tr w14:paraId="7501116D">
        <w:tblPrEx>
          <w:tblCellMar>
            <w:top w:w="0" w:type="dxa"/>
            <w:left w:w="108" w:type="dxa"/>
            <w:bottom w:w="0" w:type="dxa"/>
            <w:right w:w="108" w:type="dxa"/>
          </w:tblCellMar>
        </w:tblPrEx>
        <w:trPr>
          <w:trHeight w:val="600" w:hRule="atLeast"/>
        </w:trPr>
        <w:tc>
          <w:tcPr>
            <w:tcW w:w="2400" w:type="dxa"/>
            <w:tcBorders>
              <w:top w:val="single" w:color="auto" w:sz="4" w:space="0"/>
              <w:left w:val="nil"/>
              <w:bottom w:val="single" w:color="auto" w:sz="4" w:space="0"/>
              <w:right w:val="nil"/>
            </w:tcBorders>
            <w:shd w:val="clear" w:color="auto" w:fill="auto"/>
            <w:vAlign w:val="center"/>
          </w:tcPr>
          <w:p w14:paraId="6815F1D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Hypertension/Salt Intake</w:t>
            </w:r>
          </w:p>
        </w:tc>
        <w:tc>
          <w:tcPr>
            <w:tcW w:w="960" w:type="dxa"/>
            <w:tcBorders>
              <w:top w:val="single" w:color="auto" w:sz="4" w:space="0"/>
              <w:left w:val="nil"/>
              <w:bottom w:val="single" w:color="auto" w:sz="4" w:space="0"/>
              <w:right w:val="nil"/>
            </w:tcBorders>
            <w:shd w:val="clear" w:color="auto" w:fill="auto"/>
            <w:vAlign w:val="center"/>
          </w:tcPr>
          <w:p w14:paraId="2CEB05B8">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Mean</w:t>
            </w:r>
          </w:p>
        </w:tc>
        <w:tc>
          <w:tcPr>
            <w:tcW w:w="960" w:type="dxa"/>
            <w:tcBorders>
              <w:top w:val="single" w:color="auto" w:sz="4" w:space="0"/>
              <w:left w:val="nil"/>
              <w:bottom w:val="single" w:color="auto" w:sz="4" w:space="0"/>
              <w:right w:val="nil"/>
            </w:tcBorders>
            <w:shd w:val="clear" w:color="auto" w:fill="auto"/>
            <w:vAlign w:val="center"/>
          </w:tcPr>
          <w:p w14:paraId="4F47240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Median</w:t>
            </w:r>
          </w:p>
        </w:tc>
        <w:tc>
          <w:tcPr>
            <w:tcW w:w="960" w:type="dxa"/>
            <w:tcBorders>
              <w:top w:val="single" w:color="auto" w:sz="4" w:space="0"/>
              <w:left w:val="nil"/>
              <w:bottom w:val="single" w:color="auto" w:sz="4" w:space="0"/>
              <w:right w:val="nil"/>
            </w:tcBorders>
            <w:shd w:val="clear" w:color="auto" w:fill="auto"/>
            <w:vAlign w:val="center"/>
          </w:tcPr>
          <w:p w14:paraId="773F207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Std. Dev</w:t>
            </w:r>
          </w:p>
        </w:tc>
        <w:tc>
          <w:tcPr>
            <w:tcW w:w="960" w:type="dxa"/>
            <w:tcBorders>
              <w:top w:val="single" w:color="auto" w:sz="4" w:space="0"/>
              <w:left w:val="nil"/>
              <w:bottom w:val="single" w:color="auto" w:sz="4" w:space="0"/>
              <w:right w:val="nil"/>
            </w:tcBorders>
            <w:shd w:val="clear" w:color="auto" w:fill="auto"/>
            <w:vAlign w:val="center"/>
          </w:tcPr>
          <w:p w14:paraId="4BCDB7AB">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2E0C02C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Q1</w:t>
            </w:r>
          </w:p>
        </w:tc>
        <w:tc>
          <w:tcPr>
            <w:tcW w:w="960" w:type="dxa"/>
            <w:tcBorders>
              <w:top w:val="single" w:color="auto" w:sz="4" w:space="0"/>
              <w:left w:val="nil"/>
              <w:bottom w:val="single" w:color="auto" w:sz="4" w:space="0"/>
              <w:right w:val="nil"/>
            </w:tcBorders>
            <w:shd w:val="clear" w:color="auto" w:fill="auto"/>
            <w:vAlign w:val="center"/>
          </w:tcPr>
          <w:p w14:paraId="1DD23B3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Q3</w:t>
            </w:r>
          </w:p>
        </w:tc>
        <w:tc>
          <w:tcPr>
            <w:tcW w:w="960" w:type="dxa"/>
            <w:tcBorders>
              <w:top w:val="single" w:color="auto" w:sz="4" w:space="0"/>
              <w:left w:val="nil"/>
              <w:bottom w:val="single" w:color="auto" w:sz="4" w:space="0"/>
              <w:right w:val="nil"/>
            </w:tcBorders>
            <w:shd w:val="clear" w:color="auto" w:fill="auto"/>
            <w:vAlign w:val="center"/>
          </w:tcPr>
          <w:p w14:paraId="25379BE8">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Max</w:t>
            </w:r>
          </w:p>
        </w:tc>
        <w:tc>
          <w:tcPr>
            <w:tcW w:w="960" w:type="dxa"/>
            <w:tcBorders>
              <w:top w:val="single" w:color="auto" w:sz="4" w:space="0"/>
              <w:left w:val="nil"/>
              <w:bottom w:val="single" w:color="auto" w:sz="4" w:space="0"/>
              <w:right w:val="nil"/>
            </w:tcBorders>
            <w:shd w:val="clear" w:color="auto" w:fill="auto"/>
            <w:vAlign w:val="center"/>
          </w:tcPr>
          <w:p w14:paraId="6164D9B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IQR</w:t>
            </w:r>
          </w:p>
        </w:tc>
      </w:tr>
      <w:tr w14:paraId="37F91C20">
        <w:tblPrEx>
          <w:tblCellMar>
            <w:top w:w="0" w:type="dxa"/>
            <w:left w:w="108" w:type="dxa"/>
            <w:bottom w:w="0" w:type="dxa"/>
            <w:right w:w="108" w:type="dxa"/>
          </w:tblCellMar>
        </w:tblPrEx>
        <w:trPr>
          <w:trHeight w:val="300" w:hRule="atLeast"/>
        </w:trPr>
        <w:tc>
          <w:tcPr>
            <w:tcW w:w="2400" w:type="dxa"/>
            <w:tcBorders>
              <w:top w:val="nil"/>
              <w:left w:val="nil"/>
              <w:bottom w:val="nil"/>
              <w:right w:val="nil"/>
            </w:tcBorders>
            <w:shd w:val="clear" w:color="auto" w:fill="auto"/>
            <w:vAlign w:val="center"/>
          </w:tcPr>
          <w:p w14:paraId="45067B8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960" w:type="dxa"/>
            <w:tcBorders>
              <w:top w:val="nil"/>
              <w:left w:val="nil"/>
              <w:bottom w:val="nil"/>
              <w:right w:val="nil"/>
            </w:tcBorders>
            <w:shd w:val="clear" w:color="auto" w:fill="auto"/>
            <w:vAlign w:val="center"/>
          </w:tcPr>
          <w:p w14:paraId="24BDF0D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8.29</w:t>
            </w:r>
          </w:p>
        </w:tc>
        <w:tc>
          <w:tcPr>
            <w:tcW w:w="960" w:type="dxa"/>
            <w:tcBorders>
              <w:top w:val="nil"/>
              <w:left w:val="nil"/>
              <w:bottom w:val="nil"/>
              <w:right w:val="nil"/>
            </w:tcBorders>
            <w:shd w:val="clear" w:color="auto" w:fill="auto"/>
            <w:vAlign w:val="center"/>
          </w:tcPr>
          <w:p w14:paraId="25CD392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8.3</w:t>
            </w:r>
          </w:p>
        </w:tc>
        <w:tc>
          <w:tcPr>
            <w:tcW w:w="960" w:type="dxa"/>
            <w:tcBorders>
              <w:top w:val="nil"/>
              <w:left w:val="nil"/>
              <w:bottom w:val="nil"/>
              <w:right w:val="nil"/>
            </w:tcBorders>
            <w:shd w:val="clear" w:color="auto" w:fill="auto"/>
            <w:vAlign w:val="center"/>
          </w:tcPr>
          <w:p w14:paraId="4D1761B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1.88</w:t>
            </w:r>
          </w:p>
        </w:tc>
        <w:tc>
          <w:tcPr>
            <w:tcW w:w="960" w:type="dxa"/>
            <w:tcBorders>
              <w:top w:val="nil"/>
              <w:left w:val="nil"/>
              <w:bottom w:val="nil"/>
              <w:right w:val="nil"/>
            </w:tcBorders>
            <w:shd w:val="clear" w:color="auto" w:fill="auto"/>
            <w:vAlign w:val="center"/>
          </w:tcPr>
          <w:p w14:paraId="150C98A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2.5</w:t>
            </w:r>
          </w:p>
        </w:tc>
        <w:tc>
          <w:tcPr>
            <w:tcW w:w="960" w:type="dxa"/>
            <w:tcBorders>
              <w:top w:val="nil"/>
              <w:left w:val="nil"/>
              <w:bottom w:val="nil"/>
              <w:right w:val="nil"/>
            </w:tcBorders>
            <w:shd w:val="clear" w:color="auto" w:fill="auto"/>
            <w:vAlign w:val="center"/>
          </w:tcPr>
          <w:p w14:paraId="1F49ED9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7.1</w:t>
            </w:r>
          </w:p>
        </w:tc>
        <w:tc>
          <w:tcPr>
            <w:tcW w:w="960" w:type="dxa"/>
            <w:tcBorders>
              <w:top w:val="nil"/>
              <w:left w:val="nil"/>
              <w:bottom w:val="nil"/>
              <w:right w:val="nil"/>
            </w:tcBorders>
            <w:shd w:val="clear" w:color="auto" w:fill="auto"/>
            <w:vAlign w:val="center"/>
          </w:tcPr>
          <w:p w14:paraId="722D151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9.5</w:t>
            </w:r>
          </w:p>
        </w:tc>
        <w:tc>
          <w:tcPr>
            <w:tcW w:w="960" w:type="dxa"/>
            <w:tcBorders>
              <w:top w:val="nil"/>
              <w:left w:val="nil"/>
              <w:bottom w:val="nil"/>
              <w:right w:val="nil"/>
            </w:tcBorders>
            <w:shd w:val="clear" w:color="auto" w:fill="auto"/>
            <w:vAlign w:val="center"/>
          </w:tcPr>
          <w:p w14:paraId="468F25F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14.8</w:t>
            </w:r>
          </w:p>
        </w:tc>
        <w:tc>
          <w:tcPr>
            <w:tcW w:w="960" w:type="dxa"/>
            <w:tcBorders>
              <w:top w:val="nil"/>
              <w:left w:val="nil"/>
              <w:bottom w:val="nil"/>
              <w:right w:val="nil"/>
            </w:tcBorders>
            <w:shd w:val="clear" w:color="auto" w:fill="auto"/>
            <w:vAlign w:val="center"/>
          </w:tcPr>
          <w:p w14:paraId="7CB146E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2.4</w:t>
            </w:r>
          </w:p>
        </w:tc>
      </w:tr>
      <w:tr w14:paraId="164CC91F">
        <w:tblPrEx>
          <w:tblCellMar>
            <w:top w:w="0" w:type="dxa"/>
            <w:left w:w="108" w:type="dxa"/>
            <w:bottom w:w="0" w:type="dxa"/>
            <w:right w:w="108" w:type="dxa"/>
          </w:tblCellMar>
        </w:tblPrEx>
        <w:trPr>
          <w:trHeight w:val="300" w:hRule="atLeast"/>
        </w:trPr>
        <w:tc>
          <w:tcPr>
            <w:tcW w:w="2400" w:type="dxa"/>
            <w:tcBorders>
              <w:top w:val="nil"/>
              <w:left w:val="nil"/>
              <w:bottom w:val="single" w:color="auto" w:sz="4" w:space="0"/>
              <w:right w:val="nil"/>
            </w:tcBorders>
            <w:shd w:val="clear" w:color="auto" w:fill="auto"/>
            <w:vAlign w:val="center"/>
          </w:tcPr>
          <w:p w14:paraId="6AB8D12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960" w:type="dxa"/>
            <w:tcBorders>
              <w:top w:val="nil"/>
              <w:left w:val="nil"/>
              <w:bottom w:val="single" w:color="auto" w:sz="4" w:space="0"/>
              <w:right w:val="nil"/>
            </w:tcBorders>
            <w:shd w:val="clear" w:color="auto" w:fill="auto"/>
            <w:vAlign w:val="center"/>
          </w:tcPr>
          <w:p w14:paraId="4F3D146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8.75</w:t>
            </w:r>
          </w:p>
        </w:tc>
        <w:tc>
          <w:tcPr>
            <w:tcW w:w="960" w:type="dxa"/>
            <w:tcBorders>
              <w:top w:val="nil"/>
              <w:left w:val="nil"/>
              <w:bottom w:val="single" w:color="auto" w:sz="4" w:space="0"/>
              <w:right w:val="nil"/>
            </w:tcBorders>
            <w:shd w:val="clear" w:color="auto" w:fill="auto"/>
            <w:vAlign w:val="center"/>
          </w:tcPr>
          <w:p w14:paraId="754536B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8.7</w:t>
            </w:r>
          </w:p>
        </w:tc>
        <w:tc>
          <w:tcPr>
            <w:tcW w:w="960" w:type="dxa"/>
            <w:tcBorders>
              <w:top w:val="nil"/>
              <w:left w:val="nil"/>
              <w:bottom w:val="single" w:color="auto" w:sz="4" w:space="0"/>
              <w:right w:val="nil"/>
            </w:tcBorders>
            <w:shd w:val="clear" w:color="auto" w:fill="auto"/>
            <w:vAlign w:val="center"/>
          </w:tcPr>
          <w:p w14:paraId="7B520A1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2.07</w:t>
            </w:r>
          </w:p>
        </w:tc>
        <w:tc>
          <w:tcPr>
            <w:tcW w:w="960" w:type="dxa"/>
            <w:tcBorders>
              <w:top w:val="nil"/>
              <w:left w:val="nil"/>
              <w:bottom w:val="single" w:color="auto" w:sz="4" w:space="0"/>
              <w:right w:val="nil"/>
            </w:tcBorders>
            <w:shd w:val="clear" w:color="auto" w:fill="auto"/>
            <w:vAlign w:val="center"/>
          </w:tcPr>
          <w:p w14:paraId="155AD46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2.5</w:t>
            </w:r>
          </w:p>
        </w:tc>
        <w:tc>
          <w:tcPr>
            <w:tcW w:w="960" w:type="dxa"/>
            <w:tcBorders>
              <w:top w:val="nil"/>
              <w:left w:val="nil"/>
              <w:bottom w:val="single" w:color="auto" w:sz="4" w:space="0"/>
              <w:right w:val="nil"/>
            </w:tcBorders>
            <w:shd w:val="clear" w:color="auto" w:fill="auto"/>
            <w:vAlign w:val="center"/>
          </w:tcPr>
          <w:p w14:paraId="5892389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7.3</w:t>
            </w:r>
          </w:p>
        </w:tc>
        <w:tc>
          <w:tcPr>
            <w:tcW w:w="960" w:type="dxa"/>
            <w:tcBorders>
              <w:top w:val="nil"/>
              <w:left w:val="nil"/>
              <w:bottom w:val="single" w:color="auto" w:sz="4" w:space="0"/>
              <w:right w:val="nil"/>
            </w:tcBorders>
            <w:shd w:val="clear" w:color="auto" w:fill="auto"/>
            <w:vAlign w:val="center"/>
          </w:tcPr>
          <w:p w14:paraId="7C930C1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10.3</w:t>
            </w:r>
          </w:p>
        </w:tc>
        <w:tc>
          <w:tcPr>
            <w:tcW w:w="960" w:type="dxa"/>
            <w:tcBorders>
              <w:top w:val="nil"/>
              <w:left w:val="nil"/>
              <w:bottom w:val="single" w:color="auto" w:sz="4" w:space="0"/>
              <w:right w:val="nil"/>
            </w:tcBorders>
            <w:shd w:val="clear" w:color="auto" w:fill="auto"/>
            <w:vAlign w:val="center"/>
          </w:tcPr>
          <w:p w14:paraId="3044CB5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16.4</w:t>
            </w:r>
          </w:p>
        </w:tc>
        <w:tc>
          <w:tcPr>
            <w:tcW w:w="960" w:type="dxa"/>
            <w:tcBorders>
              <w:top w:val="nil"/>
              <w:left w:val="nil"/>
              <w:bottom w:val="single" w:color="auto" w:sz="4" w:space="0"/>
              <w:right w:val="nil"/>
            </w:tcBorders>
            <w:shd w:val="clear" w:color="auto" w:fill="auto"/>
            <w:vAlign w:val="center"/>
          </w:tcPr>
          <w:p w14:paraId="5A3AA15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w:t>
            </w:r>
          </w:p>
        </w:tc>
      </w:tr>
    </w:tbl>
    <w:p w14:paraId="28E72BDF">
      <w:pPr>
        <w:spacing w:line="360" w:lineRule="auto"/>
        <w:jc w:val="both"/>
        <w:rPr>
          <w:rFonts w:hint="default" w:eastAsia="Times New Roman" w:cs="Times New Roman" w:asciiTheme="minorAscii" w:hAnsiTheme="minorAscii"/>
          <w:b/>
          <w:bCs/>
          <w:sz w:val="22"/>
          <w:szCs w:val="22"/>
        </w:rPr>
      </w:pPr>
    </w:p>
    <w:p w14:paraId="66809C8E">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4: Summary Statistics Salt on Hypertension </w:t>
      </w:r>
    </w:p>
    <w:p w14:paraId="43E489AA">
      <w:pPr>
        <w:spacing w:line="360" w:lineRule="auto"/>
        <w:jc w:val="both"/>
        <w:rPr>
          <w:rFonts w:hint="default" w:eastAsia="Times New Roman" w:cs="Times New Roman" w:asciiTheme="minorAscii" w:hAnsiTheme="minorAscii"/>
          <w:bCs/>
          <w:sz w:val="22"/>
          <w:szCs w:val="22"/>
        </w:rPr>
      </w:pPr>
    </w:p>
    <w:p w14:paraId="605897BD">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summary statistics indicate that individuals with hypertension consume slightly more salt on average than those without hypertension. The mean salt intake for hypertensive participants (8.75 g/day) exceeds that of non-hypertensive individuals (8.29 g/day), and this pattern is consistent across the median values, suggesting a generally higher central tendency rather than being driven by extreme values. The hypertensive group also shows greater variability in salt intake, as reflected by a higher standard deviation and a wider </w:t>
      </w:r>
      <w:r>
        <w:rPr>
          <w:rFonts w:hint="eastAsia" w:cs="Times New Roman" w:asciiTheme="minorAscii" w:hAnsiTheme="minorAscii"/>
          <w:bCs/>
          <w:sz w:val="22"/>
          <w:szCs w:val="22"/>
          <w:lang w:eastAsia="ja-JP"/>
        </w:rPr>
        <w:t>inter-quartile</w:t>
      </w:r>
      <w:r>
        <w:rPr>
          <w:rFonts w:hint="default" w:eastAsia="Times New Roman" w:cs="Times New Roman" w:asciiTheme="minorAscii" w:hAnsiTheme="minorAscii"/>
          <w:bCs/>
          <w:sz w:val="22"/>
          <w:szCs w:val="22"/>
        </w:rPr>
        <w:t xml:space="preserve"> range (3.0 vs. 2.4), indicating more dispersed consumption habits. Higher upper quartile and maximum values among hypertensive individuals further suggest that excessive salt intake is more prevalent in this group, reinforcing its potential role in hypertension risk.</w:t>
      </w:r>
    </w:p>
    <w:p w14:paraId="00BF5593">
      <w:pPr>
        <w:spacing w:line="360" w:lineRule="auto"/>
        <w:jc w:val="both"/>
        <w:rPr>
          <w:rFonts w:hint="default" w:eastAsia="Times New Roman" w:cs="Times New Roman" w:asciiTheme="minorAscii" w:hAnsiTheme="minorAscii"/>
          <w:bCs/>
          <w:sz w:val="22"/>
          <w:szCs w:val="22"/>
        </w:rPr>
      </w:pPr>
    </w:p>
    <w:p w14:paraId="4AAA8AB8">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Hypothesis (Impact of Salt Intake on Hypertension) </w:t>
      </w:r>
    </w:p>
    <w:p w14:paraId="3EF18CE7">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Null Hypothesis (H₀): </w:t>
      </w:r>
      <w:r>
        <w:rPr>
          <w:rFonts w:hint="default" w:eastAsia="Times New Roman" w:cs="Times New Roman" w:asciiTheme="minorAscii" w:hAnsiTheme="minorAscii"/>
          <w:bCs/>
          <w:sz w:val="22"/>
          <w:szCs w:val="22"/>
        </w:rPr>
        <w:t>There is no significant difference in the mean salt intake between individuals with hypertension and those without hypertension.</w:t>
      </w:r>
    </w:p>
    <w:p w14:paraId="3D3E2B61">
      <w:pPr>
        <w:spacing w:line="360" w:lineRule="auto"/>
        <w:jc w:val="both"/>
        <w:rPr>
          <w:rFonts w:hint="default" w:eastAsia="Times New Roman" w:cs="Times New Roman" w:asciiTheme="minorAscii" w:hAnsiTheme="minorAscii"/>
          <w:bCs/>
          <w:sz w:val="22"/>
          <w:szCs w:val="22"/>
        </w:rPr>
      </w:pPr>
    </w:p>
    <w:p w14:paraId="79A33ED8">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Alternative Hypothesis (H₁): </w:t>
      </w:r>
      <w:r>
        <w:rPr>
          <w:rFonts w:hint="default" w:eastAsia="Times New Roman" w:cs="Times New Roman" w:asciiTheme="minorAscii" w:hAnsiTheme="minorAscii"/>
          <w:bCs/>
          <w:sz w:val="22"/>
          <w:szCs w:val="22"/>
        </w:rPr>
        <w:t>There is a significant difference in the mean salt intake between individuals with hypertension and those without hypertension.</w:t>
      </w:r>
    </w:p>
    <w:p w14:paraId="7B291307">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1081"/>
        <w:gridCol w:w="915"/>
        <w:gridCol w:w="848"/>
        <w:gridCol w:w="1022"/>
        <w:gridCol w:w="1505"/>
        <w:gridCol w:w="1419"/>
        <w:gridCol w:w="1151"/>
        <w:gridCol w:w="1238"/>
      </w:tblGrid>
      <w:tr w14:paraId="00ECD6BB">
        <w:tblPrEx>
          <w:tblCellMar>
            <w:top w:w="0" w:type="dxa"/>
            <w:left w:w="0" w:type="dxa"/>
            <w:bottom w:w="0" w:type="dxa"/>
            <w:right w:w="0" w:type="dxa"/>
          </w:tblCellMar>
        </w:tblPrEx>
        <w:trPr>
          <w:tblHeader/>
        </w:trPr>
        <w:tc>
          <w:tcPr>
            <w:tcW w:w="0" w:type="auto"/>
            <w:gridSpan w:val="8"/>
            <w:tcBorders>
              <w:top w:val="nil"/>
              <w:left w:val="nil"/>
              <w:bottom w:val="single" w:color="000000" w:sz="6" w:space="0"/>
              <w:right w:val="nil"/>
            </w:tcBorders>
            <w:tcMar>
              <w:top w:w="90" w:type="dxa"/>
              <w:left w:w="0" w:type="dxa"/>
              <w:bottom w:w="90" w:type="dxa"/>
              <w:right w:w="150" w:type="dxa"/>
            </w:tcMar>
            <w:vAlign w:val="center"/>
          </w:tcPr>
          <w:p w14:paraId="6A2DFA6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Independent Samples T-Test</w:t>
            </w:r>
            <w:r>
              <w:rPr>
                <w:rFonts w:hint="default" w:eastAsia="Times New Roman" w:asciiTheme="minorAscii" w:hAnsiTheme="minorAscii"/>
                <w:color w:val="000000"/>
                <w:sz w:val="22"/>
                <w:szCs w:val="22"/>
              </w:rPr>
              <w:t xml:space="preserve"> </w:t>
            </w:r>
          </w:p>
        </w:tc>
      </w:tr>
      <w:tr w14:paraId="3FDB57A3">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18F68114">
            <w:pPr>
              <w:spacing w:line="240" w:lineRule="auto"/>
              <w:jc w:val="both"/>
              <w:rPr>
                <w:rFonts w:hint="default" w:eastAsia="Times New Roman" w:asciiTheme="minorAscii" w:hAnsiTheme="minorAscii"/>
                <w:color w:val="000000"/>
                <w:sz w:val="22"/>
                <w:szCs w:val="22"/>
              </w:rPr>
            </w:pP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3C2982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t</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B533AB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3003EE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B7A9F4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Mean Difference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A3E365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Difference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FB6D07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Cohen's d</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3368358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Cohen's d</w:t>
            </w:r>
          </w:p>
        </w:tc>
      </w:tr>
      <w:tr w14:paraId="32C36134">
        <w:tblPrEx>
          <w:tblCellMar>
            <w:top w:w="0" w:type="dxa"/>
            <w:left w:w="0" w:type="dxa"/>
            <w:bottom w:w="0" w:type="dxa"/>
            <w:right w:w="0" w:type="dxa"/>
          </w:tblCellMar>
        </w:tblPrEx>
        <w:tc>
          <w:tcPr>
            <w:tcW w:w="0" w:type="auto"/>
            <w:tcBorders>
              <w:top w:val="nil"/>
              <w:left w:val="nil"/>
              <w:bottom w:val="nil"/>
              <w:right w:val="nil"/>
            </w:tcBorders>
            <w:tcMar>
              <w:top w:w="162" w:type="dxa"/>
              <w:left w:w="180" w:type="dxa"/>
              <w:bottom w:w="45" w:type="dxa"/>
              <w:right w:w="180" w:type="dxa"/>
            </w:tcMar>
            <w:vAlign w:val="center"/>
          </w:tcPr>
          <w:p w14:paraId="5CBDD3E4">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Salt Intake</w:t>
            </w:r>
          </w:p>
        </w:tc>
        <w:tc>
          <w:tcPr>
            <w:tcW w:w="0" w:type="auto"/>
            <w:tcBorders>
              <w:top w:val="nil"/>
              <w:left w:val="nil"/>
              <w:bottom w:val="nil"/>
              <w:right w:val="nil"/>
            </w:tcBorders>
            <w:tcMar>
              <w:top w:w="162" w:type="dxa"/>
              <w:left w:w="180" w:type="dxa"/>
              <w:bottom w:w="45" w:type="dxa"/>
              <w:right w:w="180" w:type="dxa"/>
            </w:tcMar>
            <w:vAlign w:val="center"/>
          </w:tcPr>
          <w:p w14:paraId="7976BD3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-5.129</w:t>
            </w:r>
          </w:p>
        </w:tc>
        <w:tc>
          <w:tcPr>
            <w:tcW w:w="0" w:type="auto"/>
            <w:tcBorders>
              <w:top w:val="nil"/>
              <w:left w:val="nil"/>
              <w:bottom w:val="nil"/>
              <w:right w:val="nil"/>
            </w:tcBorders>
            <w:tcMar>
              <w:top w:w="162" w:type="dxa"/>
              <w:left w:w="180" w:type="dxa"/>
              <w:bottom w:w="45" w:type="dxa"/>
              <w:right w:w="180" w:type="dxa"/>
            </w:tcMar>
            <w:vAlign w:val="center"/>
          </w:tcPr>
          <w:p w14:paraId="5B453288">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1983</w:t>
            </w:r>
          </w:p>
        </w:tc>
        <w:tc>
          <w:tcPr>
            <w:tcW w:w="0" w:type="auto"/>
            <w:tcBorders>
              <w:top w:val="nil"/>
              <w:left w:val="nil"/>
              <w:bottom w:val="nil"/>
              <w:right w:val="nil"/>
            </w:tcBorders>
            <w:tcMar>
              <w:top w:w="162" w:type="dxa"/>
              <w:left w:w="180" w:type="dxa"/>
              <w:bottom w:w="45" w:type="dxa"/>
              <w:right w:w="180" w:type="dxa"/>
            </w:tcMar>
            <w:vAlign w:val="center"/>
          </w:tcPr>
          <w:p w14:paraId="08B05F8E">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.001ᵃ</w:t>
            </w:r>
          </w:p>
        </w:tc>
        <w:tc>
          <w:tcPr>
            <w:tcW w:w="0" w:type="auto"/>
            <w:tcBorders>
              <w:top w:val="nil"/>
              <w:left w:val="nil"/>
              <w:bottom w:val="nil"/>
              <w:right w:val="nil"/>
            </w:tcBorders>
            <w:tcMar>
              <w:top w:w="162" w:type="dxa"/>
              <w:left w:w="180" w:type="dxa"/>
              <w:bottom w:w="45" w:type="dxa"/>
              <w:right w:w="180" w:type="dxa"/>
            </w:tcMar>
            <w:vAlign w:val="center"/>
          </w:tcPr>
          <w:p w14:paraId="714E7D6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-0.457</w:t>
            </w:r>
          </w:p>
        </w:tc>
        <w:tc>
          <w:tcPr>
            <w:tcW w:w="0" w:type="auto"/>
            <w:tcBorders>
              <w:top w:val="nil"/>
              <w:left w:val="nil"/>
              <w:bottom w:val="nil"/>
              <w:right w:val="nil"/>
            </w:tcBorders>
            <w:tcMar>
              <w:top w:w="162" w:type="dxa"/>
              <w:left w:w="180" w:type="dxa"/>
              <w:bottom w:w="45" w:type="dxa"/>
              <w:right w:w="180" w:type="dxa"/>
            </w:tcMar>
            <w:vAlign w:val="center"/>
          </w:tcPr>
          <w:p w14:paraId="6B2D1EA5">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0.089</w:t>
            </w:r>
          </w:p>
        </w:tc>
        <w:tc>
          <w:tcPr>
            <w:tcW w:w="0" w:type="auto"/>
            <w:tcBorders>
              <w:top w:val="nil"/>
              <w:left w:val="nil"/>
              <w:bottom w:val="nil"/>
              <w:right w:val="nil"/>
            </w:tcBorders>
            <w:tcMar>
              <w:top w:w="162" w:type="dxa"/>
              <w:left w:w="180" w:type="dxa"/>
              <w:bottom w:w="45" w:type="dxa"/>
              <w:right w:w="180" w:type="dxa"/>
            </w:tcMar>
            <w:vAlign w:val="center"/>
          </w:tcPr>
          <w:p w14:paraId="3CFD9E7F">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-0.230</w:t>
            </w:r>
          </w:p>
        </w:tc>
        <w:tc>
          <w:tcPr>
            <w:tcW w:w="0" w:type="auto"/>
            <w:tcBorders>
              <w:top w:val="nil"/>
              <w:left w:val="nil"/>
              <w:bottom w:val="nil"/>
              <w:right w:val="nil"/>
            </w:tcBorders>
            <w:tcMar>
              <w:top w:w="162" w:type="dxa"/>
              <w:left w:w="180" w:type="dxa"/>
              <w:bottom w:w="45" w:type="dxa"/>
              <w:right w:w="180" w:type="dxa"/>
            </w:tcMar>
            <w:vAlign w:val="center"/>
          </w:tcPr>
          <w:p w14:paraId="68B64008">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0.045</w:t>
            </w:r>
          </w:p>
        </w:tc>
      </w:tr>
      <w:tr w14:paraId="776CBDFD">
        <w:tblPrEx>
          <w:tblCellMar>
            <w:top w:w="0" w:type="dxa"/>
            <w:left w:w="0" w:type="dxa"/>
            <w:bottom w:w="0" w:type="dxa"/>
            <w:right w:w="0" w:type="dxa"/>
          </w:tblCellMar>
        </w:tblPrEx>
        <w:tc>
          <w:tcPr>
            <w:tcW w:w="0" w:type="auto"/>
            <w:gridSpan w:val="8"/>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0C74C9C2">
            <w:pPr>
              <w:spacing w:after="144" w:line="240" w:lineRule="auto"/>
              <w:jc w:val="both"/>
              <w:rPr>
                <w:rFonts w:hint="default" w:eastAsia="Times New Roman" w:asciiTheme="minorAscii" w:hAnsiTheme="minorAscii"/>
                <w:color w:val="000000"/>
                <w:sz w:val="22"/>
                <w:szCs w:val="22"/>
              </w:rPr>
            </w:pPr>
          </w:p>
        </w:tc>
      </w:tr>
    </w:tbl>
    <w:p w14:paraId="510D4917">
      <w:pPr>
        <w:spacing w:line="360" w:lineRule="auto"/>
        <w:jc w:val="both"/>
        <w:rPr>
          <w:rFonts w:hint="default" w:eastAsia="Times New Roman" w:cs="Times New Roman" w:asciiTheme="minorAscii" w:hAnsiTheme="minorAscii"/>
          <w:b/>
          <w:bCs/>
          <w:sz w:val="22"/>
          <w:szCs w:val="22"/>
        </w:rPr>
      </w:pPr>
    </w:p>
    <w:p w14:paraId="47C18576">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5</w:t>
      </w:r>
      <w:r>
        <w:rPr>
          <w:rFonts w:hint="default" w:eastAsia="Times New Roman" w:cs="Times New Roman" w:asciiTheme="minorAscii" w:hAnsiTheme="minorAscii"/>
          <w:b/>
          <w:bCs/>
          <w:sz w:val="22"/>
          <w:szCs w:val="22"/>
        </w:rPr>
        <w:t xml:space="preserve">: T-test Impact of </w:t>
      </w:r>
      <w:r>
        <w:rPr>
          <w:rFonts w:hint="eastAsia" w:cs="Times New Roman" w:asciiTheme="minorAscii" w:hAnsiTheme="minorAscii"/>
          <w:b/>
          <w:bCs/>
          <w:sz w:val="22"/>
          <w:szCs w:val="22"/>
          <w:lang w:val="en-US" w:eastAsia="ja-JP"/>
        </w:rPr>
        <w:t>Salt</w:t>
      </w:r>
      <w:r>
        <w:rPr>
          <w:rFonts w:hint="default" w:eastAsia="Times New Roman" w:cs="Times New Roman" w:asciiTheme="minorAscii" w:hAnsiTheme="minorAscii"/>
          <w:b/>
          <w:bCs/>
          <w:sz w:val="22"/>
          <w:szCs w:val="22"/>
        </w:rPr>
        <w:t xml:space="preserve"> On hypertension </w:t>
      </w:r>
    </w:p>
    <w:p w14:paraId="79A6D31C">
      <w:pPr>
        <w:spacing w:line="360" w:lineRule="auto"/>
        <w:jc w:val="both"/>
        <w:rPr>
          <w:rFonts w:hint="default" w:eastAsia="Times New Roman" w:cs="Times New Roman" w:asciiTheme="minorAscii" w:hAnsiTheme="minorAscii"/>
          <w:b/>
          <w:bCs/>
          <w:sz w:val="22"/>
          <w:szCs w:val="22"/>
        </w:rPr>
      </w:pPr>
    </w:p>
    <w:p w14:paraId="21761B54">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independent samples t-test indicates a statistically significant difference in mean salt intake between individuals with hypertension and those without. The negative t-value (t = −5.129, p &lt; .001) shows that the hypertensive group consumes, on average, more salt than the non-hypertensive group, with a mean difference of approximately 0.46 g/day. This finding supports the rejection of the null hypothesis and aligns with existing evidence linking higher salt intake to elevated blood pressure. Although the Brown–Forsythe test suggests unequal variances between groups, the result remains robust given the large sample size. The effect size (Cohen’s d = −0.23) indicates a small but meaningful practical effect, suggesting that even modest differences in salt intake may contribute to hypertension risk at the population level.</w:t>
      </w:r>
    </w:p>
    <w:p w14:paraId="1944897C">
      <w:pPr>
        <w:spacing w:line="360" w:lineRule="auto"/>
        <w:jc w:val="both"/>
        <w:rPr>
          <w:rFonts w:hint="default" w:eastAsia="Times New Roman" w:cs="Times New Roman" w:asciiTheme="minorAscii" w:hAnsiTheme="minorAscii"/>
          <w:bCs/>
          <w:sz w:val="22"/>
          <w:szCs w:val="22"/>
        </w:rPr>
      </w:pPr>
    </w:p>
    <w:p w14:paraId="334DB061">
      <w:pPr>
        <w:spacing w:line="360" w:lineRule="auto"/>
        <w:jc w:val="both"/>
        <w:rPr>
          <w:rFonts w:hint="default" w:eastAsia="Times New Roman" w:cs="Times New Roman" w:asciiTheme="minorAscii" w:hAnsiTheme="minorAscii"/>
          <w:b/>
          <w:bCs/>
          <w:sz w:val="22"/>
          <w:szCs w:val="22"/>
        </w:rPr>
      </w:pPr>
    </w:p>
    <w:p w14:paraId="75E38C1C">
      <w:pPr>
        <w:spacing w:line="360" w:lineRule="auto"/>
        <w:jc w:val="both"/>
        <w:rPr>
          <w:rFonts w:hint="default" w:eastAsia="Times New Roman" w:cs="Times New Roman" w:asciiTheme="minorAscii" w:hAnsiTheme="minorAscii"/>
          <w:b/>
          <w:bCs/>
          <w:sz w:val="22"/>
          <w:szCs w:val="22"/>
        </w:rPr>
      </w:pPr>
    </w:p>
    <w:p w14:paraId="7E559B6E">
      <w:pPr>
        <w:spacing w:line="360" w:lineRule="auto"/>
        <w:jc w:val="both"/>
        <w:rPr>
          <w:rFonts w:hint="default" w:eastAsia="Times New Roman" w:cs="Times New Roman" w:asciiTheme="minorAscii" w:hAnsiTheme="minorAscii"/>
          <w:b/>
          <w:bCs/>
          <w:sz w:val="22"/>
          <w:szCs w:val="22"/>
        </w:rPr>
      </w:pPr>
    </w:p>
    <w:p w14:paraId="5F9D3301">
      <w:pPr>
        <w:spacing w:line="360" w:lineRule="auto"/>
        <w:jc w:val="both"/>
        <w:rPr>
          <w:rFonts w:hint="default" w:eastAsia="Times New Roman" w:cs="Times New Roman" w:asciiTheme="minorAscii" w:hAnsiTheme="minorAscii"/>
          <w:b/>
          <w:bCs/>
          <w:sz w:val="22"/>
          <w:szCs w:val="22"/>
        </w:rPr>
      </w:pPr>
    </w:p>
    <w:p w14:paraId="66F2E6C1">
      <w:pPr>
        <w:spacing w:line="360" w:lineRule="auto"/>
        <w:jc w:val="both"/>
        <w:rPr>
          <w:rFonts w:hint="default" w:eastAsia="Times New Roman" w:cs="Times New Roman" w:asciiTheme="minorAscii" w:hAnsiTheme="minorAscii"/>
          <w:b/>
          <w:bCs/>
          <w:sz w:val="22"/>
          <w:szCs w:val="22"/>
        </w:rPr>
      </w:pPr>
    </w:p>
    <w:p w14:paraId="53CAC530">
      <w:pPr>
        <w:spacing w:line="360" w:lineRule="auto"/>
        <w:jc w:val="both"/>
        <w:rPr>
          <w:rFonts w:hint="default" w:eastAsia="Times New Roman" w:cs="Times New Roman" w:asciiTheme="minorAscii" w:hAnsiTheme="minorAscii"/>
          <w:b/>
          <w:bCs/>
          <w:sz w:val="22"/>
          <w:szCs w:val="22"/>
        </w:rPr>
      </w:pPr>
    </w:p>
    <w:p w14:paraId="58028AEF">
      <w:pPr>
        <w:spacing w:line="360" w:lineRule="auto"/>
        <w:jc w:val="both"/>
        <w:rPr>
          <w:rFonts w:hint="default" w:eastAsia="Times New Roman" w:cs="Times New Roman" w:asciiTheme="minorAscii" w:hAnsiTheme="minorAscii"/>
          <w:b/>
          <w:bCs/>
          <w:sz w:val="22"/>
          <w:szCs w:val="22"/>
        </w:rPr>
      </w:pPr>
    </w:p>
    <w:p w14:paraId="446C2BA8">
      <w:pPr>
        <w:spacing w:line="360" w:lineRule="auto"/>
        <w:jc w:val="both"/>
        <w:rPr>
          <w:rFonts w:hint="default" w:eastAsia="Times New Roman" w:cs="Times New Roman" w:asciiTheme="minorAscii" w:hAnsiTheme="minorAscii"/>
          <w:b/>
          <w:bCs/>
          <w:sz w:val="22"/>
          <w:szCs w:val="22"/>
        </w:rPr>
      </w:pPr>
    </w:p>
    <w:p w14:paraId="2B92EDC5">
      <w:pPr>
        <w:spacing w:line="360" w:lineRule="auto"/>
        <w:jc w:val="both"/>
        <w:rPr>
          <w:rFonts w:hint="default" w:eastAsia="Times New Roman" w:cs="Times New Roman" w:asciiTheme="minorAscii" w:hAnsiTheme="minorAscii"/>
          <w:b/>
          <w:bCs/>
          <w:sz w:val="22"/>
          <w:szCs w:val="22"/>
        </w:rPr>
      </w:pPr>
    </w:p>
    <w:p w14:paraId="41257F39">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Impact of Stress Score on Hypertension</w:t>
      </w:r>
    </w:p>
    <w:p w14:paraId="15361723">
      <w:pPr>
        <w:spacing w:line="360" w:lineRule="auto"/>
        <w:jc w:val="both"/>
        <w:rPr>
          <w:rFonts w:hint="default" w:eastAsia="Times New Roman" w:cs="Times New Roman" w:asciiTheme="minorAscii" w:hAnsiTheme="minorAscii"/>
          <w:bCs/>
          <w:sz w:val="22"/>
          <w:szCs w:val="22"/>
        </w:rPr>
      </w:pPr>
    </w:p>
    <w:p w14:paraId="561E1DAE">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5715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60297AB3">
      <w:pPr>
        <w:spacing w:before="240" w:after="240"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Fig </w:t>
      </w:r>
      <w:r>
        <w:rPr>
          <w:rFonts w:hint="eastAsia" w:cs="Times New Roman" w:asciiTheme="minorAscii" w:hAnsiTheme="minorAscii"/>
          <w:b/>
          <w:bCs/>
          <w:sz w:val="22"/>
          <w:szCs w:val="22"/>
          <w:lang w:val="en-US" w:eastAsia="ja-JP"/>
        </w:rPr>
        <w:t>3</w:t>
      </w:r>
      <w:r>
        <w:rPr>
          <w:rFonts w:hint="default" w:eastAsia="Times New Roman" w:cs="Times New Roman" w:asciiTheme="minorAscii" w:hAnsiTheme="minorAscii"/>
          <w:b/>
          <w:bCs/>
          <w:sz w:val="22"/>
          <w:szCs w:val="22"/>
        </w:rPr>
        <w:t>: Bar Chart</w:t>
      </w:r>
      <w:r>
        <w:rPr>
          <w:rFonts w:hint="eastAsia" w:cs="Times New Roman" w:asciiTheme="minorAscii" w:hAnsiTheme="minorAscii"/>
          <w:b/>
          <w:bCs/>
          <w:sz w:val="22"/>
          <w:szCs w:val="22"/>
          <w:lang w:val="en-US" w:eastAsia="ja-JP"/>
        </w:rPr>
        <w:t xml:space="preserve"> Stress </w:t>
      </w:r>
      <w:r>
        <w:rPr>
          <w:rFonts w:hint="default" w:eastAsia="Times New Roman" w:cs="Times New Roman" w:asciiTheme="minorAscii" w:hAnsiTheme="minorAscii"/>
          <w:b/>
          <w:bCs/>
          <w:sz w:val="22"/>
          <w:szCs w:val="22"/>
        </w:rPr>
        <w:t xml:space="preserve">on Hypertension </w:t>
      </w:r>
    </w:p>
    <w:p w14:paraId="4BE99A5E">
      <w:pPr>
        <w:spacing w:line="360" w:lineRule="auto"/>
        <w:jc w:val="both"/>
        <w:rPr>
          <w:rFonts w:hint="default" w:eastAsia="Times New Roman" w:cs="Times New Roman" w:asciiTheme="minorAscii" w:hAnsiTheme="minorAscii"/>
          <w:b/>
          <w:bCs/>
          <w:sz w:val="22"/>
          <w:szCs w:val="22"/>
        </w:rPr>
      </w:pPr>
    </w:p>
    <w:tbl>
      <w:tblPr>
        <w:tblStyle w:val="9"/>
        <w:tblW w:w="10080" w:type="dxa"/>
        <w:tblInd w:w="0" w:type="dxa"/>
        <w:tblLayout w:type="autofit"/>
        <w:tblCellMar>
          <w:top w:w="0" w:type="dxa"/>
          <w:left w:w="108" w:type="dxa"/>
          <w:bottom w:w="0" w:type="dxa"/>
          <w:right w:w="108" w:type="dxa"/>
        </w:tblCellMar>
      </w:tblPr>
      <w:tblGrid>
        <w:gridCol w:w="2397"/>
        <w:gridCol w:w="959"/>
        <w:gridCol w:w="970"/>
        <w:gridCol w:w="959"/>
        <w:gridCol w:w="959"/>
        <w:gridCol w:w="959"/>
        <w:gridCol w:w="959"/>
        <w:gridCol w:w="959"/>
        <w:gridCol w:w="959"/>
      </w:tblGrid>
      <w:tr w14:paraId="452308D9">
        <w:tblPrEx>
          <w:tblCellMar>
            <w:top w:w="0" w:type="dxa"/>
            <w:left w:w="108" w:type="dxa"/>
            <w:bottom w:w="0" w:type="dxa"/>
            <w:right w:w="108" w:type="dxa"/>
          </w:tblCellMar>
        </w:tblPrEx>
        <w:trPr>
          <w:trHeight w:val="300" w:hRule="atLeast"/>
        </w:trPr>
        <w:tc>
          <w:tcPr>
            <w:tcW w:w="2400" w:type="dxa"/>
            <w:tcBorders>
              <w:top w:val="single" w:color="auto" w:sz="4" w:space="0"/>
              <w:left w:val="nil"/>
              <w:bottom w:val="single" w:color="auto" w:sz="4" w:space="0"/>
              <w:right w:val="nil"/>
            </w:tcBorders>
            <w:shd w:val="clear" w:color="auto" w:fill="auto"/>
            <w:vAlign w:val="center"/>
          </w:tcPr>
          <w:p w14:paraId="718AEED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w:t>
            </w:r>
          </w:p>
        </w:tc>
        <w:tc>
          <w:tcPr>
            <w:tcW w:w="960" w:type="dxa"/>
            <w:tcBorders>
              <w:top w:val="single" w:color="auto" w:sz="4" w:space="0"/>
              <w:left w:val="nil"/>
              <w:bottom w:val="single" w:color="auto" w:sz="4" w:space="0"/>
              <w:right w:val="nil"/>
            </w:tcBorders>
            <w:shd w:val="clear" w:color="auto" w:fill="auto"/>
            <w:vAlign w:val="center"/>
          </w:tcPr>
          <w:p w14:paraId="79F8A32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Mean</w:t>
            </w:r>
          </w:p>
        </w:tc>
        <w:tc>
          <w:tcPr>
            <w:tcW w:w="960" w:type="dxa"/>
            <w:tcBorders>
              <w:top w:val="single" w:color="auto" w:sz="4" w:space="0"/>
              <w:left w:val="nil"/>
              <w:bottom w:val="single" w:color="auto" w:sz="4" w:space="0"/>
              <w:right w:val="nil"/>
            </w:tcBorders>
            <w:shd w:val="clear" w:color="auto" w:fill="auto"/>
            <w:vAlign w:val="center"/>
          </w:tcPr>
          <w:p w14:paraId="52994B9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Median</w:t>
            </w:r>
          </w:p>
        </w:tc>
        <w:tc>
          <w:tcPr>
            <w:tcW w:w="960" w:type="dxa"/>
            <w:tcBorders>
              <w:top w:val="single" w:color="auto" w:sz="4" w:space="0"/>
              <w:left w:val="nil"/>
              <w:bottom w:val="single" w:color="auto" w:sz="4" w:space="0"/>
              <w:right w:val="nil"/>
            </w:tcBorders>
            <w:shd w:val="clear" w:color="auto" w:fill="auto"/>
            <w:vAlign w:val="center"/>
          </w:tcPr>
          <w:p w14:paraId="5DF4DF8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Std. Dev</w:t>
            </w:r>
          </w:p>
        </w:tc>
        <w:tc>
          <w:tcPr>
            <w:tcW w:w="960" w:type="dxa"/>
            <w:tcBorders>
              <w:top w:val="single" w:color="auto" w:sz="4" w:space="0"/>
              <w:left w:val="nil"/>
              <w:bottom w:val="single" w:color="auto" w:sz="4" w:space="0"/>
              <w:right w:val="nil"/>
            </w:tcBorders>
            <w:shd w:val="clear" w:color="auto" w:fill="auto"/>
            <w:vAlign w:val="center"/>
          </w:tcPr>
          <w:p w14:paraId="162F2BF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2AB5420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Q1</w:t>
            </w:r>
          </w:p>
        </w:tc>
        <w:tc>
          <w:tcPr>
            <w:tcW w:w="960" w:type="dxa"/>
            <w:tcBorders>
              <w:top w:val="single" w:color="auto" w:sz="4" w:space="0"/>
              <w:left w:val="nil"/>
              <w:bottom w:val="single" w:color="auto" w:sz="4" w:space="0"/>
              <w:right w:val="nil"/>
            </w:tcBorders>
            <w:shd w:val="clear" w:color="auto" w:fill="auto"/>
            <w:vAlign w:val="center"/>
          </w:tcPr>
          <w:p w14:paraId="06B29DA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Q3</w:t>
            </w:r>
          </w:p>
        </w:tc>
        <w:tc>
          <w:tcPr>
            <w:tcW w:w="960" w:type="dxa"/>
            <w:tcBorders>
              <w:top w:val="single" w:color="auto" w:sz="4" w:space="0"/>
              <w:left w:val="nil"/>
              <w:bottom w:val="single" w:color="auto" w:sz="4" w:space="0"/>
              <w:right w:val="nil"/>
            </w:tcBorders>
            <w:shd w:val="clear" w:color="auto" w:fill="auto"/>
            <w:vAlign w:val="center"/>
          </w:tcPr>
          <w:p w14:paraId="0D55B48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Max</w:t>
            </w:r>
          </w:p>
        </w:tc>
        <w:tc>
          <w:tcPr>
            <w:tcW w:w="960" w:type="dxa"/>
            <w:tcBorders>
              <w:top w:val="single" w:color="auto" w:sz="4" w:space="0"/>
              <w:left w:val="nil"/>
              <w:bottom w:val="single" w:color="auto" w:sz="4" w:space="0"/>
              <w:right w:val="nil"/>
            </w:tcBorders>
            <w:shd w:val="clear" w:color="auto" w:fill="auto"/>
            <w:vAlign w:val="center"/>
          </w:tcPr>
          <w:p w14:paraId="2BFA873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IQR</w:t>
            </w:r>
          </w:p>
        </w:tc>
      </w:tr>
      <w:tr w14:paraId="5F027C8F">
        <w:tblPrEx>
          <w:tblCellMar>
            <w:top w:w="0" w:type="dxa"/>
            <w:left w:w="108" w:type="dxa"/>
            <w:bottom w:w="0" w:type="dxa"/>
            <w:right w:w="108" w:type="dxa"/>
          </w:tblCellMar>
        </w:tblPrEx>
        <w:trPr>
          <w:trHeight w:val="300" w:hRule="atLeast"/>
        </w:trPr>
        <w:tc>
          <w:tcPr>
            <w:tcW w:w="2400" w:type="dxa"/>
            <w:tcBorders>
              <w:top w:val="nil"/>
              <w:left w:val="nil"/>
              <w:bottom w:val="nil"/>
              <w:right w:val="nil"/>
            </w:tcBorders>
            <w:shd w:val="clear" w:color="auto" w:fill="auto"/>
            <w:vAlign w:val="center"/>
          </w:tcPr>
          <w:p w14:paraId="6C1756E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960" w:type="dxa"/>
            <w:tcBorders>
              <w:top w:val="nil"/>
              <w:left w:val="nil"/>
              <w:bottom w:val="nil"/>
              <w:right w:val="nil"/>
            </w:tcBorders>
            <w:shd w:val="clear" w:color="auto" w:fill="auto"/>
            <w:vAlign w:val="center"/>
          </w:tcPr>
          <w:p w14:paraId="566ECA1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4.37</w:t>
            </w:r>
          </w:p>
        </w:tc>
        <w:tc>
          <w:tcPr>
            <w:tcW w:w="960" w:type="dxa"/>
            <w:tcBorders>
              <w:top w:val="nil"/>
              <w:left w:val="nil"/>
              <w:bottom w:val="nil"/>
              <w:right w:val="nil"/>
            </w:tcBorders>
            <w:shd w:val="clear" w:color="auto" w:fill="auto"/>
            <w:vAlign w:val="center"/>
          </w:tcPr>
          <w:p w14:paraId="734BC84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w:t>
            </w:r>
          </w:p>
        </w:tc>
        <w:tc>
          <w:tcPr>
            <w:tcW w:w="960" w:type="dxa"/>
            <w:tcBorders>
              <w:top w:val="nil"/>
              <w:left w:val="nil"/>
              <w:bottom w:val="nil"/>
              <w:right w:val="nil"/>
            </w:tcBorders>
            <w:shd w:val="clear" w:color="auto" w:fill="auto"/>
            <w:vAlign w:val="center"/>
          </w:tcPr>
          <w:p w14:paraId="3D4ED8D5">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2.87</w:t>
            </w:r>
          </w:p>
        </w:tc>
        <w:tc>
          <w:tcPr>
            <w:tcW w:w="960" w:type="dxa"/>
            <w:tcBorders>
              <w:top w:val="nil"/>
              <w:left w:val="nil"/>
              <w:bottom w:val="nil"/>
              <w:right w:val="nil"/>
            </w:tcBorders>
            <w:shd w:val="clear" w:color="auto" w:fill="auto"/>
            <w:vAlign w:val="center"/>
          </w:tcPr>
          <w:p w14:paraId="14E12E3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w:t>
            </w:r>
          </w:p>
        </w:tc>
        <w:tc>
          <w:tcPr>
            <w:tcW w:w="960" w:type="dxa"/>
            <w:tcBorders>
              <w:top w:val="nil"/>
              <w:left w:val="nil"/>
              <w:bottom w:val="nil"/>
              <w:right w:val="nil"/>
            </w:tcBorders>
            <w:shd w:val="clear" w:color="auto" w:fill="auto"/>
            <w:vAlign w:val="center"/>
          </w:tcPr>
          <w:p w14:paraId="1DB778E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w:t>
            </w:r>
          </w:p>
        </w:tc>
        <w:tc>
          <w:tcPr>
            <w:tcW w:w="960" w:type="dxa"/>
            <w:tcBorders>
              <w:top w:val="nil"/>
              <w:left w:val="nil"/>
              <w:bottom w:val="nil"/>
              <w:right w:val="nil"/>
            </w:tcBorders>
            <w:shd w:val="clear" w:color="auto" w:fill="auto"/>
            <w:vAlign w:val="center"/>
          </w:tcPr>
          <w:p w14:paraId="22A53BB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w:t>
            </w:r>
          </w:p>
        </w:tc>
        <w:tc>
          <w:tcPr>
            <w:tcW w:w="960" w:type="dxa"/>
            <w:tcBorders>
              <w:top w:val="nil"/>
              <w:left w:val="nil"/>
              <w:bottom w:val="nil"/>
              <w:right w:val="nil"/>
            </w:tcBorders>
            <w:shd w:val="clear" w:color="auto" w:fill="auto"/>
            <w:vAlign w:val="center"/>
          </w:tcPr>
          <w:p w14:paraId="37F0852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10</w:t>
            </w:r>
          </w:p>
        </w:tc>
        <w:tc>
          <w:tcPr>
            <w:tcW w:w="960" w:type="dxa"/>
            <w:tcBorders>
              <w:top w:val="nil"/>
              <w:left w:val="nil"/>
              <w:bottom w:val="nil"/>
              <w:right w:val="nil"/>
            </w:tcBorders>
            <w:shd w:val="clear" w:color="auto" w:fill="auto"/>
            <w:vAlign w:val="center"/>
          </w:tcPr>
          <w:p w14:paraId="21308F9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w:t>
            </w:r>
          </w:p>
        </w:tc>
      </w:tr>
      <w:tr w14:paraId="6154126A">
        <w:tblPrEx>
          <w:tblCellMar>
            <w:top w:w="0" w:type="dxa"/>
            <w:left w:w="108" w:type="dxa"/>
            <w:bottom w:w="0" w:type="dxa"/>
            <w:right w:w="108" w:type="dxa"/>
          </w:tblCellMar>
        </w:tblPrEx>
        <w:trPr>
          <w:trHeight w:val="300" w:hRule="atLeast"/>
        </w:trPr>
        <w:tc>
          <w:tcPr>
            <w:tcW w:w="2400" w:type="dxa"/>
            <w:tcBorders>
              <w:top w:val="nil"/>
              <w:left w:val="nil"/>
              <w:bottom w:val="single" w:color="auto" w:sz="4" w:space="0"/>
              <w:right w:val="nil"/>
            </w:tcBorders>
            <w:shd w:val="clear" w:color="auto" w:fill="auto"/>
            <w:vAlign w:val="center"/>
          </w:tcPr>
          <w:p w14:paraId="7D7163D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960" w:type="dxa"/>
            <w:tcBorders>
              <w:top w:val="nil"/>
              <w:left w:val="nil"/>
              <w:bottom w:val="single" w:color="auto" w:sz="4" w:space="0"/>
              <w:right w:val="nil"/>
            </w:tcBorders>
            <w:shd w:val="clear" w:color="auto" w:fill="auto"/>
            <w:vAlign w:val="center"/>
          </w:tcPr>
          <w:p w14:paraId="020F626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5.54</w:t>
            </w:r>
          </w:p>
        </w:tc>
        <w:tc>
          <w:tcPr>
            <w:tcW w:w="960" w:type="dxa"/>
            <w:tcBorders>
              <w:top w:val="nil"/>
              <w:left w:val="nil"/>
              <w:bottom w:val="single" w:color="auto" w:sz="4" w:space="0"/>
              <w:right w:val="nil"/>
            </w:tcBorders>
            <w:shd w:val="clear" w:color="auto" w:fill="auto"/>
            <w:vAlign w:val="center"/>
          </w:tcPr>
          <w:p w14:paraId="233DFD1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w:t>
            </w:r>
          </w:p>
        </w:tc>
        <w:tc>
          <w:tcPr>
            <w:tcW w:w="960" w:type="dxa"/>
            <w:tcBorders>
              <w:top w:val="nil"/>
              <w:left w:val="nil"/>
              <w:bottom w:val="single" w:color="auto" w:sz="4" w:space="0"/>
              <w:right w:val="nil"/>
            </w:tcBorders>
            <w:shd w:val="clear" w:color="auto" w:fill="auto"/>
            <w:vAlign w:val="center"/>
          </w:tcPr>
          <w:p w14:paraId="1C22B9F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3.28</w:t>
            </w:r>
          </w:p>
        </w:tc>
        <w:tc>
          <w:tcPr>
            <w:tcW w:w="960" w:type="dxa"/>
            <w:tcBorders>
              <w:top w:val="nil"/>
              <w:left w:val="nil"/>
              <w:bottom w:val="single" w:color="auto" w:sz="4" w:space="0"/>
              <w:right w:val="nil"/>
            </w:tcBorders>
            <w:shd w:val="clear" w:color="auto" w:fill="auto"/>
            <w:vAlign w:val="center"/>
          </w:tcPr>
          <w:p w14:paraId="7B441C9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w:t>
            </w:r>
          </w:p>
        </w:tc>
        <w:tc>
          <w:tcPr>
            <w:tcW w:w="960" w:type="dxa"/>
            <w:tcBorders>
              <w:top w:val="nil"/>
              <w:left w:val="nil"/>
              <w:bottom w:val="single" w:color="auto" w:sz="4" w:space="0"/>
              <w:right w:val="nil"/>
            </w:tcBorders>
            <w:shd w:val="clear" w:color="auto" w:fill="auto"/>
            <w:vAlign w:val="center"/>
          </w:tcPr>
          <w:p w14:paraId="7F09454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w:t>
            </w:r>
          </w:p>
        </w:tc>
        <w:tc>
          <w:tcPr>
            <w:tcW w:w="960" w:type="dxa"/>
            <w:tcBorders>
              <w:top w:val="nil"/>
              <w:left w:val="nil"/>
              <w:bottom w:val="single" w:color="auto" w:sz="4" w:space="0"/>
              <w:right w:val="nil"/>
            </w:tcBorders>
            <w:shd w:val="clear" w:color="auto" w:fill="auto"/>
            <w:vAlign w:val="center"/>
          </w:tcPr>
          <w:p w14:paraId="21B3F48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9</w:t>
            </w:r>
          </w:p>
        </w:tc>
        <w:tc>
          <w:tcPr>
            <w:tcW w:w="960" w:type="dxa"/>
            <w:tcBorders>
              <w:top w:val="nil"/>
              <w:left w:val="nil"/>
              <w:bottom w:val="single" w:color="auto" w:sz="4" w:space="0"/>
              <w:right w:val="nil"/>
            </w:tcBorders>
            <w:shd w:val="clear" w:color="auto" w:fill="auto"/>
            <w:vAlign w:val="center"/>
          </w:tcPr>
          <w:p w14:paraId="0FB8FEB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10</w:t>
            </w:r>
          </w:p>
        </w:tc>
        <w:tc>
          <w:tcPr>
            <w:tcW w:w="960" w:type="dxa"/>
            <w:tcBorders>
              <w:top w:val="nil"/>
              <w:left w:val="nil"/>
              <w:bottom w:val="single" w:color="auto" w:sz="4" w:space="0"/>
              <w:right w:val="nil"/>
            </w:tcBorders>
            <w:shd w:val="clear" w:color="auto" w:fill="auto"/>
            <w:vAlign w:val="center"/>
          </w:tcPr>
          <w:p w14:paraId="47108F3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w:t>
            </w:r>
          </w:p>
        </w:tc>
      </w:tr>
    </w:tbl>
    <w:p w14:paraId="3B07270D">
      <w:pPr>
        <w:spacing w:line="360" w:lineRule="auto"/>
        <w:jc w:val="both"/>
        <w:rPr>
          <w:rFonts w:hint="default" w:eastAsia="Times New Roman" w:cs="Times New Roman" w:asciiTheme="minorAscii" w:hAnsiTheme="minorAscii"/>
          <w:b/>
          <w:bCs/>
          <w:sz w:val="22"/>
          <w:szCs w:val="22"/>
        </w:rPr>
      </w:pPr>
    </w:p>
    <w:p w14:paraId="3BF6FCCE">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6</w:t>
      </w:r>
      <w:r>
        <w:rPr>
          <w:rFonts w:hint="default" w:eastAsia="Times New Roman" w:cs="Times New Roman" w:asciiTheme="minorAscii" w:hAnsiTheme="minorAscii"/>
          <w:b/>
          <w:bCs/>
          <w:sz w:val="22"/>
          <w:szCs w:val="22"/>
        </w:rPr>
        <w:t>: Summary Statistics S</w:t>
      </w:r>
      <w:r>
        <w:rPr>
          <w:rFonts w:hint="eastAsia" w:cs="Times New Roman" w:asciiTheme="minorAscii" w:hAnsiTheme="minorAscii"/>
          <w:b/>
          <w:bCs/>
          <w:sz w:val="22"/>
          <w:szCs w:val="22"/>
          <w:lang w:val="en-US" w:eastAsia="ja-JP"/>
        </w:rPr>
        <w:t xml:space="preserve">tress </w:t>
      </w:r>
      <w:r>
        <w:rPr>
          <w:rFonts w:hint="default" w:eastAsia="Times New Roman" w:cs="Times New Roman" w:asciiTheme="minorAscii" w:hAnsiTheme="minorAscii"/>
          <w:b/>
          <w:bCs/>
          <w:sz w:val="22"/>
          <w:szCs w:val="22"/>
        </w:rPr>
        <w:t xml:space="preserve">on Hypertension </w:t>
      </w:r>
    </w:p>
    <w:p w14:paraId="54D6A86B">
      <w:pPr>
        <w:spacing w:line="360" w:lineRule="auto"/>
        <w:jc w:val="both"/>
        <w:rPr>
          <w:rFonts w:hint="default" w:eastAsia="Times New Roman" w:cs="Times New Roman" w:asciiTheme="minorAscii" w:hAnsiTheme="minorAscii"/>
          <w:b/>
          <w:bCs/>
          <w:sz w:val="22"/>
          <w:szCs w:val="22"/>
        </w:rPr>
      </w:pPr>
    </w:p>
    <w:p w14:paraId="5A5E6A8E">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results show clear differences in stress levels between individuals with and without hypertension. Participants without hypertension have a lower mean stress score (4.37) compared to those with hypertension (5.54), indicating that higher stress is more common among hypertensive individuals. The median stress score is also higher in the hypertensive group (6 vs. 4), suggesting a consistent shift toward greater stress levels rather than the effect of extreme values. Additionally, the hypertensive group exhibits greater variability, as reflected in a higher standard deviation and wider </w:t>
      </w:r>
      <w:r>
        <w:rPr>
          <w:rFonts w:hint="eastAsia" w:cs="Times New Roman" w:asciiTheme="minorAscii" w:hAnsiTheme="minorAscii"/>
          <w:bCs/>
          <w:sz w:val="22"/>
          <w:szCs w:val="22"/>
          <w:lang w:eastAsia="ja-JP"/>
        </w:rPr>
        <w:t>inter-quartile</w:t>
      </w:r>
      <w:r>
        <w:rPr>
          <w:rFonts w:hint="default" w:eastAsia="Times New Roman" w:cs="Times New Roman" w:asciiTheme="minorAscii" w:hAnsiTheme="minorAscii"/>
          <w:bCs/>
          <w:sz w:val="22"/>
          <w:szCs w:val="22"/>
        </w:rPr>
        <w:t xml:space="preserve"> range (IQR = 6) compared to the non-hypertensive group (IQR = 4). These patterns suggest that elevated and more variable stress levels may be associated with hypertension, reinforcing evidence that psychological stress is an important factor in blood pressure regulation.</w:t>
      </w:r>
    </w:p>
    <w:p w14:paraId="4E77DBCD">
      <w:pPr>
        <w:spacing w:line="360" w:lineRule="auto"/>
        <w:jc w:val="both"/>
        <w:rPr>
          <w:rFonts w:hint="default" w:eastAsia="Times New Roman" w:cs="Times New Roman" w:asciiTheme="minorAscii" w:hAnsiTheme="minorAscii"/>
          <w:bCs/>
          <w:sz w:val="22"/>
          <w:szCs w:val="22"/>
        </w:rPr>
      </w:pPr>
    </w:p>
    <w:p w14:paraId="3DAB6D9A">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Hypothesis (Impact of Stress on Hypertension)</w:t>
      </w:r>
    </w:p>
    <w:p w14:paraId="1866B67D">
      <w:pPr>
        <w:pStyle w:val="16"/>
        <w:numPr>
          <w:ilvl w:val="0"/>
          <w:numId w:val="2"/>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Null Hypothesis (H₀):</w:t>
      </w:r>
      <w:r>
        <w:rPr>
          <w:rFonts w:hint="default" w:eastAsia="Times New Roman" w:cs="Times New Roman" w:asciiTheme="minorAscii" w:hAnsiTheme="minorAscii"/>
          <w:bCs/>
          <w:sz w:val="22"/>
          <w:szCs w:val="22"/>
        </w:rPr>
        <w:t xml:space="preserve"> There is no significant difference in the mean stress score between individuals with hypertension and those without hypertension.</w:t>
      </w:r>
    </w:p>
    <w:p w14:paraId="6A6E2052">
      <w:pPr>
        <w:pStyle w:val="16"/>
        <w:numPr>
          <w:ilvl w:val="0"/>
          <w:numId w:val="2"/>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Alternative Hypothesis (H₁):</w:t>
      </w:r>
      <w:r>
        <w:rPr>
          <w:rFonts w:hint="default" w:eastAsia="Times New Roman" w:cs="Times New Roman" w:asciiTheme="minorAscii" w:hAnsiTheme="minorAscii"/>
          <w:bCs/>
          <w:sz w:val="22"/>
          <w:szCs w:val="22"/>
        </w:rPr>
        <w:t xml:space="preserve"> There is a significant difference in the mean stress score between individuals with hypertension and those without hypertension.</w:t>
      </w:r>
    </w:p>
    <w:p w14:paraId="7159D51A">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This hypothesis is tested using an Independent Samples T-Test, as the two groups (hypertensive vs. non-hypertensive) are independent and the objective is to compare their mean stress scores.</w:t>
      </w:r>
    </w:p>
    <w:p w14:paraId="17796A0F">
      <w:pPr>
        <w:jc w:val="both"/>
        <w:rPr>
          <w:rFonts w:hint="default" w:asciiTheme="minorAscii" w:hAnsiTheme="minorAscii"/>
          <w:sz w:val="22"/>
          <w:szCs w:val="22"/>
        </w:rPr>
      </w:pPr>
    </w:p>
    <w:tbl>
      <w:tblPr>
        <w:tblStyle w:val="9"/>
        <w:tblW w:w="0" w:type="auto"/>
        <w:tblInd w:w="0" w:type="dxa"/>
        <w:tblLayout w:type="autofit"/>
        <w:tblCellMar>
          <w:top w:w="0" w:type="dxa"/>
          <w:left w:w="0" w:type="dxa"/>
          <w:bottom w:w="0" w:type="dxa"/>
          <w:right w:w="0" w:type="dxa"/>
        </w:tblCellMar>
      </w:tblPr>
      <w:tblGrid>
        <w:gridCol w:w="1889"/>
        <w:gridCol w:w="1249"/>
        <w:gridCol w:w="1105"/>
        <w:gridCol w:w="1331"/>
        <w:gridCol w:w="1634"/>
        <w:gridCol w:w="1971"/>
      </w:tblGrid>
      <w:tr w14:paraId="52BE1020">
        <w:tblPrEx>
          <w:tblCellMar>
            <w:top w:w="0" w:type="dxa"/>
            <w:left w:w="0" w:type="dxa"/>
            <w:bottom w:w="0" w:type="dxa"/>
            <w:right w:w="0" w:type="dxa"/>
          </w:tblCellMar>
        </w:tblPrEx>
        <w:trPr>
          <w:tblHeader/>
        </w:trPr>
        <w:tc>
          <w:tcPr>
            <w:tcW w:w="0" w:type="auto"/>
            <w:gridSpan w:val="6"/>
            <w:tcBorders>
              <w:top w:val="nil"/>
              <w:left w:val="nil"/>
              <w:bottom w:val="single" w:color="000000" w:sz="6" w:space="0"/>
              <w:right w:val="nil"/>
            </w:tcBorders>
            <w:tcMar>
              <w:top w:w="90" w:type="dxa"/>
              <w:left w:w="0" w:type="dxa"/>
              <w:bottom w:w="90" w:type="dxa"/>
              <w:right w:w="150" w:type="dxa"/>
            </w:tcMar>
            <w:vAlign w:val="center"/>
          </w:tcPr>
          <w:p w14:paraId="27E68D0E">
            <w:pPr>
              <w:jc w:val="both"/>
              <w:rPr>
                <w:rFonts w:hint="default" w:asciiTheme="minorAscii" w:hAnsiTheme="minorAscii"/>
                <w:color w:val="000000"/>
                <w:sz w:val="22"/>
                <w:szCs w:val="22"/>
              </w:rPr>
            </w:pPr>
            <w:r>
              <w:rPr>
                <w:rStyle w:val="17"/>
                <w:rFonts w:hint="default" w:asciiTheme="minorAscii" w:hAnsiTheme="minorAscii"/>
                <w:i/>
                <w:iCs/>
                <w:color w:val="000000"/>
                <w:sz w:val="22"/>
                <w:szCs w:val="22"/>
              </w:rPr>
              <w:t>Independent Samples T-Test</w:t>
            </w:r>
            <w:r>
              <w:rPr>
                <w:rFonts w:hint="default" w:asciiTheme="minorAscii" w:hAnsiTheme="minorAscii"/>
                <w:color w:val="000000"/>
                <w:sz w:val="22"/>
                <w:szCs w:val="22"/>
              </w:rPr>
              <w:t xml:space="preserve"> </w:t>
            </w:r>
          </w:p>
        </w:tc>
      </w:tr>
      <w:tr w14:paraId="76E0505F">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607D84BF">
            <w:pPr>
              <w:jc w:val="both"/>
              <w:rPr>
                <w:rFonts w:hint="default" w:asciiTheme="minorAscii" w:hAnsiTheme="minorAscii"/>
                <w:color w:val="000000"/>
                <w:sz w:val="22"/>
                <w:szCs w:val="22"/>
              </w:rPr>
            </w:pP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A5A8D85">
            <w:pPr>
              <w:jc w:val="both"/>
              <w:rPr>
                <w:rFonts w:hint="default" w:asciiTheme="minorAscii" w:hAnsiTheme="minorAscii"/>
                <w:color w:val="000000"/>
                <w:sz w:val="22"/>
                <w:szCs w:val="22"/>
              </w:rPr>
            </w:pPr>
            <w:r>
              <w:rPr>
                <w:rFonts w:hint="default" w:asciiTheme="minorAscii" w:hAnsiTheme="minorAscii"/>
                <w:color w:val="000000"/>
                <w:sz w:val="22"/>
                <w:szCs w:val="22"/>
              </w:rPr>
              <w:t>t</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EF40402">
            <w:pPr>
              <w:jc w:val="both"/>
              <w:rPr>
                <w:rFonts w:hint="default" w:asciiTheme="minorAscii" w:hAnsiTheme="minorAscii"/>
                <w:color w:val="000000"/>
                <w:sz w:val="22"/>
                <w:szCs w:val="22"/>
              </w:rPr>
            </w:pPr>
            <w:r>
              <w:rPr>
                <w:rFonts w:hint="default"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24A684A">
            <w:pPr>
              <w:jc w:val="both"/>
              <w:rPr>
                <w:rFonts w:hint="default" w:asciiTheme="minorAscii" w:hAnsiTheme="minorAscii"/>
                <w:color w:val="000000"/>
                <w:sz w:val="22"/>
                <w:szCs w:val="22"/>
              </w:rPr>
            </w:pPr>
            <w:r>
              <w:rPr>
                <w:rFonts w:hint="default"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3B8FB520">
            <w:pPr>
              <w:jc w:val="both"/>
              <w:rPr>
                <w:rFonts w:hint="default" w:asciiTheme="minorAscii" w:hAnsiTheme="minorAscii"/>
                <w:color w:val="000000"/>
                <w:sz w:val="22"/>
                <w:szCs w:val="22"/>
              </w:rPr>
            </w:pPr>
            <w:r>
              <w:rPr>
                <w:rFonts w:hint="default" w:asciiTheme="minorAscii" w:hAnsiTheme="minorAscii"/>
                <w:color w:val="000000"/>
                <w:sz w:val="22"/>
                <w:szCs w:val="22"/>
              </w:rPr>
              <w:t>Cohen's d</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3246917">
            <w:pPr>
              <w:jc w:val="both"/>
              <w:rPr>
                <w:rFonts w:hint="default" w:asciiTheme="minorAscii" w:hAnsiTheme="minorAscii"/>
                <w:color w:val="000000"/>
                <w:sz w:val="22"/>
                <w:szCs w:val="22"/>
              </w:rPr>
            </w:pPr>
            <w:r>
              <w:rPr>
                <w:rFonts w:hint="default" w:asciiTheme="minorAscii" w:hAnsiTheme="minorAscii"/>
                <w:color w:val="000000"/>
                <w:sz w:val="22"/>
                <w:szCs w:val="22"/>
              </w:rPr>
              <w:t>SE Cohen's d</w:t>
            </w:r>
          </w:p>
        </w:tc>
      </w:tr>
      <w:tr w14:paraId="0D2F4457">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678557C">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Stress Score</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1742B06">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-8.473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0A348C5">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1983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32B5AE7">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&lt; .001ᵃ</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14AFF47">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-0.381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52FFDFB">
            <w:pPr>
              <w:spacing w:after="144"/>
              <w:jc w:val="both"/>
              <w:rPr>
                <w:rFonts w:hint="default" w:asciiTheme="minorAscii" w:hAnsiTheme="minorAscii"/>
                <w:color w:val="000000"/>
                <w:sz w:val="22"/>
                <w:szCs w:val="22"/>
              </w:rPr>
            </w:pPr>
            <w:r>
              <w:rPr>
                <w:rFonts w:hint="default" w:asciiTheme="minorAscii" w:hAnsiTheme="minorAscii"/>
                <w:color w:val="000000"/>
                <w:sz w:val="22"/>
                <w:szCs w:val="22"/>
              </w:rPr>
              <w:t>0.046</w:t>
            </w:r>
          </w:p>
        </w:tc>
      </w:tr>
      <w:tr w14:paraId="437CC522">
        <w:tblPrEx>
          <w:tblCellMar>
            <w:top w:w="0" w:type="dxa"/>
            <w:left w:w="0" w:type="dxa"/>
            <w:bottom w:w="0" w:type="dxa"/>
            <w:right w:w="0" w:type="dxa"/>
          </w:tblCellMar>
        </w:tblPrEx>
        <w:tc>
          <w:tcPr>
            <w:tcW w:w="0" w:type="auto"/>
            <w:gridSpan w:val="6"/>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695D8323">
            <w:pPr>
              <w:spacing w:after="144"/>
              <w:jc w:val="both"/>
              <w:rPr>
                <w:rFonts w:hint="default" w:asciiTheme="minorAscii" w:hAnsiTheme="minorAscii"/>
                <w:color w:val="000000"/>
                <w:sz w:val="22"/>
                <w:szCs w:val="22"/>
              </w:rPr>
            </w:pPr>
          </w:p>
        </w:tc>
      </w:tr>
      <w:tr w14:paraId="307F59E1">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24A38704">
            <w:pPr>
              <w:jc w:val="both"/>
              <w:rPr>
                <w:rFonts w:hint="default" w:asciiTheme="minorAscii" w:hAnsiTheme="minorAscii"/>
                <w:color w:val="000000"/>
                <w:sz w:val="22"/>
                <w:szCs w:val="22"/>
              </w:rPr>
            </w:pPr>
            <w:r>
              <w:rPr>
                <w:rStyle w:val="10"/>
                <w:rFonts w:hint="default" w:asciiTheme="minorAscii" w:hAnsiTheme="minorAscii"/>
                <w:color w:val="000000"/>
                <w:sz w:val="22"/>
                <w:szCs w:val="22"/>
              </w:rPr>
              <w:t>Note.</w:t>
            </w:r>
            <w:r>
              <w:rPr>
                <w:rFonts w:hint="default" w:asciiTheme="minorAscii" w:hAnsiTheme="minorAscii"/>
                <w:color w:val="000000"/>
                <w:sz w:val="22"/>
                <w:szCs w:val="22"/>
              </w:rPr>
              <w:t xml:space="preserve">  Student's t-test.</w:t>
            </w:r>
          </w:p>
        </w:tc>
      </w:tr>
      <w:tr w14:paraId="61740DE6">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20A7D3C6">
            <w:pPr>
              <w:jc w:val="both"/>
              <w:rPr>
                <w:rFonts w:hint="default" w:asciiTheme="minorAscii" w:hAnsiTheme="minorAscii"/>
                <w:color w:val="000000"/>
                <w:sz w:val="22"/>
                <w:szCs w:val="22"/>
              </w:rPr>
            </w:pPr>
            <w:r>
              <w:rPr>
                <w:rFonts w:hint="default" w:asciiTheme="minorAscii" w:hAnsiTheme="minorAscii"/>
                <w:color w:val="000000"/>
                <w:sz w:val="22"/>
                <w:szCs w:val="22"/>
              </w:rPr>
              <w:t>ᵃ Brown-Forsythe test is significant (p &lt; .05), suggesting a violation of the equal variance assumption</w:t>
            </w:r>
          </w:p>
        </w:tc>
      </w:tr>
    </w:tbl>
    <w:p w14:paraId="5ABA9D6A">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7</w:t>
      </w:r>
      <w:r>
        <w:rPr>
          <w:rFonts w:hint="default" w:eastAsia="Times New Roman" w:cs="Times New Roman" w:asciiTheme="minorAscii" w:hAnsiTheme="minorAscii"/>
          <w:b/>
          <w:bCs/>
          <w:sz w:val="22"/>
          <w:szCs w:val="22"/>
        </w:rPr>
        <w:t xml:space="preserve">: T-test Impact of </w:t>
      </w:r>
      <w:r>
        <w:rPr>
          <w:rFonts w:hint="eastAsia" w:cs="Times New Roman" w:asciiTheme="minorAscii" w:hAnsiTheme="minorAscii"/>
          <w:b/>
          <w:bCs/>
          <w:sz w:val="22"/>
          <w:szCs w:val="22"/>
          <w:lang w:val="en-US" w:eastAsia="ja-JP"/>
        </w:rPr>
        <w:t>Salt</w:t>
      </w:r>
      <w:r>
        <w:rPr>
          <w:rFonts w:hint="default" w:eastAsia="Times New Roman" w:cs="Times New Roman" w:asciiTheme="minorAscii" w:hAnsiTheme="minorAscii"/>
          <w:b/>
          <w:bCs/>
          <w:sz w:val="22"/>
          <w:szCs w:val="22"/>
        </w:rPr>
        <w:t xml:space="preserve"> On hypertension </w:t>
      </w:r>
    </w:p>
    <w:p w14:paraId="6427E038">
      <w:pPr>
        <w:spacing w:line="360" w:lineRule="auto"/>
        <w:jc w:val="both"/>
        <w:rPr>
          <w:rFonts w:hint="default" w:eastAsia="Times New Roman" w:cs="Times New Roman" w:asciiTheme="minorAscii" w:hAnsiTheme="minorAscii"/>
          <w:bCs/>
          <w:sz w:val="22"/>
          <w:szCs w:val="22"/>
        </w:rPr>
      </w:pPr>
    </w:p>
    <w:p w14:paraId="6B89CE82">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independent samples t-test for stress scores shows a statistically significant difference between individuals with and without hypertension (t = -8.473, df = 1983, p &lt; .001). The analysis suggests that, on average, those with hypertension tend to have higher stress scores (measured mean ≈ 5.54) compared to non-hypertensive participants (measured mean ≈ 4.37), indicating a meaningful association between stress and hypertension. The effect size, Cohen’s d = -0.381, represents a small-to-moderate practical effect. The Brown-Forsythe test indicates unequal variances (p &lt; .05), suggesting that the assumption of equal variance was not met, though the overall difference remains statistically significant.</w:t>
      </w:r>
    </w:p>
    <w:p w14:paraId="6BAF9CDB">
      <w:pPr>
        <w:spacing w:line="360" w:lineRule="auto"/>
        <w:jc w:val="both"/>
        <w:rPr>
          <w:rFonts w:hint="default" w:eastAsia="Times New Roman" w:cs="Times New Roman" w:asciiTheme="minorAscii" w:hAnsiTheme="minorAscii"/>
          <w:bCs/>
          <w:sz w:val="22"/>
          <w:szCs w:val="22"/>
        </w:rPr>
      </w:pPr>
    </w:p>
    <w:p w14:paraId="57310E20">
      <w:pPr>
        <w:spacing w:line="360" w:lineRule="auto"/>
        <w:jc w:val="both"/>
        <w:rPr>
          <w:rFonts w:hint="default" w:eastAsia="Times New Roman" w:cs="Times New Roman" w:asciiTheme="minorAscii" w:hAnsiTheme="minorAscii"/>
          <w:bCs/>
          <w:sz w:val="22"/>
          <w:szCs w:val="22"/>
        </w:rPr>
      </w:pPr>
    </w:p>
    <w:p w14:paraId="042262D5">
      <w:pPr>
        <w:spacing w:line="360" w:lineRule="auto"/>
        <w:jc w:val="both"/>
        <w:rPr>
          <w:rFonts w:hint="default" w:eastAsia="Times New Roman" w:cs="Times New Roman" w:asciiTheme="minorAscii" w:hAnsiTheme="minorAscii"/>
          <w:bCs/>
          <w:sz w:val="22"/>
          <w:szCs w:val="22"/>
        </w:rPr>
      </w:pPr>
    </w:p>
    <w:p w14:paraId="2C3F00C4">
      <w:pPr>
        <w:spacing w:line="360" w:lineRule="auto"/>
        <w:jc w:val="both"/>
        <w:rPr>
          <w:rFonts w:hint="default" w:eastAsia="Times New Roman" w:cs="Times New Roman" w:asciiTheme="minorAscii" w:hAnsiTheme="minorAscii"/>
          <w:bCs/>
          <w:sz w:val="22"/>
          <w:szCs w:val="22"/>
        </w:rPr>
      </w:pPr>
    </w:p>
    <w:p w14:paraId="7A4FA914">
      <w:pPr>
        <w:spacing w:line="360" w:lineRule="auto"/>
        <w:jc w:val="both"/>
        <w:rPr>
          <w:rFonts w:hint="default" w:eastAsia="Times New Roman" w:cs="Times New Roman" w:asciiTheme="minorAscii" w:hAnsiTheme="minorAscii"/>
          <w:bCs/>
          <w:sz w:val="22"/>
          <w:szCs w:val="22"/>
        </w:rPr>
      </w:pPr>
    </w:p>
    <w:p w14:paraId="12840DAC">
      <w:pPr>
        <w:spacing w:line="360" w:lineRule="auto"/>
        <w:jc w:val="both"/>
        <w:rPr>
          <w:rFonts w:hint="default" w:eastAsia="Times New Roman" w:cs="Times New Roman" w:asciiTheme="minorAscii" w:hAnsiTheme="minorAscii"/>
          <w:bCs/>
          <w:sz w:val="22"/>
          <w:szCs w:val="22"/>
        </w:rPr>
      </w:pPr>
    </w:p>
    <w:p w14:paraId="7EB01079">
      <w:pPr>
        <w:spacing w:line="360" w:lineRule="auto"/>
        <w:jc w:val="both"/>
        <w:rPr>
          <w:rFonts w:hint="default" w:eastAsia="Times New Roman" w:cs="Times New Roman" w:asciiTheme="minorAscii" w:hAnsiTheme="minorAscii"/>
          <w:bCs/>
          <w:sz w:val="22"/>
          <w:szCs w:val="22"/>
        </w:rPr>
      </w:pPr>
    </w:p>
    <w:p w14:paraId="2FF9B582">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Impact of Sleep Duration on Hypertension. </w:t>
      </w:r>
    </w:p>
    <w:p w14:paraId="450B7519">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drawing>
          <wp:inline distT="0" distB="0" distL="0" distR="0">
            <wp:extent cx="5715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45706268">
      <w:pPr>
        <w:spacing w:line="360" w:lineRule="auto"/>
        <w:jc w:val="both"/>
        <w:rPr>
          <w:rFonts w:hint="eastAsia"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 xml:space="preserve">Fig  4: Bar Chart Sleep duration on Hypertension Status </w:t>
      </w:r>
    </w:p>
    <w:p w14:paraId="034422DA">
      <w:pPr>
        <w:spacing w:line="360" w:lineRule="auto"/>
        <w:jc w:val="both"/>
        <w:rPr>
          <w:rFonts w:hint="default" w:cs="Times New Roman" w:asciiTheme="minorAscii" w:hAnsiTheme="minorAscii"/>
          <w:b/>
          <w:bCs/>
          <w:sz w:val="22"/>
          <w:szCs w:val="22"/>
          <w:lang w:val="en-US" w:eastAsia="ja-JP"/>
        </w:rPr>
      </w:pPr>
    </w:p>
    <w:tbl>
      <w:tblPr>
        <w:tblStyle w:val="9"/>
        <w:tblW w:w="10080" w:type="dxa"/>
        <w:tblInd w:w="0" w:type="dxa"/>
        <w:tblLayout w:type="autofit"/>
        <w:tblCellMar>
          <w:top w:w="0" w:type="dxa"/>
          <w:left w:w="108" w:type="dxa"/>
          <w:bottom w:w="0" w:type="dxa"/>
          <w:right w:w="108" w:type="dxa"/>
        </w:tblCellMar>
      </w:tblPr>
      <w:tblGrid>
        <w:gridCol w:w="2399"/>
        <w:gridCol w:w="959"/>
        <w:gridCol w:w="970"/>
        <w:gridCol w:w="959"/>
        <w:gridCol w:w="959"/>
        <w:gridCol w:w="958"/>
        <w:gridCol w:w="958"/>
        <w:gridCol w:w="959"/>
        <w:gridCol w:w="959"/>
      </w:tblGrid>
      <w:tr w14:paraId="7476F1B4">
        <w:trPr>
          <w:trHeight w:val="600" w:hRule="atLeast"/>
        </w:trPr>
        <w:tc>
          <w:tcPr>
            <w:tcW w:w="2400" w:type="dxa"/>
            <w:tcBorders>
              <w:top w:val="single" w:color="auto" w:sz="4" w:space="0"/>
              <w:left w:val="nil"/>
              <w:bottom w:val="single" w:color="auto" w:sz="4" w:space="0"/>
              <w:right w:val="nil"/>
            </w:tcBorders>
            <w:shd w:val="clear" w:color="auto" w:fill="auto"/>
            <w:vAlign w:val="center"/>
          </w:tcPr>
          <w:p w14:paraId="405C140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Hypertension/Sleep Duration</w:t>
            </w:r>
          </w:p>
        </w:tc>
        <w:tc>
          <w:tcPr>
            <w:tcW w:w="960" w:type="dxa"/>
            <w:tcBorders>
              <w:top w:val="single" w:color="auto" w:sz="4" w:space="0"/>
              <w:left w:val="nil"/>
              <w:bottom w:val="single" w:color="auto" w:sz="4" w:space="0"/>
              <w:right w:val="nil"/>
            </w:tcBorders>
            <w:shd w:val="clear" w:color="auto" w:fill="auto"/>
            <w:vAlign w:val="center"/>
          </w:tcPr>
          <w:p w14:paraId="277A5187">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Mean</w:t>
            </w:r>
          </w:p>
        </w:tc>
        <w:tc>
          <w:tcPr>
            <w:tcW w:w="960" w:type="dxa"/>
            <w:tcBorders>
              <w:top w:val="single" w:color="auto" w:sz="4" w:space="0"/>
              <w:left w:val="nil"/>
              <w:bottom w:val="single" w:color="auto" w:sz="4" w:space="0"/>
              <w:right w:val="nil"/>
            </w:tcBorders>
            <w:shd w:val="clear" w:color="auto" w:fill="auto"/>
            <w:vAlign w:val="center"/>
          </w:tcPr>
          <w:p w14:paraId="1A9665D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Median</w:t>
            </w:r>
          </w:p>
        </w:tc>
        <w:tc>
          <w:tcPr>
            <w:tcW w:w="960" w:type="dxa"/>
            <w:tcBorders>
              <w:top w:val="single" w:color="auto" w:sz="4" w:space="0"/>
              <w:left w:val="nil"/>
              <w:bottom w:val="single" w:color="auto" w:sz="4" w:space="0"/>
              <w:right w:val="nil"/>
            </w:tcBorders>
            <w:shd w:val="clear" w:color="auto" w:fill="auto"/>
            <w:vAlign w:val="center"/>
          </w:tcPr>
          <w:p w14:paraId="16CE7D25">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Std. Dev</w:t>
            </w:r>
          </w:p>
        </w:tc>
        <w:tc>
          <w:tcPr>
            <w:tcW w:w="960" w:type="dxa"/>
            <w:tcBorders>
              <w:top w:val="single" w:color="auto" w:sz="4" w:space="0"/>
              <w:left w:val="nil"/>
              <w:bottom w:val="single" w:color="auto" w:sz="4" w:space="0"/>
              <w:right w:val="nil"/>
            </w:tcBorders>
            <w:shd w:val="clear" w:color="auto" w:fill="auto"/>
            <w:vAlign w:val="center"/>
          </w:tcPr>
          <w:p w14:paraId="0AA3AE37">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445F292E">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Q1</w:t>
            </w:r>
          </w:p>
        </w:tc>
        <w:tc>
          <w:tcPr>
            <w:tcW w:w="960" w:type="dxa"/>
            <w:tcBorders>
              <w:top w:val="single" w:color="auto" w:sz="4" w:space="0"/>
              <w:left w:val="nil"/>
              <w:bottom w:val="single" w:color="auto" w:sz="4" w:space="0"/>
              <w:right w:val="nil"/>
            </w:tcBorders>
            <w:shd w:val="clear" w:color="auto" w:fill="auto"/>
            <w:vAlign w:val="center"/>
          </w:tcPr>
          <w:p w14:paraId="11BBA234">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Q3</w:t>
            </w:r>
          </w:p>
        </w:tc>
        <w:tc>
          <w:tcPr>
            <w:tcW w:w="960" w:type="dxa"/>
            <w:tcBorders>
              <w:top w:val="single" w:color="auto" w:sz="4" w:space="0"/>
              <w:left w:val="nil"/>
              <w:bottom w:val="single" w:color="auto" w:sz="4" w:space="0"/>
              <w:right w:val="nil"/>
            </w:tcBorders>
            <w:shd w:val="clear" w:color="auto" w:fill="auto"/>
            <w:vAlign w:val="center"/>
          </w:tcPr>
          <w:p w14:paraId="664A6C38">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Max</w:t>
            </w:r>
          </w:p>
        </w:tc>
        <w:tc>
          <w:tcPr>
            <w:tcW w:w="960" w:type="dxa"/>
            <w:tcBorders>
              <w:top w:val="single" w:color="auto" w:sz="4" w:space="0"/>
              <w:left w:val="nil"/>
              <w:bottom w:val="single" w:color="auto" w:sz="4" w:space="0"/>
              <w:right w:val="nil"/>
            </w:tcBorders>
            <w:shd w:val="clear" w:color="auto" w:fill="auto"/>
            <w:vAlign w:val="center"/>
          </w:tcPr>
          <w:p w14:paraId="50269D8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IQR</w:t>
            </w:r>
          </w:p>
        </w:tc>
      </w:tr>
      <w:tr w14:paraId="0807DCB2">
        <w:tblPrEx>
          <w:tblCellMar>
            <w:top w:w="0" w:type="dxa"/>
            <w:left w:w="108" w:type="dxa"/>
            <w:bottom w:w="0" w:type="dxa"/>
            <w:right w:w="108" w:type="dxa"/>
          </w:tblCellMar>
        </w:tblPrEx>
        <w:trPr>
          <w:trHeight w:val="300" w:hRule="atLeast"/>
        </w:trPr>
        <w:tc>
          <w:tcPr>
            <w:tcW w:w="2400" w:type="dxa"/>
            <w:tcBorders>
              <w:top w:val="nil"/>
              <w:left w:val="nil"/>
              <w:bottom w:val="nil"/>
              <w:right w:val="nil"/>
            </w:tcBorders>
            <w:shd w:val="clear" w:color="auto" w:fill="auto"/>
            <w:vAlign w:val="center"/>
          </w:tcPr>
          <w:p w14:paraId="12236B2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960" w:type="dxa"/>
            <w:tcBorders>
              <w:top w:val="nil"/>
              <w:left w:val="nil"/>
              <w:bottom w:val="nil"/>
              <w:right w:val="nil"/>
            </w:tcBorders>
            <w:shd w:val="clear" w:color="auto" w:fill="auto"/>
            <w:vAlign w:val="center"/>
          </w:tcPr>
          <w:p w14:paraId="73D3364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6.64</w:t>
            </w:r>
          </w:p>
        </w:tc>
        <w:tc>
          <w:tcPr>
            <w:tcW w:w="960" w:type="dxa"/>
            <w:tcBorders>
              <w:top w:val="nil"/>
              <w:left w:val="nil"/>
              <w:bottom w:val="nil"/>
              <w:right w:val="nil"/>
            </w:tcBorders>
            <w:shd w:val="clear" w:color="auto" w:fill="auto"/>
            <w:vAlign w:val="center"/>
          </w:tcPr>
          <w:p w14:paraId="08D6EE1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6.6</w:t>
            </w:r>
          </w:p>
        </w:tc>
        <w:tc>
          <w:tcPr>
            <w:tcW w:w="960" w:type="dxa"/>
            <w:tcBorders>
              <w:top w:val="nil"/>
              <w:left w:val="nil"/>
              <w:bottom w:val="nil"/>
              <w:right w:val="nil"/>
            </w:tcBorders>
            <w:shd w:val="clear" w:color="auto" w:fill="auto"/>
            <w:vAlign w:val="center"/>
          </w:tcPr>
          <w:p w14:paraId="38795C3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1.38</w:t>
            </w:r>
          </w:p>
        </w:tc>
        <w:tc>
          <w:tcPr>
            <w:tcW w:w="960" w:type="dxa"/>
            <w:tcBorders>
              <w:top w:val="nil"/>
              <w:left w:val="nil"/>
              <w:bottom w:val="nil"/>
              <w:right w:val="nil"/>
            </w:tcBorders>
            <w:shd w:val="clear" w:color="auto" w:fill="auto"/>
            <w:vAlign w:val="center"/>
          </w:tcPr>
          <w:p w14:paraId="22D4BFF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2.2</w:t>
            </w:r>
          </w:p>
        </w:tc>
        <w:tc>
          <w:tcPr>
            <w:tcW w:w="960" w:type="dxa"/>
            <w:tcBorders>
              <w:top w:val="nil"/>
              <w:left w:val="nil"/>
              <w:bottom w:val="nil"/>
              <w:right w:val="nil"/>
            </w:tcBorders>
            <w:shd w:val="clear" w:color="auto" w:fill="auto"/>
            <w:vAlign w:val="center"/>
          </w:tcPr>
          <w:p w14:paraId="56D45F5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5.7</w:t>
            </w:r>
          </w:p>
        </w:tc>
        <w:tc>
          <w:tcPr>
            <w:tcW w:w="960" w:type="dxa"/>
            <w:tcBorders>
              <w:top w:val="nil"/>
              <w:left w:val="nil"/>
              <w:bottom w:val="nil"/>
              <w:right w:val="nil"/>
            </w:tcBorders>
            <w:shd w:val="clear" w:color="auto" w:fill="auto"/>
            <w:vAlign w:val="center"/>
          </w:tcPr>
          <w:p w14:paraId="2C5A377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7.6</w:t>
            </w:r>
          </w:p>
        </w:tc>
        <w:tc>
          <w:tcPr>
            <w:tcW w:w="960" w:type="dxa"/>
            <w:tcBorders>
              <w:top w:val="nil"/>
              <w:left w:val="nil"/>
              <w:bottom w:val="nil"/>
              <w:right w:val="nil"/>
            </w:tcBorders>
            <w:shd w:val="clear" w:color="auto" w:fill="auto"/>
            <w:vAlign w:val="center"/>
          </w:tcPr>
          <w:p w14:paraId="1C0EA62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11</w:t>
            </w:r>
          </w:p>
        </w:tc>
        <w:tc>
          <w:tcPr>
            <w:tcW w:w="960" w:type="dxa"/>
            <w:tcBorders>
              <w:top w:val="nil"/>
              <w:left w:val="nil"/>
              <w:bottom w:val="nil"/>
              <w:right w:val="nil"/>
            </w:tcBorders>
            <w:shd w:val="clear" w:color="auto" w:fill="auto"/>
            <w:vAlign w:val="center"/>
          </w:tcPr>
          <w:p w14:paraId="7909CCE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1.9</w:t>
            </w:r>
          </w:p>
        </w:tc>
      </w:tr>
      <w:tr w14:paraId="3DF7AEBC">
        <w:tblPrEx>
          <w:tblCellMar>
            <w:top w:w="0" w:type="dxa"/>
            <w:left w:w="108" w:type="dxa"/>
            <w:bottom w:w="0" w:type="dxa"/>
            <w:right w:w="108" w:type="dxa"/>
          </w:tblCellMar>
        </w:tblPrEx>
        <w:trPr>
          <w:trHeight w:val="300" w:hRule="atLeast"/>
        </w:trPr>
        <w:tc>
          <w:tcPr>
            <w:tcW w:w="2400" w:type="dxa"/>
            <w:tcBorders>
              <w:top w:val="nil"/>
              <w:left w:val="nil"/>
              <w:bottom w:val="single" w:color="auto" w:sz="4" w:space="0"/>
              <w:right w:val="nil"/>
            </w:tcBorders>
            <w:shd w:val="clear" w:color="auto" w:fill="auto"/>
            <w:vAlign w:val="center"/>
          </w:tcPr>
          <w:p w14:paraId="30AA537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960" w:type="dxa"/>
            <w:tcBorders>
              <w:top w:val="nil"/>
              <w:left w:val="nil"/>
              <w:bottom w:val="single" w:color="auto" w:sz="4" w:space="0"/>
              <w:right w:val="nil"/>
            </w:tcBorders>
            <w:shd w:val="clear" w:color="auto" w:fill="auto"/>
            <w:vAlign w:val="center"/>
          </w:tcPr>
          <w:p w14:paraId="1151861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6.28</w:t>
            </w:r>
          </w:p>
        </w:tc>
        <w:tc>
          <w:tcPr>
            <w:tcW w:w="960" w:type="dxa"/>
            <w:tcBorders>
              <w:top w:val="nil"/>
              <w:left w:val="nil"/>
              <w:bottom w:val="single" w:color="auto" w:sz="4" w:space="0"/>
              <w:right w:val="nil"/>
            </w:tcBorders>
            <w:shd w:val="clear" w:color="auto" w:fill="auto"/>
            <w:vAlign w:val="center"/>
          </w:tcPr>
          <w:p w14:paraId="7F91726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6.3</w:t>
            </w:r>
          </w:p>
        </w:tc>
        <w:tc>
          <w:tcPr>
            <w:tcW w:w="960" w:type="dxa"/>
            <w:tcBorders>
              <w:top w:val="nil"/>
              <w:left w:val="nil"/>
              <w:bottom w:val="single" w:color="auto" w:sz="4" w:space="0"/>
              <w:right w:val="nil"/>
            </w:tcBorders>
            <w:shd w:val="clear" w:color="auto" w:fill="auto"/>
            <w:vAlign w:val="center"/>
          </w:tcPr>
          <w:p w14:paraId="09DF8C2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1.66</w:t>
            </w:r>
          </w:p>
        </w:tc>
        <w:tc>
          <w:tcPr>
            <w:tcW w:w="960" w:type="dxa"/>
            <w:tcBorders>
              <w:top w:val="nil"/>
              <w:left w:val="nil"/>
              <w:bottom w:val="single" w:color="auto" w:sz="4" w:space="0"/>
              <w:right w:val="nil"/>
            </w:tcBorders>
            <w:shd w:val="clear" w:color="auto" w:fill="auto"/>
            <w:vAlign w:val="center"/>
          </w:tcPr>
          <w:p w14:paraId="6011666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1.5</w:t>
            </w:r>
          </w:p>
        </w:tc>
        <w:tc>
          <w:tcPr>
            <w:tcW w:w="960" w:type="dxa"/>
            <w:tcBorders>
              <w:top w:val="nil"/>
              <w:left w:val="nil"/>
              <w:bottom w:val="single" w:color="auto" w:sz="4" w:space="0"/>
              <w:right w:val="nil"/>
            </w:tcBorders>
            <w:shd w:val="clear" w:color="auto" w:fill="auto"/>
            <w:vAlign w:val="center"/>
          </w:tcPr>
          <w:p w14:paraId="16923EE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w:t>
            </w:r>
          </w:p>
        </w:tc>
        <w:tc>
          <w:tcPr>
            <w:tcW w:w="960" w:type="dxa"/>
            <w:tcBorders>
              <w:top w:val="nil"/>
              <w:left w:val="nil"/>
              <w:bottom w:val="single" w:color="auto" w:sz="4" w:space="0"/>
              <w:right w:val="nil"/>
            </w:tcBorders>
            <w:shd w:val="clear" w:color="auto" w:fill="auto"/>
            <w:vAlign w:val="center"/>
          </w:tcPr>
          <w:p w14:paraId="03841AA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7.4</w:t>
            </w:r>
          </w:p>
        </w:tc>
        <w:tc>
          <w:tcPr>
            <w:tcW w:w="960" w:type="dxa"/>
            <w:tcBorders>
              <w:top w:val="nil"/>
              <w:left w:val="nil"/>
              <w:bottom w:val="single" w:color="auto" w:sz="4" w:space="0"/>
              <w:right w:val="nil"/>
            </w:tcBorders>
            <w:shd w:val="clear" w:color="auto" w:fill="auto"/>
            <w:vAlign w:val="center"/>
          </w:tcPr>
          <w:p w14:paraId="7E005B3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11.4</w:t>
            </w:r>
          </w:p>
        </w:tc>
        <w:tc>
          <w:tcPr>
            <w:tcW w:w="960" w:type="dxa"/>
            <w:tcBorders>
              <w:top w:val="nil"/>
              <w:left w:val="nil"/>
              <w:bottom w:val="single" w:color="auto" w:sz="4" w:space="0"/>
              <w:right w:val="nil"/>
            </w:tcBorders>
            <w:shd w:val="clear" w:color="auto" w:fill="auto"/>
            <w:vAlign w:val="center"/>
          </w:tcPr>
          <w:p w14:paraId="6EB8ADF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2.4</w:t>
            </w:r>
          </w:p>
        </w:tc>
      </w:tr>
    </w:tbl>
    <w:p w14:paraId="4F35209F">
      <w:pPr>
        <w:spacing w:line="360" w:lineRule="auto"/>
        <w:jc w:val="both"/>
        <w:rPr>
          <w:rFonts w:hint="default" w:eastAsia="Times New Roman" w:cs="Times New Roman" w:asciiTheme="minorAscii" w:hAnsiTheme="minorAscii"/>
          <w:b/>
          <w:bCs/>
          <w:sz w:val="22"/>
          <w:szCs w:val="22"/>
        </w:rPr>
      </w:pPr>
    </w:p>
    <w:p w14:paraId="072D5E07">
      <w:pPr>
        <w:spacing w:line="360" w:lineRule="auto"/>
        <w:jc w:val="both"/>
        <w:rPr>
          <w:rFonts w:hint="default" w:eastAsia="MS Mincho"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 xml:space="preserve">Table 8: Summary statistics Sleep duration on Hypertension </w:t>
      </w:r>
    </w:p>
    <w:p w14:paraId="32136346">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summary statistics indicate a modest but consistent difference in sleep duration between individuals with and without hypertension. Participants without hypertension reported a higher mean sleep duration (6.64 hours) compared to those with hypertension (6.28 hours), suggesting that shorter sleep may be associated with elevated blood pressure. The hypertensive group also exhibits greater variability in sleep duration, as reflected by a higher standard deviation and wider </w:t>
      </w:r>
      <w:r>
        <w:rPr>
          <w:rFonts w:hint="eastAsia" w:cs="Times New Roman" w:asciiTheme="minorAscii" w:hAnsiTheme="minorAscii"/>
          <w:bCs/>
          <w:sz w:val="22"/>
          <w:szCs w:val="22"/>
          <w:lang w:eastAsia="ja-JP"/>
        </w:rPr>
        <w:t>inter-quartile</w:t>
      </w:r>
      <w:r>
        <w:rPr>
          <w:rFonts w:hint="default" w:eastAsia="Times New Roman" w:cs="Times New Roman" w:asciiTheme="minorAscii" w:hAnsiTheme="minorAscii"/>
          <w:bCs/>
          <w:sz w:val="22"/>
          <w:szCs w:val="22"/>
        </w:rPr>
        <w:t xml:space="preserve"> range, indicating more irregular sleep patterns. While median sleep duration is similar across groups, the lower first quartile among hypertensive individuals suggests that a larger proportion experience insufficient sleep. Overall, these patterns support existing evidence linking reduced and irregular sleep duration with increased hypertension risk.</w:t>
      </w:r>
    </w:p>
    <w:p w14:paraId="12681381">
      <w:pPr>
        <w:spacing w:line="360" w:lineRule="auto"/>
        <w:jc w:val="both"/>
        <w:rPr>
          <w:rFonts w:hint="default" w:eastAsia="Times New Roman" w:cs="Times New Roman" w:asciiTheme="minorAscii" w:hAnsiTheme="minorAscii"/>
          <w:bCs/>
          <w:sz w:val="22"/>
          <w:szCs w:val="22"/>
        </w:rPr>
      </w:pPr>
    </w:p>
    <w:p w14:paraId="0C010B69">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Hypothesis (Impact of Sleep Duration on Hypertension)</w:t>
      </w:r>
    </w:p>
    <w:p w14:paraId="62F73CDF">
      <w:pPr>
        <w:pStyle w:val="16"/>
        <w:numPr>
          <w:ilvl w:val="0"/>
          <w:numId w:val="3"/>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Null Hypothesis (H₀):</w:t>
      </w:r>
      <w:r>
        <w:rPr>
          <w:rFonts w:hint="default" w:eastAsia="Times New Roman" w:cs="Times New Roman" w:asciiTheme="minorAscii" w:hAnsiTheme="minorAscii"/>
          <w:bCs/>
          <w:sz w:val="22"/>
          <w:szCs w:val="22"/>
        </w:rPr>
        <w:t xml:space="preserve"> There is no significant difference in the mean sleep duration between individuals with hypertension and those without hypertension.</w:t>
      </w:r>
    </w:p>
    <w:p w14:paraId="4E605C2E">
      <w:pPr>
        <w:pStyle w:val="16"/>
        <w:numPr>
          <w:ilvl w:val="0"/>
          <w:numId w:val="3"/>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Alternative Hypothesis (H₁):</w:t>
      </w:r>
      <w:r>
        <w:rPr>
          <w:rFonts w:hint="default" w:eastAsia="Times New Roman" w:cs="Times New Roman" w:asciiTheme="minorAscii" w:hAnsiTheme="minorAscii"/>
          <w:bCs/>
          <w:sz w:val="22"/>
          <w:szCs w:val="22"/>
        </w:rPr>
        <w:t xml:space="preserve"> There is a significant difference in the mean sleep duration between individuals with hypertension and those without hypertension.</w:t>
      </w:r>
    </w:p>
    <w:p w14:paraId="3FCDDDE8">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2160"/>
        <w:gridCol w:w="1134"/>
        <w:gridCol w:w="1077"/>
        <w:gridCol w:w="1298"/>
        <w:gridCol w:w="1592"/>
        <w:gridCol w:w="1918"/>
      </w:tblGrid>
      <w:tr w14:paraId="6A624293">
        <w:tblPrEx>
          <w:tblCellMar>
            <w:top w:w="0" w:type="dxa"/>
            <w:left w:w="0" w:type="dxa"/>
            <w:bottom w:w="0" w:type="dxa"/>
            <w:right w:w="0" w:type="dxa"/>
          </w:tblCellMar>
        </w:tblPrEx>
        <w:trPr>
          <w:tblHeader/>
        </w:trPr>
        <w:tc>
          <w:tcPr>
            <w:tcW w:w="0" w:type="auto"/>
            <w:gridSpan w:val="6"/>
            <w:tcBorders>
              <w:top w:val="nil"/>
              <w:left w:val="nil"/>
              <w:bottom w:val="single" w:color="000000" w:sz="6" w:space="0"/>
              <w:right w:val="nil"/>
            </w:tcBorders>
            <w:tcMar>
              <w:top w:w="90" w:type="dxa"/>
              <w:left w:w="0" w:type="dxa"/>
              <w:bottom w:w="90" w:type="dxa"/>
              <w:right w:w="150" w:type="dxa"/>
            </w:tcMar>
            <w:vAlign w:val="center"/>
          </w:tcPr>
          <w:p w14:paraId="32C92A23">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Independent Samples T-Test</w:t>
            </w:r>
            <w:r>
              <w:rPr>
                <w:rFonts w:hint="default" w:eastAsia="Times New Roman" w:asciiTheme="minorAscii" w:hAnsiTheme="minorAscii"/>
                <w:color w:val="000000"/>
                <w:sz w:val="22"/>
                <w:szCs w:val="22"/>
              </w:rPr>
              <w:t xml:space="preserve"> </w:t>
            </w:r>
          </w:p>
        </w:tc>
      </w:tr>
      <w:tr w14:paraId="0DA1AF8E">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56A0F4A4">
            <w:pPr>
              <w:spacing w:line="240" w:lineRule="auto"/>
              <w:jc w:val="both"/>
              <w:rPr>
                <w:rFonts w:hint="default" w:eastAsia="Times New Roman" w:asciiTheme="minorAscii" w:hAnsiTheme="minorAscii"/>
                <w:color w:val="000000"/>
                <w:sz w:val="22"/>
                <w:szCs w:val="22"/>
              </w:rPr>
            </w:pP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77D61F5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t</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C7DAF7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CC2288D">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F9A707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Cohen's d</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52D9EE8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Cohen's d</w:t>
            </w:r>
          </w:p>
        </w:tc>
      </w:tr>
      <w:tr w14:paraId="6B23BD96">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ED898A1">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Sleep Duration</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6641B4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5.363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9763A05">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779CAE8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.001ᵃ</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0DF58CA">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0.241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35E13A1">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0.045</w:t>
            </w:r>
          </w:p>
        </w:tc>
      </w:tr>
      <w:tr w14:paraId="3AD42E0E">
        <w:tblPrEx>
          <w:tblCellMar>
            <w:top w:w="0" w:type="dxa"/>
            <w:left w:w="0" w:type="dxa"/>
            <w:bottom w:w="0" w:type="dxa"/>
            <w:right w:w="0" w:type="dxa"/>
          </w:tblCellMar>
        </w:tblPrEx>
        <w:tc>
          <w:tcPr>
            <w:tcW w:w="0" w:type="auto"/>
            <w:gridSpan w:val="6"/>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552D02E0">
            <w:pPr>
              <w:spacing w:after="144" w:line="240" w:lineRule="auto"/>
              <w:jc w:val="both"/>
              <w:rPr>
                <w:rFonts w:hint="default" w:eastAsia="Times New Roman" w:asciiTheme="minorAscii" w:hAnsiTheme="minorAscii"/>
                <w:color w:val="000000"/>
                <w:sz w:val="22"/>
                <w:szCs w:val="22"/>
              </w:rPr>
            </w:pPr>
          </w:p>
        </w:tc>
      </w:tr>
      <w:tr w14:paraId="515D2F28">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78F7B16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Student's t-test.</w:t>
            </w:r>
          </w:p>
        </w:tc>
      </w:tr>
      <w:tr w14:paraId="7B05F702">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7EE6E5A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ᵃ Brown-Forsythe test is significant (p &lt; .05), suggesting a violation of the equal variance assumption</w:t>
            </w:r>
          </w:p>
        </w:tc>
      </w:tr>
    </w:tbl>
    <w:p w14:paraId="650E9873">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9</w:t>
      </w:r>
      <w:r>
        <w:rPr>
          <w:rFonts w:hint="default" w:eastAsia="Times New Roman" w:cs="Times New Roman" w:asciiTheme="minorAscii" w:hAnsiTheme="minorAscii"/>
          <w:b/>
          <w:bCs/>
          <w:sz w:val="22"/>
          <w:szCs w:val="22"/>
        </w:rPr>
        <w:t xml:space="preserve">: T-test Impact of </w:t>
      </w:r>
      <w:r>
        <w:rPr>
          <w:rFonts w:hint="eastAsia" w:cs="Times New Roman" w:asciiTheme="minorAscii" w:hAnsiTheme="minorAscii"/>
          <w:b/>
          <w:bCs/>
          <w:sz w:val="22"/>
          <w:szCs w:val="22"/>
          <w:lang w:val="en-US" w:eastAsia="ja-JP"/>
        </w:rPr>
        <w:t>Salt</w:t>
      </w:r>
      <w:r>
        <w:rPr>
          <w:rFonts w:hint="default" w:eastAsia="Times New Roman" w:cs="Times New Roman" w:asciiTheme="minorAscii" w:hAnsiTheme="minorAscii"/>
          <w:b/>
          <w:bCs/>
          <w:sz w:val="22"/>
          <w:szCs w:val="22"/>
        </w:rPr>
        <w:t xml:space="preserve"> On hypertension </w:t>
      </w:r>
    </w:p>
    <w:p w14:paraId="396C99B6">
      <w:pPr>
        <w:spacing w:line="360" w:lineRule="auto"/>
        <w:jc w:val="both"/>
        <w:rPr>
          <w:rFonts w:hint="default" w:eastAsia="Times New Roman" w:cs="Times New Roman" w:asciiTheme="minorAscii" w:hAnsiTheme="minorAscii"/>
          <w:bCs/>
          <w:sz w:val="22"/>
          <w:szCs w:val="22"/>
        </w:rPr>
      </w:pPr>
    </w:p>
    <w:p w14:paraId="523913D5">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independent samples t-test reveals a statistically significant difference in mean sleep duration between individuals with and without hypertension (t = 5.363, df = 1983, p &lt; .001). This finding supports the alternative hypothesis and indicates that sleep duration differs meaningfully across hypertension status. Individuals without hypertension report longer average sleep </w:t>
      </w:r>
      <w:r>
        <w:rPr>
          <w:rFonts w:hint="eastAsia" w:cs="Times New Roman" w:asciiTheme="minorAscii" w:hAnsiTheme="minorAscii"/>
          <w:bCs/>
          <w:sz w:val="22"/>
          <w:szCs w:val="22"/>
          <w:lang w:eastAsia="ja-JP"/>
        </w:rPr>
        <w:t>duration</w:t>
      </w:r>
      <w:r>
        <w:rPr>
          <w:rFonts w:hint="default" w:eastAsia="Times New Roman" w:cs="Times New Roman" w:asciiTheme="minorAscii" w:hAnsiTheme="minorAscii"/>
          <w:bCs/>
          <w:sz w:val="22"/>
          <w:szCs w:val="22"/>
        </w:rPr>
        <w:t xml:space="preserve"> compared to their hypertensive counterparts, suggesting that shorter sleep duration is associated with elevated hypertension risk. The effect size (Cohen’s d = 0.241) indicates a small but practically relevant effect, implying that sleep duration contributes to hypertension risk alongside other demographic and lifestyle factors. The significant Brown–Forsythe test indicates unequal variances between groups, reflecting greater variability in sleep duration among individuals with hypertension. Despite this violation of the equal variance assumption, the large sample size enhances the robustness of the test results. Overall, these findings are consistent with existing evidence linking insufficient and irregular sleep patterns to increased blood pressure and cardiovascular risk, underscoring the importance of adequate sleep in hypertension prevention and management.</w:t>
      </w:r>
    </w:p>
    <w:p w14:paraId="1B9E4723">
      <w:pPr>
        <w:spacing w:line="360" w:lineRule="auto"/>
        <w:jc w:val="both"/>
        <w:rPr>
          <w:rFonts w:hint="default" w:eastAsia="Times New Roman" w:cs="Times New Roman" w:asciiTheme="minorAscii" w:hAnsiTheme="minorAscii"/>
          <w:bCs/>
          <w:sz w:val="22"/>
          <w:szCs w:val="22"/>
        </w:rPr>
      </w:pPr>
    </w:p>
    <w:p w14:paraId="73B991B5">
      <w:pPr>
        <w:spacing w:line="360" w:lineRule="auto"/>
        <w:jc w:val="both"/>
        <w:rPr>
          <w:rFonts w:hint="default" w:eastAsia="Times New Roman" w:cs="Times New Roman" w:asciiTheme="minorAscii" w:hAnsiTheme="minorAscii"/>
          <w:bCs/>
          <w:sz w:val="22"/>
          <w:szCs w:val="22"/>
        </w:rPr>
      </w:pPr>
    </w:p>
    <w:p w14:paraId="45546DFB">
      <w:pPr>
        <w:spacing w:line="360" w:lineRule="auto"/>
        <w:jc w:val="both"/>
        <w:rPr>
          <w:rFonts w:hint="default" w:eastAsia="Times New Roman" w:cs="Times New Roman" w:asciiTheme="minorAscii" w:hAnsiTheme="minorAscii"/>
          <w:bCs/>
          <w:sz w:val="22"/>
          <w:szCs w:val="22"/>
        </w:rPr>
      </w:pPr>
    </w:p>
    <w:p w14:paraId="52DF9A32">
      <w:pPr>
        <w:spacing w:line="360" w:lineRule="auto"/>
        <w:jc w:val="both"/>
        <w:rPr>
          <w:rFonts w:hint="default" w:eastAsia="Times New Roman" w:cs="Times New Roman" w:asciiTheme="minorAscii" w:hAnsiTheme="minorAscii"/>
          <w:bCs/>
          <w:sz w:val="22"/>
          <w:szCs w:val="22"/>
        </w:rPr>
      </w:pPr>
    </w:p>
    <w:p w14:paraId="1ACBB6D0">
      <w:pPr>
        <w:spacing w:line="360" w:lineRule="auto"/>
        <w:jc w:val="both"/>
        <w:rPr>
          <w:rFonts w:hint="default" w:eastAsia="Times New Roman" w:cs="Times New Roman" w:asciiTheme="minorAscii" w:hAnsiTheme="minorAscii"/>
          <w:bCs/>
          <w:sz w:val="22"/>
          <w:szCs w:val="22"/>
        </w:rPr>
      </w:pPr>
    </w:p>
    <w:p w14:paraId="1F444841">
      <w:pPr>
        <w:spacing w:line="360" w:lineRule="auto"/>
        <w:jc w:val="both"/>
        <w:rPr>
          <w:rFonts w:hint="default" w:eastAsia="Times New Roman" w:cs="Times New Roman" w:asciiTheme="minorAscii" w:hAnsiTheme="minorAscii"/>
          <w:bCs/>
          <w:sz w:val="22"/>
          <w:szCs w:val="22"/>
        </w:rPr>
      </w:pPr>
    </w:p>
    <w:p w14:paraId="10924C2E">
      <w:pPr>
        <w:spacing w:line="360" w:lineRule="auto"/>
        <w:jc w:val="both"/>
        <w:rPr>
          <w:rFonts w:hint="default" w:eastAsia="Times New Roman" w:cs="Times New Roman" w:asciiTheme="minorAscii" w:hAnsiTheme="minorAscii"/>
          <w:bCs/>
          <w:sz w:val="22"/>
          <w:szCs w:val="22"/>
        </w:rPr>
      </w:pPr>
    </w:p>
    <w:p w14:paraId="7E11B627">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Impact of BMI on Hypertension. </w:t>
      </w:r>
    </w:p>
    <w:p w14:paraId="3CE9AE68">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5114925" cy="3409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14925" cy="3409950"/>
                    </a:xfrm>
                    <a:prstGeom prst="rect">
                      <a:avLst/>
                    </a:prstGeom>
                  </pic:spPr>
                </pic:pic>
              </a:graphicData>
            </a:graphic>
          </wp:inline>
        </w:drawing>
      </w:r>
    </w:p>
    <w:p w14:paraId="09EF8475">
      <w:pPr>
        <w:spacing w:line="360" w:lineRule="auto"/>
        <w:jc w:val="both"/>
        <w:rPr>
          <w:rFonts w:hint="default" w:eastAsia="MS Mincho"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Fig 5: Bar chart BMI on Hypertension Status</w:t>
      </w:r>
    </w:p>
    <w:p w14:paraId="31B542ED">
      <w:pPr>
        <w:spacing w:line="360" w:lineRule="auto"/>
        <w:jc w:val="both"/>
        <w:rPr>
          <w:rFonts w:hint="default" w:eastAsia="Times New Roman" w:cs="Times New Roman" w:asciiTheme="minorAscii" w:hAnsiTheme="minorAscii"/>
          <w:b/>
          <w:bCs/>
          <w:sz w:val="22"/>
          <w:szCs w:val="22"/>
        </w:rPr>
      </w:pPr>
    </w:p>
    <w:tbl>
      <w:tblPr>
        <w:tblStyle w:val="9"/>
        <w:tblW w:w="10080" w:type="dxa"/>
        <w:tblInd w:w="0" w:type="dxa"/>
        <w:tblLayout w:type="autofit"/>
        <w:tblCellMar>
          <w:top w:w="0" w:type="dxa"/>
          <w:left w:w="108" w:type="dxa"/>
          <w:bottom w:w="0" w:type="dxa"/>
          <w:right w:w="108" w:type="dxa"/>
        </w:tblCellMar>
      </w:tblPr>
      <w:tblGrid>
        <w:gridCol w:w="2398"/>
        <w:gridCol w:w="958"/>
        <w:gridCol w:w="970"/>
        <w:gridCol w:w="959"/>
        <w:gridCol w:w="959"/>
        <w:gridCol w:w="959"/>
        <w:gridCol w:w="959"/>
        <w:gridCol w:w="959"/>
        <w:gridCol w:w="959"/>
      </w:tblGrid>
      <w:tr w14:paraId="14477D18">
        <w:tblPrEx>
          <w:tblCellMar>
            <w:top w:w="0" w:type="dxa"/>
            <w:left w:w="108" w:type="dxa"/>
            <w:bottom w:w="0" w:type="dxa"/>
            <w:right w:w="108" w:type="dxa"/>
          </w:tblCellMar>
        </w:tblPrEx>
        <w:trPr>
          <w:trHeight w:val="300" w:hRule="atLeast"/>
        </w:trPr>
        <w:tc>
          <w:tcPr>
            <w:tcW w:w="2400" w:type="dxa"/>
            <w:tcBorders>
              <w:top w:val="single" w:color="auto" w:sz="4" w:space="0"/>
              <w:left w:val="nil"/>
              <w:bottom w:val="single" w:color="auto" w:sz="4" w:space="0"/>
              <w:right w:val="nil"/>
            </w:tcBorders>
            <w:shd w:val="clear" w:color="auto" w:fill="auto"/>
            <w:vAlign w:val="center"/>
          </w:tcPr>
          <w:p w14:paraId="7AAD2A24">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Hypertension/BMI</w:t>
            </w:r>
          </w:p>
        </w:tc>
        <w:tc>
          <w:tcPr>
            <w:tcW w:w="960" w:type="dxa"/>
            <w:tcBorders>
              <w:top w:val="single" w:color="auto" w:sz="4" w:space="0"/>
              <w:left w:val="nil"/>
              <w:bottom w:val="single" w:color="auto" w:sz="4" w:space="0"/>
              <w:right w:val="nil"/>
            </w:tcBorders>
            <w:shd w:val="clear" w:color="auto" w:fill="auto"/>
            <w:vAlign w:val="center"/>
          </w:tcPr>
          <w:p w14:paraId="6036953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Mean</w:t>
            </w:r>
          </w:p>
        </w:tc>
        <w:tc>
          <w:tcPr>
            <w:tcW w:w="960" w:type="dxa"/>
            <w:tcBorders>
              <w:top w:val="single" w:color="auto" w:sz="4" w:space="0"/>
              <w:left w:val="nil"/>
              <w:bottom w:val="single" w:color="auto" w:sz="4" w:space="0"/>
              <w:right w:val="nil"/>
            </w:tcBorders>
            <w:shd w:val="clear" w:color="auto" w:fill="auto"/>
            <w:vAlign w:val="center"/>
          </w:tcPr>
          <w:p w14:paraId="2907862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Median</w:t>
            </w:r>
          </w:p>
        </w:tc>
        <w:tc>
          <w:tcPr>
            <w:tcW w:w="960" w:type="dxa"/>
            <w:tcBorders>
              <w:top w:val="single" w:color="auto" w:sz="4" w:space="0"/>
              <w:left w:val="nil"/>
              <w:bottom w:val="single" w:color="auto" w:sz="4" w:space="0"/>
              <w:right w:val="nil"/>
            </w:tcBorders>
            <w:shd w:val="clear" w:color="auto" w:fill="auto"/>
            <w:vAlign w:val="center"/>
          </w:tcPr>
          <w:p w14:paraId="20B21C8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Std. Dev</w:t>
            </w:r>
          </w:p>
        </w:tc>
        <w:tc>
          <w:tcPr>
            <w:tcW w:w="960" w:type="dxa"/>
            <w:tcBorders>
              <w:top w:val="single" w:color="auto" w:sz="4" w:space="0"/>
              <w:left w:val="nil"/>
              <w:bottom w:val="single" w:color="auto" w:sz="4" w:space="0"/>
              <w:right w:val="nil"/>
            </w:tcBorders>
            <w:shd w:val="clear" w:color="auto" w:fill="auto"/>
            <w:vAlign w:val="center"/>
          </w:tcPr>
          <w:p w14:paraId="6BFC12EB">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Min</w:t>
            </w:r>
          </w:p>
        </w:tc>
        <w:tc>
          <w:tcPr>
            <w:tcW w:w="960" w:type="dxa"/>
            <w:tcBorders>
              <w:top w:val="single" w:color="auto" w:sz="4" w:space="0"/>
              <w:left w:val="nil"/>
              <w:bottom w:val="single" w:color="auto" w:sz="4" w:space="0"/>
              <w:right w:val="nil"/>
            </w:tcBorders>
            <w:shd w:val="clear" w:color="auto" w:fill="auto"/>
            <w:vAlign w:val="center"/>
          </w:tcPr>
          <w:p w14:paraId="406EB8F5">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Q1</w:t>
            </w:r>
          </w:p>
        </w:tc>
        <w:tc>
          <w:tcPr>
            <w:tcW w:w="960" w:type="dxa"/>
            <w:tcBorders>
              <w:top w:val="single" w:color="auto" w:sz="4" w:space="0"/>
              <w:left w:val="nil"/>
              <w:bottom w:val="single" w:color="auto" w:sz="4" w:space="0"/>
              <w:right w:val="nil"/>
            </w:tcBorders>
            <w:shd w:val="clear" w:color="auto" w:fill="auto"/>
            <w:vAlign w:val="center"/>
          </w:tcPr>
          <w:p w14:paraId="72BA64F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Q3</w:t>
            </w:r>
          </w:p>
        </w:tc>
        <w:tc>
          <w:tcPr>
            <w:tcW w:w="960" w:type="dxa"/>
            <w:tcBorders>
              <w:top w:val="single" w:color="auto" w:sz="4" w:space="0"/>
              <w:left w:val="nil"/>
              <w:bottom w:val="single" w:color="auto" w:sz="4" w:space="0"/>
              <w:right w:val="nil"/>
            </w:tcBorders>
            <w:shd w:val="clear" w:color="auto" w:fill="auto"/>
            <w:vAlign w:val="center"/>
          </w:tcPr>
          <w:p w14:paraId="73BF7ED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Max</w:t>
            </w:r>
          </w:p>
        </w:tc>
        <w:tc>
          <w:tcPr>
            <w:tcW w:w="960" w:type="dxa"/>
            <w:tcBorders>
              <w:top w:val="single" w:color="auto" w:sz="4" w:space="0"/>
              <w:left w:val="nil"/>
              <w:bottom w:val="single" w:color="auto" w:sz="4" w:space="0"/>
              <w:right w:val="nil"/>
            </w:tcBorders>
            <w:shd w:val="clear" w:color="auto" w:fill="auto"/>
            <w:vAlign w:val="center"/>
          </w:tcPr>
          <w:p w14:paraId="1472D44E">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IQR</w:t>
            </w:r>
          </w:p>
        </w:tc>
      </w:tr>
      <w:tr w14:paraId="0E544FCE">
        <w:tblPrEx>
          <w:tblCellMar>
            <w:top w:w="0" w:type="dxa"/>
            <w:left w:w="108" w:type="dxa"/>
            <w:bottom w:w="0" w:type="dxa"/>
            <w:right w:w="108" w:type="dxa"/>
          </w:tblCellMar>
        </w:tblPrEx>
        <w:trPr>
          <w:trHeight w:val="300" w:hRule="atLeast"/>
        </w:trPr>
        <w:tc>
          <w:tcPr>
            <w:tcW w:w="2400" w:type="dxa"/>
            <w:tcBorders>
              <w:top w:val="nil"/>
              <w:left w:val="nil"/>
              <w:bottom w:val="nil"/>
              <w:right w:val="nil"/>
            </w:tcBorders>
            <w:shd w:val="clear" w:color="auto" w:fill="auto"/>
            <w:vAlign w:val="center"/>
          </w:tcPr>
          <w:p w14:paraId="1596C38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960" w:type="dxa"/>
            <w:tcBorders>
              <w:top w:val="nil"/>
              <w:left w:val="nil"/>
              <w:bottom w:val="nil"/>
              <w:right w:val="nil"/>
            </w:tcBorders>
            <w:shd w:val="clear" w:color="auto" w:fill="auto"/>
            <w:vAlign w:val="center"/>
          </w:tcPr>
          <w:p w14:paraId="53D7182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25.33</w:t>
            </w:r>
          </w:p>
        </w:tc>
        <w:tc>
          <w:tcPr>
            <w:tcW w:w="960" w:type="dxa"/>
            <w:tcBorders>
              <w:top w:val="nil"/>
              <w:left w:val="nil"/>
              <w:bottom w:val="nil"/>
              <w:right w:val="nil"/>
            </w:tcBorders>
            <w:shd w:val="clear" w:color="auto" w:fill="auto"/>
            <w:vAlign w:val="center"/>
          </w:tcPr>
          <w:p w14:paraId="7DC5BC3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25.4</w:t>
            </w:r>
          </w:p>
        </w:tc>
        <w:tc>
          <w:tcPr>
            <w:tcW w:w="960" w:type="dxa"/>
            <w:tcBorders>
              <w:top w:val="nil"/>
              <w:left w:val="nil"/>
              <w:bottom w:val="nil"/>
              <w:right w:val="nil"/>
            </w:tcBorders>
            <w:shd w:val="clear" w:color="auto" w:fill="auto"/>
            <w:vAlign w:val="center"/>
          </w:tcPr>
          <w:p w14:paraId="25D3AC4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4.18</w:t>
            </w:r>
          </w:p>
        </w:tc>
        <w:tc>
          <w:tcPr>
            <w:tcW w:w="960" w:type="dxa"/>
            <w:tcBorders>
              <w:top w:val="nil"/>
              <w:left w:val="nil"/>
              <w:bottom w:val="nil"/>
              <w:right w:val="nil"/>
            </w:tcBorders>
            <w:shd w:val="clear" w:color="auto" w:fill="auto"/>
            <w:vAlign w:val="center"/>
          </w:tcPr>
          <w:p w14:paraId="44860A1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11.9</w:t>
            </w:r>
          </w:p>
        </w:tc>
        <w:tc>
          <w:tcPr>
            <w:tcW w:w="960" w:type="dxa"/>
            <w:tcBorders>
              <w:top w:val="nil"/>
              <w:left w:val="nil"/>
              <w:bottom w:val="nil"/>
              <w:right w:val="nil"/>
            </w:tcBorders>
            <w:shd w:val="clear" w:color="auto" w:fill="auto"/>
            <w:vAlign w:val="center"/>
          </w:tcPr>
          <w:p w14:paraId="653D374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22.7</w:t>
            </w:r>
          </w:p>
        </w:tc>
        <w:tc>
          <w:tcPr>
            <w:tcW w:w="960" w:type="dxa"/>
            <w:tcBorders>
              <w:top w:val="nil"/>
              <w:left w:val="nil"/>
              <w:bottom w:val="nil"/>
              <w:right w:val="nil"/>
            </w:tcBorders>
            <w:shd w:val="clear" w:color="auto" w:fill="auto"/>
            <w:vAlign w:val="center"/>
          </w:tcPr>
          <w:p w14:paraId="787F218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28.2</w:t>
            </w:r>
          </w:p>
        </w:tc>
        <w:tc>
          <w:tcPr>
            <w:tcW w:w="960" w:type="dxa"/>
            <w:tcBorders>
              <w:top w:val="nil"/>
              <w:left w:val="nil"/>
              <w:bottom w:val="nil"/>
              <w:right w:val="nil"/>
            </w:tcBorders>
            <w:shd w:val="clear" w:color="auto" w:fill="auto"/>
            <w:vAlign w:val="center"/>
          </w:tcPr>
          <w:p w14:paraId="4035CD0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38.4</w:t>
            </w:r>
          </w:p>
        </w:tc>
        <w:tc>
          <w:tcPr>
            <w:tcW w:w="960" w:type="dxa"/>
            <w:tcBorders>
              <w:top w:val="nil"/>
              <w:left w:val="nil"/>
              <w:bottom w:val="nil"/>
              <w:right w:val="nil"/>
            </w:tcBorders>
            <w:shd w:val="clear" w:color="auto" w:fill="auto"/>
            <w:vAlign w:val="center"/>
          </w:tcPr>
          <w:p w14:paraId="6B07339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5.5</w:t>
            </w:r>
          </w:p>
        </w:tc>
      </w:tr>
      <w:tr w14:paraId="60B2B18C">
        <w:tblPrEx>
          <w:tblCellMar>
            <w:top w:w="0" w:type="dxa"/>
            <w:left w:w="108" w:type="dxa"/>
            <w:bottom w:w="0" w:type="dxa"/>
            <w:right w:w="108" w:type="dxa"/>
          </w:tblCellMar>
        </w:tblPrEx>
        <w:trPr>
          <w:trHeight w:val="300" w:hRule="atLeast"/>
        </w:trPr>
        <w:tc>
          <w:tcPr>
            <w:tcW w:w="2400" w:type="dxa"/>
            <w:tcBorders>
              <w:top w:val="nil"/>
              <w:left w:val="nil"/>
              <w:bottom w:val="single" w:color="auto" w:sz="4" w:space="0"/>
              <w:right w:val="nil"/>
            </w:tcBorders>
            <w:shd w:val="clear" w:color="auto" w:fill="auto"/>
            <w:vAlign w:val="center"/>
          </w:tcPr>
          <w:p w14:paraId="53863AD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960" w:type="dxa"/>
            <w:tcBorders>
              <w:top w:val="nil"/>
              <w:left w:val="nil"/>
              <w:bottom w:val="single" w:color="auto" w:sz="4" w:space="0"/>
              <w:right w:val="nil"/>
            </w:tcBorders>
            <w:shd w:val="clear" w:color="auto" w:fill="auto"/>
            <w:vAlign w:val="center"/>
          </w:tcPr>
          <w:p w14:paraId="5F8B71D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26.64</w:t>
            </w:r>
          </w:p>
        </w:tc>
        <w:tc>
          <w:tcPr>
            <w:tcW w:w="960" w:type="dxa"/>
            <w:tcBorders>
              <w:top w:val="nil"/>
              <w:left w:val="nil"/>
              <w:bottom w:val="single" w:color="auto" w:sz="4" w:space="0"/>
              <w:right w:val="nil"/>
            </w:tcBorders>
            <w:shd w:val="clear" w:color="auto" w:fill="auto"/>
            <w:vAlign w:val="center"/>
          </w:tcPr>
          <w:p w14:paraId="039B1FF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26.6</w:t>
            </w:r>
          </w:p>
        </w:tc>
        <w:tc>
          <w:tcPr>
            <w:tcW w:w="960" w:type="dxa"/>
            <w:tcBorders>
              <w:top w:val="nil"/>
              <w:left w:val="nil"/>
              <w:bottom w:val="single" w:color="auto" w:sz="4" w:space="0"/>
              <w:right w:val="nil"/>
            </w:tcBorders>
            <w:shd w:val="clear" w:color="auto" w:fill="auto"/>
            <w:vAlign w:val="center"/>
          </w:tcPr>
          <w:p w14:paraId="712739C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4.71</w:t>
            </w:r>
          </w:p>
        </w:tc>
        <w:tc>
          <w:tcPr>
            <w:tcW w:w="960" w:type="dxa"/>
            <w:tcBorders>
              <w:top w:val="nil"/>
              <w:left w:val="nil"/>
              <w:bottom w:val="single" w:color="auto" w:sz="4" w:space="0"/>
              <w:right w:val="nil"/>
            </w:tcBorders>
            <w:shd w:val="clear" w:color="auto" w:fill="auto"/>
            <w:vAlign w:val="center"/>
          </w:tcPr>
          <w:p w14:paraId="08E04D5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13.4</w:t>
            </w:r>
          </w:p>
        </w:tc>
        <w:tc>
          <w:tcPr>
            <w:tcW w:w="960" w:type="dxa"/>
            <w:tcBorders>
              <w:top w:val="nil"/>
              <w:left w:val="nil"/>
              <w:bottom w:val="single" w:color="auto" w:sz="4" w:space="0"/>
              <w:right w:val="nil"/>
            </w:tcBorders>
            <w:shd w:val="clear" w:color="auto" w:fill="auto"/>
            <w:vAlign w:val="center"/>
          </w:tcPr>
          <w:p w14:paraId="2004493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23.4</w:t>
            </w:r>
          </w:p>
        </w:tc>
        <w:tc>
          <w:tcPr>
            <w:tcW w:w="960" w:type="dxa"/>
            <w:tcBorders>
              <w:top w:val="nil"/>
              <w:left w:val="nil"/>
              <w:bottom w:val="single" w:color="auto" w:sz="4" w:space="0"/>
              <w:right w:val="nil"/>
            </w:tcBorders>
            <w:shd w:val="clear" w:color="auto" w:fill="auto"/>
            <w:vAlign w:val="center"/>
          </w:tcPr>
          <w:p w14:paraId="5F7A974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30.2</w:t>
            </w:r>
          </w:p>
        </w:tc>
        <w:tc>
          <w:tcPr>
            <w:tcW w:w="960" w:type="dxa"/>
            <w:tcBorders>
              <w:top w:val="nil"/>
              <w:left w:val="nil"/>
              <w:bottom w:val="single" w:color="auto" w:sz="4" w:space="0"/>
              <w:right w:val="nil"/>
            </w:tcBorders>
            <w:shd w:val="clear" w:color="auto" w:fill="auto"/>
            <w:vAlign w:val="center"/>
          </w:tcPr>
          <w:p w14:paraId="7D0B659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41.9</w:t>
            </w:r>
          </w:p>
        </w:tc>
        <w:tc>
          <w:tcPr>
            <w:tcW w:w="960" w:type="dxa"/>
            <w:tcBorders>
              <w:top w:val="nil"/>
              <w:left w:val="nil"/>
              <w:bottom w:val="single" w:color="auto" w:sz="4" w:space="0"/>
              <w:right w:val="nil"/>
            </w:tcBorders>
            <w:shd w:val="clear" w:color="auto" w:fill="auto"/>
            <w:vAlign w:val="center"/>
          </w:tcPr>
          <w:p w14:paraId="3946803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6.8</w:t>
            </w:r>
          </w:p>
        </w:tc>
      </w:tr>
    </w:tbl>
    <w:p w14:paraId="2488014B">
      <w:pPr>
        <w:spacing w:line="360" w:lineRule="auto"/>
        <w:jc w:val="both"/>
        <w:rPr>
          <w:rFonts w:hint="default" w:eastAsia="Times New Roman" w:cs="Times New Roman" w:asciiTheme="minorAscii" w:hAnsiTheme="minorAscii"/>
          <w:b/>
          <w:bCs/>
          <w:sz w:val="22"/>
          <w:szCs w:val="22"/>
        </w:rPr>
      </w:pPr>
    </w:p>
    <w:p w14:paraId="0355D0BA">
      <w:pPr>
        <w:spacing w:line="360" w:lineRule="auto"/>
        <w:jc w:val="both"/>
        <w:rPr>
          <w:rFonts w:hint="eastAsia"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 xml:space="preserve">Table 10: Summary Statistics BMI on Hypertension. </w:t>
      </w:r>
    </w:p>
    <w:p w14:paraId="0CA90A8B">
      <w:pPr>
        <w:spacing w:line="360" w:lineRule="auto"/>
        <w:jc w:val="both"/>
        <w:rPr>
          <w:rFonts w:hint="default" w:cs="Times New Roman" w:asciiTheme="minorAscii" w:hAnsiTheme="minorAscii"/>
          <w:b/>
          <w:bCs/>
          <w:sz w:val="22"/>
          <w:szCs w:val="22"/>
          <w:lang w:val="en-US" w:eastAsia="ja-JP"/>
        </w:rPr>
      </w:pPr>
    </w:p>
    <w:p w14:paraId="588A5229">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results indicate that individuals with hypertension have a higher average Body Mass Index (BMI) compared to those without hypertension. The mean BMI for hypertensive individuals (26.64) exceeds that of non-hypertensive individuals (25.33), suggesting a greater prevalence of overweight status among those with hypertension. Median values follow a similar pattern, reinforcing the consistency of this difference. Additionally, the hypertensive group exhibits greater variability in BMI, as reflected by a higher standard deviation and wider </w:t>
      </w:r>
      <w:r>
        <w:rPr>
          <w:rFonts w:hint="eastAsia" w:cs="Times New Roman" w:asciiTheme="minorAscii" w:hAnsiTheme="minorAscii"/>
          <w:bCs/>
          <w:sz w:val="22"/>
          <w:szCs w:val="22"/>
          <w:lang w:eastAsia="ja-JP"/>
        </w:rPr>
        <w:t>inter-quartile</w:t>
      </w:r>
      <w:r>
        <w:rPr>
          <w:rFonts w:hint="default" w:eastAsia="Times New Roman" w:cs="Times New Roman" w:asciiTheme="minorAscii" w:hAnsiTheme="minorAscii"/>
          <w:bCs/>
          <w:sz w:val="22"/>
          <w:szCs w:val="22"/>
        </w:rPr>
        <w:t xml:space="preserve"> range, indicating more dispersion in body weight status within this group. The higher upper quartile and maximum BMI values among hypertensive individuals further suggest an increased proportion of obesity. Overall, these findings align with established evidence linking higher BMI to elevated blood pressure and underscore excess body weight as an important factor associated with hypertension risk.</w:t>
      </w:r>
    </w:p>
    <w:p w14:paraId="27A836CF">
      <w:pPr>
        <w:spacing w:line="360" w:lineRule="auto"/>
        <w:jc w:val="both"/>
        <w:rPr>
          <w:rFonts w:hint="default" w:eastAsia="Times New Roman" w:cs="Times New Roman" w:asciiTheme="minorAscii" w:hAnsiTheme="minorAscii"/>
          <w:b/>
          <w:bCs/>
          <w:sz w:val="22"/>
          <w:szCs w:val="22"/>
        </w:rPr>
      </w:pPr>
    </w:p>
    <w:p w14:paraId="64E0800E">
      <w:pPr>
        <w:spacing w:line="360" w:lineRule="auto"/>
        <w:jc w:val="both"/>
        <w:rPr>
          <w:rFonts w:hint="default" w:eastAsia="Times New Roman" w:cs="Times New Roman" w:asciiTheme="minorAscii" w:hAnsiTheme="minorAscii"/>
          <w:b/>
          <w:bCs/>
          <w:sz w:val="22"/>
          <w:szCs w:val="22"/>
        </w:rPr>
      </w:pPr>
    </w:p>
    <w:p w14:paraId="2EFE146B">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Hypothesis (Impact of Body Mass Index on Hypertension)</w:t>
      </w:r>
    </w:p>
    <w:p w14:paraId="64620A89">
      <w:pPr>
        <w:spacing w:line="360" w:lineRule="auto"/>
        <w:jc w:val="both"/>
        <w:rPr>
          <w:rFonts w:hint="default" w:eastAsia="Times New Roman" w:cs="Times New Roman" w:asciiTheme="minorAscii" w:hAnsiTheme="minorAscii"/>
          <w:b/>
          <w:bCs/>
          <w:sz w:val="22"/>
          <w:szCs w:val="22"/>
        </w:rPr>
      </w:pPr>
    </w:p>
    <w:p w14:paraId="15D7C8E3">
      <w:pPr>
        <w:pStyle w:val="16"/>
        <w:numPr>
          <w:ilvl w:val="0"/>
          <w:numId w:val="4"/>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Null Hypothesis (H₀): </w:t>
      </w:r>
      <w:r>
        <w:rPr>
          <w:rFonts w:hint="default" w:eastAsia="Times New Roman" w:cs="Times New Roman" w:asciiTheme="minorAscii" w:hAnsiTheme="minorAscii"/>
          <w:bCs/>
          <w:sz w:val="22"/>
          <w:szCs w:val="22"/>
        </w:rPr>
        <w:t>There is no significant difference in the mean Body Mass Index (BMI) between individuals with hypertension and those without hypertension.</w:t>
      </w:r>
    </w:p>
    <w:p w14:paraId="21E98940">
      <w:pPr>
        <w:spacing w:line="360" w:lineRule="auto"/>
        <w:jc w:val="both"/>
        <w:rPr>
          <w:rFonts w:hint="default" w:eastAsia="Times New Roman" w:cs="Times New Roman" w:asciiTheme="minorAscii" w:hAnsiTheme="minorAscii"/>
          <w:bCs/>
          <w:sz w:val="22"/>
          <w:szCs w:val="22"/>
        </w:rPr>
      </w:pPr>
    </w:p>
    <w:p w14:paraId="17CF93EA">
      <w:pPr>
        <w:pStyle w:val="16"/>
        <w:numPr>
          <w:ilvl w:val="0"/>
          <w:numId w:val="4"/>
        </w:num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
          <w:bCs/>
          <w:sz w:val="22"/>
          <w:szCs w:val="22"/>
        </w:rPr>
        <w:t xml:space="preserve">Alternative Hypothesis (H₁): </w:t>
      </w:r>
      <w:r>
        <w:rPr>
          <w:rFonts w:hint="default" w:eastAsia="Times New Roman" w:cs="Times New Roman" w:asciiTheme="minorAscii" w:hAnsiTheme="minorAscii"/>
          <w:bCs/>
          <w:sz w:val="22"/>
          <w:szCs w:val="22"/>
        </w:rPr>
        <w:t>There is a significant difference in the mean Body Mass Index (BMI) between individuals with hypertension and those without hypertension.</w:t>
      </w:r>
    </w:p>
    <w:p w14:paraId="328E74A6">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1078"/>
        <w:gridCol w:w="1388"/>
        <w:gridCol w:w="1225"/>
        <w:gridCol w:w="1476"/>
        <w:gridCol w:w="1816"/>
        <w:gridCol w:w="2196"/>
      </w:tblGrid>
      <w:tr w14:paraId="0E09ABA6">
        <w:tblPrEx>
          <w:tblCellMar>
            <w:top w:w="0" w:type="dxa"/>
            <w:left w:w="0" w:type="dxa"/>
            <w:bottom w:w="0" w:type="dxa"/>
            <w:right w:w="0" w:type="dxa"/>
          </w:tblCellMar>
        </w:tblPrEx>
        <w:trPr>
          <w:tblHeader/>
        </w:trPr>
        <w:tc>
          <w:tcPr>
            <w:tcW w:w="0" w:type="auto"/>
            <w:gridSpan w:val="6"/>
            <w:tcBorders>
              <w:top w:val="nil"/>
              <w:left w:val="nil"/>
              <w:bottom w:val="single" w:color="000000" w:sz="6" w:space="0"/>
              <w:right w:val="nil"/>
            </w:tcBorders>
            <w:tcMar>
              <w:top w:w="90" w:type="dxa"/>
              <w:left w:w="0" w:type="dxa"/>
              <w:bottom w:w="90" w:type="dxa"/>
              <w:right w:w="150" w:type="dxa"/>
            </w:tcMar>
            <w:vAlign w:val="center"/>
          </w:tcPr>
          <w:p w14:paraId="2473EAF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Independent Samples T-Test</w:t>
            </w:r>
            <w:r>
              <w:rPr>
                <w:rFonts w:hint="default" w:eastAsia="Times New Roman" w:asciiTheme="minorAscii" w:hAnsiTheme="minorAscii"/>
                <w:color w:val="000000"/>
                <w:sz w:val="22"/>
                <w:szCs w:val="22"/>
              </w:rPr>
              <w:t xml:space="preserve"> </w:t>
            </w:r>
          </w:p>
        </w:tc>
      </w:tr>
      <w:tr w14:paraId="09C092FF">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240AAF56">
            <w:pPr>
              <w:spacing w:line="240" w:lineRule="auto"/>
              <w:jc w:val="both"/>
              <w:rPr>
                <w:rFonts w:hint="default" w:eastAsia="Times New Roman" w:asciiTheme="minorAscii" w:hAnsiTheme="minorAscii"/>
                <w:color w:val="000000"/>
                <w:sz w:val="22"/>
                <w:szCs w:val="22"/>
              </w:rPr>
            </w:pP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8F53A4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t</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2C98CF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930902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718090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Cohen's d</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01E6975">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SE Cohen's d</w:t>
            </w:r>
          </w:p>
        </w:tc>
      </w:tr>
      <w:tr w14:paraId="6A0F593E">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BD4089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BMI</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0598AE6">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-6.530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6328CCC">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C502F86">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.001ᵃ</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B3BF11D">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-0.293</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59D994F">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0.045</w:t>
            </w:r>
          </w:p>
        </w:tc>
      </w:tr>
      <w:tr w14:paraId="4075D178">
        <w:tblPrEx>
          <w:tblCellMar>
            <w:top w:w="0" w:type="dxa"/>
            <w:left w:w="0" w:type="dxa"/>
            <w:bottom w:w="0" w:type="dxa"/>
            <w:right w:w="0" w:type="dxa"/>
          </w:tblCellMar>
        </w:tblPrEx>
        <w:tc>
          <w:tcPr>
            <w:tcW w:w="0" w:type="auto"/>
            <w:gridSpan w:val="6"/>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69DF8ECA">
            <w:pPr>
              <w:spacing w:after="144" w:line="240" w:lineRule="auto"/>
              <w:jc w:val="both"/>
              <w:rPr>
                <w:rFonts w:hint="default" w:eastAsia="Times New Roman" w:asciiTheme="minorAscii" w:hAnsiTheme="minorAscii"/>
                <w:color w:val="000000"/>
                <w:sz w:val="22"/>
                <w:szCs w:val="22"/>
              </w:rPr>
            </w:pPr>
          </w:p>
        </w:tc>
      </w:tr>
      <w:tr w14:paraId="1143DC69">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02F1CCA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Student's t-test.</w:t>
            </w:r>
          </w:p>
        </w:tc>
      </w:tr>
      <w:tr w14:paraId="7AD47258">
        <w:tblPrEx>
          <w:tblCellMar>
            <w:top w:w="0" w:type="dxa"/>
            <w:left w:w="0" w:type="dxa"/>
            <w:bottom w:w="0" w:type="dxa"/>
            <w:right w:w="0" w:type="dxa"/>
          </w:tblCellMar>
        </w:tblPrEx>
        <w:tc>
          <w:tcPr>
            <w:tcW w:w="0" w:type="auto"/>
            <w:gridSpan w:val="6"/>
            <w:tcBorders>
              <w:top w:val="nil"/>
              <w:left w:val="nil"/>
              <w:bottom w:val="nil"/>
              <w:right w:val="nil"/>
            </w:tcBorders>
            <w:tcMar>
              <w:top w:w="15" w:type="dxa"/>
              <w:left w:w="0" w:type="dxa"/>
              <w:bottom w:w="45" w:type="dxa"/>
              <w:right w:w="180" w:type="dxa"/>
            </w:tcMar>
            <w:vAlign w:val="center"/>
          </w:tcPr>
          <w:p w14:paraId="736B6A2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ᵃ Brown-Forsythe test is significant (p &lt; .05), suggesting a violation of the equal variance assumption</w:t>
            </w:r>
          </w:p>
        </w:tc>
      </w:tr>
    </w:tbl>
    <w:p w14:paraId="230306DA">
      <w:pPr>
        <w:spacing w:line="360" w:lineRule="auto"/>
        <w:jc w:val="both"/>
        <w:rPr>
          <w:rFonts w:hint="eastAsia"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Table 11: T-test Impact of BMI on Hypertension</w:t>
      </w:r>
    </w:p>
    <w:p w14:paraId="69FC8A1B">
      <w:pPr>
        <w:spacing w:line="360" w:lineRule="auto"/>
        <w:jc w:val="both"/>
        <w:rPr>
          <w:rFonts w:hint="default" w:cs="Times New Roman" w:asciiTheme="minorAscii" w:hAnsiTheme="minorAscii"/>
          <w:b/>
          <w:bCs/>
          <w:sz w:val="22"/>
          <w:szCs w:val="22"/>
          <w:lang w:val="en-US" w:eastAsia="ja-JP"/>
        </w:rPr>
      </w:pPr>
    </w:p>
    <w:p w14:paraId="7E78E30E">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independent samples t-test indicates a statistically significant difference in mean Body Mass Index (BMI) between individuals with hypertension and those without hypertension, as evidenced by a large t-value (t = −6.530) and a p-value below .001. This result leads to the rejection of the null hypothesis, suggesting that BMI varies meaningfully across hypertension status. The negative t-value reflects a higher average BMI among hypertensive individuals compared to non-hypertensive individuals. Although the Brown–Forsythe test indicates unequal variances, the adjusted test remains robust, supporting the validity of the finding. The effect size (Cohen’s d = −0.293) represents a small-to-moderate practical effect, indicating that BMI differences, while not large, are consistent and non-trivial in a population context. Overall, the results highlight elevated BMI as an important characteristic associated with hypertension, reinforcing its relevance as a modifiable risk factor in cardiovascular health assessment and prevention strategies.</w:t>
      </w:r>
    </w:p>
    <w:p w14:paraId="2A5403B2">
      <w:pPr>
        <w:spacing w:line="360" w:lineRule="auto"/>
        <w:jc w:val="both"/>
        <w:rPr>
          <w:rFonts w:hint="default" w:eastAsia="Times New Roman" w:cs="Times New Roman" w:asciiTheme="minorAscii" w:hAnsiTheme="minorAscii"/>
          <w:b/>
          <w:bCs/>
          <w:sz w:val="22"/>
          <w:szCs w:val="22"/>
        </w:rPr>
      </w:pPr>
    </w:p>
    <w:p w14:paraId="51884ADF">
      <w:pPr>
        <w:spacing w:line="360" w:lineRule="auto"/>
        <w:jc w:val="both"/>
        <w:rPr>
          <w:rFonts w:hint="eastAsia" w:eastAsia="MS Mincho" w:cs="Times New Roman" w:asciiTheme="minorAscii" w:hAnsiTheme="minorAscii"/>
          <w:b/>
          <w:bCs/>
          <w:sz w:val="22"/>
          <w:szCs w:val="22"/>
          <w:lang w:val="en-US" w:eastAsia="ja-JP"/>
        </w:rPr>
      </w:pPr>
      <w:r>
        <w:rPr>
          <w:rFonts w:hint="default" w:eastAsia="Times New Roman" w:cs="Times New Roman" w:asciiTheme="minorAscii" w:hAnsiTheme="minorAscii"/>
          <w:b/>
          <w:bCs/>
          <w:sz w:val="22"/>
          <w:szCs w:val="22"/>
        </w:rPr>
        <w:t>B</w:t>
      </w:r>
      <w:r>
        <w:rPr>
          <w:rFonts w:hint="eastAsia" w:cs="Times New Roman" w:asciiTheme="minorAscii" w:hAnsiTheme="minorAscii"/>
          <w:b/>
          <w:bCs/>
          <w:sz w:val="22"/>
          <w:szCs w:val="22"/>
          <w:lang w:val="en-US" w:eastAsia="ja-JP"/>
        </w:rPr>
        <w:t xml:space="preserve">lood Pressure </w:t>
      </w:r>
      <w:r>
        <w:rPr>
          <w:rFonts w:hint="default" w:eastAsia="Times New Roman" w:cs="Times New Roman" w:asciiTheme="minorAscii" w:hAnsiTheme="minorAscii"/>
          <w:b/>
          <w:bCs/>
          <w:sz w:val="22"/>
          <w:szCs w:val="22"/>
        </w:rPr>
        <w:t xml:space="preserve"> History on Hypertension</w:t>
      </w:r>
      <w:r>
        <w:rPr>
          <w:rFonts w:hint="eastAsia" w:cs="Times New Roman" w:asciiTheme="minorAscii" w:hAnsiTheme="minorAscii"/>
          <w:b/>
          <w:bCs/>
          <w:sz w:val="22"/>
          <w:szCs w:val="22"/>
          <w:lang w:val="en-US" w:eastAsia="ja-JP"/>
        </w:rPr>
        <w:t>.</w:t>
      </w:r>
    </w:p>
    <w:p w14:paraId="23952899">
      <w:pPr>
        <w:spacing w:line="360" w:lineRule="auto"/>
        <w:jc w:val="both"/>
        <w:rPr>
          <w:rFonts w:hint="default" w:eastAsia="Times New Roman" w:cs="Times New Roman" w:asciiTheme="minorAscii" w:hAnsiTheme="minorAscii"/>
          <w:b/>
          <w:bCs/>
          <w:sz w:val="22"/>
          <w:szCs w:val="22"/>
        </w:rPr>
      </w:pPr>
    </w:p>
    <w:tbl>
      <w:tblPr>
        <w:tblStyle w:val="9"/>
        <w:tblW w:w="5700" w:type="dxa"/>
        <w:tblInd w:w="0" w:type="dxa"/>
        <w:tblLayout w:type="autofit"/>
        <w:tblCellMar>
          <w:top w:w="0" w:type="dxa"/>
          <w:left w:w="108" w:type="dxa"/>
          <w:bottom w:w="0" w:type="dxa"/>
          <w:right w:w="108" w:type="dxa"/>
        </w:tblCellMar>
      </w:tblPr>
      <w:tblGrid>
        <w:gridCol w:w="1600"/>
        <w:gridCol w:w="1600"/>
        <w:gridCol w:w="974"/>
        <w:gridCol w:w="1926"/>
      </w:tblGrid>
      <w:tr w14:paraId="4348400C">
        <w:tblPrEx>
          <w:tblCellMar>
            <w:top w:w="0" w:type="dxa"/>
            <w:left w:w="108" w:type="dxa"/>
            <w:bottom w:w="0" w:type="dxa"/>
            <w:right w:w="108" w:type="dxa"/>
          </w:tblCellMar>
        </w:tblPrEx>
        <w:trPr>
          <w:trHeight w:val="600" w:hRule="atLeast"/>
        </w:trPr>
        <w:tc>
          <w:tcPr>
            <w:tcW w:w="1600" w:type="dxa"/>
            <w:tcBorders>
              <w:top w:val="single" w:color="auto" w:sz="4" w:space="0"/>
              <w:left w:val="nil"/>
              <w:bottom w:val="single" w:color="auto" w:sz="4" w:space="0"/>
              <w:right w:val="nil"/>
            </w:tcBorders>
            <w:shd w:val="clear" w:color="auto" w:fill="auto"/>
            <w:vAlign w:val="center"/>
          </w:tcPr>
          <w:p w14:paraId="7A31DC1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w:t>
            </w:r>
          </w:p>
        </w:tc>
        <w:tc>
          <w:tcPr>
            <w:tcW w:w="1520" w:type="dxa"/>
            <w:tcBorders>
              <w:top w:val="single" w:color="auto" w:sz="4" w:space="0"/>
              <w:left w:val="nil"/>
              <w:bottom w:val="single" w:color="auto" w:sz="4" w:space="0"/>
              <w:right w:val="nil"/>
            </w:tcBorders>
            <w:shd w:val="clear" w:color="auto" w:fill="auto"/>
            <w:vAlign w:val="center"/>
          </w:tcPr>
          <w:p w14:paraId="65D5B73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Hypertension (%)</w:t>
            </w:r>
          </w:p>
        </w:tc>
        <w:tc>
          <w:tcPr>
            <w:tcW w:w="1360" w:type="dxa"/>
            <w:tcBorders>
              <w:top w:val="single" w:color="auto" w:sz="4" w:space="0"/>
              <w:left w:val="nil"/>
              <w:bottom w:val="single" w:color="auto" w:sz="4" w:space="0"/>
              <w:right w:val="nil"/>
            </w:tcBorders>
            <w:shd w:val="clear" w:color="auto" w:fill="auto"/>
            <w:vAlign w:val="center"/>
          </w:tcPr>
          <w:p w14:paraId="52E1ECC7">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Normal (%)</w:t>
            </w:r>
          </w:p>
        </w:tc>
        <w:tc>
          <w:tcPr>
            <w:tcW w:w="1220" w:type="dxa"/>
            <w:tcBorders>
              <w:top w:val="single" w:color="auto" w:sz="4" w:space="0"/>
              <w:left w:val="nil"/>
              <w:bottom w:val="single" w:color="auto" w:sz="4" w:space="0"/>
              <w:right w:val="nil"/>
            </w:tcBorders>
            <w:shd w:val="clear" w:color="auto" w:fill="auto"/>
            <w:vAlign w:val="center"/>
          </w:tcPr>
          <w:p w14:paraId="4045728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Prehypertension (%)</w:t>
            </w:r>
          </w:p>
        </w:tc>
      </w:tr>
      <w:tr w14:paraId="5D242909">
        <w:tblPrEx>
          <w:tblCellMar>
            <w:top w:w="0" w:type="dxa"/>
            <w:left w:w="108" w:type="dxa"/>
            <w:bottom w:w="0" w:type="dxa"/>
            <w:right w:w="108" w:type="dxa"/>
          </w:tblCellMar>
        </w:tblPrEx>
        <w:trPr>
          <w:trHeight w:val="300" w:hRule="atLeast"/>
        </w:trPr>
        <w:tc>
          <w:tcPr>
            <w:tcW w:w="1600" w:type="dxa"/>
            <w:tcBorders>
              <w:top w:val="nil"/>
              <w:left w:val="nil"/>
              <w:bottom w:val="nil"/>
              <w:right w:val="nil"/>
            </w:tcBorders>
            <w:shd w:val="clear" w:color="auto" w:fill="auto"/>
            <w:vAlign w:val="bottom"/>
          </w:tcPr>
          <w:p w14:paraId="45CDE85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w:t>
            </w:r>
          </w:p>
        </w:tc>
        <w:tc>
          <w:tcPr>
            <w:tcW w:w="1520" w:type="dxa"/>
            <w:tcBorders>
              <w:top w:val="nil"/>
              <w:left w:val="nil"/>
              <w:bottom w:val="nil"/>
              <w:right w:val="nil"/>
            </w:tcBorders>
            <w:shd w:val="clear" w:color="auto" w:fill="auto"/>
            <w:vAlign w:val="bottom"/>
          </w:tcPr>
          <w:p w14:paraId="0758607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4.30%</w:t>
            </w:r>
          </w:p>
        </w:tc>
        <w:tc>
          <w:tcPr>
            <w:tcW w:w="1360" w:type="dxa"/>
            <w:tcBorders>
              <w:top w:val="nil"/>
              <w:left w:val="nil"/>
              <w:bottom w:val="nil"/>
              <w:right w:val="nil"/>
            </w:tcBorders>
            <w:shd w:val="clear" w:color="auto" w:fill="auto"/>
            <w:vAlign w:val="bottom"/>
          </w:tcPr>
          <w:p w14:paraId="6478F0B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53.52%</w:t>
            </w:r>
          </w:p>
        </w:tc>
        <w:tc>
          <w:tcPr>
            <w:tcW w:w="1220" w:type="dxa"/>
            <w:tcBorders>
              <w:top w:val="nil"/>
              <w:left w:val="nil"/>
              <w:bottom w:val="nil"/>
              <w:right w:val="nil"/>
            </w:tcBorders>
            <w:shd w:val="clear" w:color="auto" w:fill="auto"/>
            <w:vAlign w:val="bottom"/>
          </w:tcPr>
          <w:p w14:paraId="0EB8A87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42.18%</w:t>
            </w:r>
          </w:p>
        </w:tc>
      </w:tr>
      <w:tr w14:paraId="79B00D3C">
        <w:tblPrEx>
          <w:tblCellMar>
            <w:top w:w="0" w:type="dxa"/>
            <w:left w:w="108" w:type="dxa"/>
            <w:bottom w:w="0" w:type="dxa"/>
            <w:right w:w="108" w:type="dxa"/>
          </w:tblCellMar>
        </w:tblPrEx>
        <w:trPr>
          <w:trHeight w:val="300" w:hRule="atLeast"/>
        </w:trPr>
        <w:tc>
          <w:tcPr>
            <w:tcW w:w="1600" w:type="dxa"/>
            <w:tcBorders>
              <w:top w:val="nil"/>
              <w:left w:val="nil"/>
              <w:bottom w:val="single" w:color="auto" w:sz="4" w:space="0"/>
              <w:right w:val="nil"/>
            </w:tcBorders>
            <w:shd w:val="clear" w:color="auto" w:fill="auto"/>
            <w:vAlign w:val="bottom"/>
          </w:tcPr>
          <w:p w14:paraId="4F471A8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Yes</w:t>
            </w:r>
          </w:p>
        </w:tc>
        <w:tc>
          <w:tcPr>
            <w:tcW w:w="1520" w:type="dxa"/>
            <w:tcBorders>
              <w:top w:val="nil"/>
              <w:left w:val="nil"/>
              <w:bottom w:val="single" w:color="auto" w:sz="4" w:space="0"/>
              <w:right w:val="nil"/>
            </w:tcBorders>
            <w:shd w:val="clear" w:color="auto" w:fill="auto"/>
            <w:vAlign w:val="bottom"/>
          </w:tcPr>
          <w:p w14:paraId="75D0B7B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51.16%</w:t>
            </w:r>
          </w:p>
        </w:tc>
        <w:tc>
          <w:tcPr>
            <w:tcW w:w="1360" w:type="dxa"/>
            <w:tcBorders>
              <w:top w:val="nil"/>
              <w:left w:val="nil"/>
              <w:bottom w:val="single" w:color="auto" w:sz="4" w:space="0"/>
              <w:right w:val="nil"/>
            </w:tcBorders>
            <w:shd w:val="clear" w:color="auto" w:fill="auto"/>
            <w:vAlign w:val="bottom"/>
          </w:tcPr>
          <w:p w14:paraId="6324635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27.71%</w:t>
            </w:r>
          </w:p>
        </w:tc>
        <w:tc>
          <w:tcPr>
            <w:tcW w:w="1220" w:type="dxa"/>
            <w:tcBorders>
              <w:top w:val="nil"/>
              <w:left w:val="nil"/>
              <w:bottom w:val="single" w:color="auto" w:sz="4" w:space="0"/>
              <w:right w:val="nil"/>
            </w:tcBorders>
            <w:shd w:val="clear" w:color="auto" w:fill="auto"/>
            <w:vAlign w:val="bottom"/>
          </w:tcPr>
          <w:p w14:paraId="06049AB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21.12%</w:t>
            </w:r>
          </w:p>
        </w:tc>
      </w:tr>
    </w:tbl>
    <w:p w14:paraId="36CB5DCB">
      <w:pPr>
        <w:spacing w:line="360" w:lineRule="auto"/>
        <w:jc w:val="both"/>
        <w:rPr>
          <w:rFonts w:hint="eastAsia"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 xml:space="preserve">Table 12: cross tab BP- hypertension </w:t>
      </w:r>
    </w:p>
    <w:p w14:paraId="729C6624">
      <w:pPr>
        <w:spacing w:line="360" w:lineRule="auto"/>
        <w:jc w:val="both"/>
        <w:rPr>
          <w:rFonts w:hint="eastAsia" w:cs="Times New Roman" w:asciiTheme="minorAscii" w:hAnsiTheme="minorAscii"/>
          <w:b/>
          <w:bCs/>
          <w:sz w:val="22"/>
          <w:szCs w:val="22"/>
          <w:lang w:val="en-US" w:eastAsia="ja-JP"/>
        </w:rPr>
      </w:pPr>
    </w:p>
    <w:tbl>
      <w:tblPr>
        <w:tblStyle w:val="9"/>
        <w:tblW w:w="0" w:type="auto"/>
        <w:tblInd w:w="-180" w:type="dxa"/>
        <w:tblLayout w:type="autofit"/>
        <w:tblCellMar>
          <w:top w:w="0" w:type="dxa"/>
          <w:left w:w="0" w:type="dxa"/>
          <w:bottom w:w="0" w:type="dxa"/>
          <w:right w:w="0" w:type="dxa"/>
        </w:tblCellMar>
      </w:tblPr>
      <w:tblGrid>
        <w:gridCol w:w="1110"/>
        <w:gridCol w:w="1720"/>
        <w:gridCol w:w="1058"/>
        <w:gridCol w:w="1813"/>
      </w:tblGrid>
      <w:tr w14:paraId="26F1C753">
        <w:tblPrEx>
          <w:tblCellMar>
            <w:top w:w="0" w:type="dxa"/>
            <w:left w:w="0" w:type="dxa"/>
            <w:bottom w:w="0" w:type="dxa"/>
            <w:right w:w="0" w:type="dxa"/>
          </w:tblCellMar>
        </w:tblPrEx>
        <w:trPr>
          <w:tblHeader/>
        </w:trPr>
        <w:tc>
          <w:tcPr>
            <w:tcW w:w="0" w:type="auto"/>
            <w:gridSpan w:val="4"/>
            <w:tcBorders>
              <w:top w:val="nil"/>
              <w:left w:val="nil"/>
              <w:bottom w:val="single" w:color="000000" w:sz="6" w:space="0"/>
              <w:right w:val="nil"/>
            </w:tcBorders>
            <w:tcMar>
              <w:top w:w="90" w:type="dxa"/>
              <w:left w:w="0" w:type="dxa"/>
              <w:bottom w:w="90" w:type="dxa"/>
              <w:right w:w="150" w:type="dxa"/>
            </w:tcMar>
            <w:vAlign w:val="center"/>
          </w:tcPr>
          <w:p w14:paraId="286367D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Chi-Squared Tests</w:t>
            </w:r>
            <w:r>
              <w:rPr>
                <w:rFonts w:hint="default" w:eastAsia="Times New Roman" w:asciiTheme="minorAscii" w:hAnsiTheme="minorAscii"/>
                <w:color w:val="000000"/>
                <w:sz w:val="22"/>
                <w:szCs w:val="22"/>
              </w:rPr>
              <w:t xml:space="preserve"> </w:t>
            </w:r>
          </w:p>
        </w:tc>
      </w:tr>
      <w:tr w14:paraId="22F8FFB1">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31BBFD9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7FD1A3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AEF874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52145FC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r>
      <w:tr w14:paraId="4E263E63">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988B10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Χ²</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DE6745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532.2</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444EC4E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5D1808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w:t>
            </w:r>
          </w:p>
        </w:tc>
      </w:tr>
      <w:tr w14:paraId="0AB9CAE6">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2ACF9C5C">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N</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1CAB6CBD">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E459193">
            <w:pPr>
              <w:spacing w:after="144" w:line="240" w:lineRule="auto"/>
              <w:jc w:val="both"/>
              <w:rPr>
                <w:rFonts w:hint="default" w:eastAsia="Times New Roman" w:asciiTheme="minorAscii" w:hAnsiTheme="minorAscii"/>
                <w:color w:val="000000"/>
                <w:sz w:val="22"/>
                <w:szCs w:val="22"/>
              </w:rPr>
            </w:pP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02127E9">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r>
      <w:tr w14:paraId="751F32D1">
        <w:tblPrEx>
          <w:tblCellMar>
            <w:top w:w="0" w:type="dxa"/>
            <w:left w:w="0" w:type="dxa"/>
            <w:bottom w:w="0" w:type="dxa"/>
            <w:right w:w="0" w:type="dxa"/>
          </w:tblCellMar>
        </w:tblPrEx>
        <w:tc>
          <w:tcPr>
            <w:tcW w:w="0" w:type="auto"/>
            <w:gridSpan w:val="4"/>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28A812D2">
            <w:pPr>
              <w:spacing w:after="144" w:line="240" w:lineRule="auto"/>
              <w:jc w:val="both"/>
              <w:rPr>
                <w:rFonts w:hint="default" w:eastAsia="Times New Roman" w:asciiTheme="minorAscii" w:hAnsiTheme="minorAscii"/>
                <w:color w:val="000000"/>
                <w:sz w:val="22"/>
                <w:szCs w:val="22"/>
              </w:rPr>
            </w:pPr>
          </w:p>
        </w:tc>
      </w:tr>
      <w:tr w14:paraId="79DC17F4">
        <w:tblPrEx>
          <w:tblCellMar>
            <w:top w:w="0" w:type="dxa"/>
            <w:left w:w="0" w:type="dxa"/>
            <w:bottom w:w="0" w:type="dxa"/>
            <w:right w:w="0" w:type="dxa"/>
          </w:tblCellMar>
        </w:tblPrEx>
        <w:tc>
          <w:tcPr>
            <w:tcW w:w="0" w:type="auto"/>
            <w:gridSpan w:val="4"/>
            <w:tcBorders>
              <w:top w:val="nil"/>
              <w:left w:val="nil"/>
              <w:bottom w:val="nil"/>
              <w:right w:val="nil"/>
            </w:tcBorders>
            <w:tcMar>
              <w:top w:w="15" w:type="dxa"/>
              <w:left w:w="0" w:type="dxa"/>
              <w:bottom w:w="45" w:type="dxa"/>
              <w:right w:w="180" w:type="dxa"/>
            </w:tcMar>
            <w:vAlign w:val="center"/>
          </w:tcPr>
          <w:p w14:paraId="25F3819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Continuity correction is available only for 2x2 tables.</w:t>
            </w:r>
          </w:p>
        </w:tc>
      </w:tr>
    </w:tbl>
    <w:p w14:paraId="1707B32E">
      <w:pPr>
        <w:spacing w:line="360" w:lineRule="auto"/>
        <w:jc w:val="both"/>
        <w:rPr>
          <w:rFonts w:hint="default" w:cs="Times New Roman" w:asciiTheme="minorAscii" w:hAnsiTheme="minorAscii"/>
          <w:b/>
          <w:bCs/>
          <w:sz w:val="22"/>
          <w:szCs w:val="22"/>
          <w:lang w:val="en-US" w:eastAsia="ja-JP"/>
        </w:rPr>
      </w:pPr>
    </w:p>
    <w:p w14:paraId="79593215">
      <w:pPr>
        <w:spacing w:line="360" w:lineRule="auto"/>
        <w:jc w:val="both"/>
        <w:rPr>
          <w:rFonts w:hint="default" w:eastAsia="Times New Roman" w:cs="Times New Roman" w:asciiTheme="minorAscii" w:hAnsiTheme="minorAscii"/>
          <w:bCs/>
          <w:sz w:val="22"/>
          <w:szCs w:val="22"/>
        </w:rPr>
      </w:pPr>
      <w:r>
        <w:rPr>
          <w:rFonts w:hint="eastAsia" w:cs="Times New Roman" w:asciiTheme="minorAscii" w:hAnsiTheme="minorAscii"/>
          <w:b/>
          <w:bCs/>
          <w:sz w:val="22"/>
          <w:szCs w:val="22"/>
          <w:lang w:val="en-US" w:eastAsia="ja-JP"/>
        </w:rPr>
        <w:t>Table 13: Chi-Sqaure Blood Pressume on Hypertension</w:t>
      </w:r>
    </w:p>
    <w:p w14:paraId="0B2E82B0">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contingency table reveals a pronounced association between prior blood pressure history and current hypertension status. Among individuals without hypertension, the majority report normal blood pressure (53.52%), followed by prehypertension (42.18%), while only a small proportion fall into the hypertension category (4.30%). In contrast, over half of individuals with hypertension have a prior history of hypertension (51.16%), with substantially smaller proportions reporting normal blood pressure (27.71%) or prehypertension (21.12%). </w:t>
      </w:r>
    </w:p>
    <w:p w14:paraId="63FD0661">
      <w:pPr>
        <w:spacing w:line="360" w:lineRule="auto"/>
        <w:jc w:val="both"/>
        <w:rPr>
          <w:rFonts w:hint="default" w:eastAsia="Times New Roman" w:cs="Times New Roman" w:asciiTheme="minorAscii" w:hAnsiTheme="minorAscii"/>
          <w:bCs/>
          <w:sz w:val="22"/>
          <w:szCs w:val="22"/>
        </w:rPr>
      </w:pPr>
    </w:p>
    <w:p w14:paraId="66C33443">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This distribution highlights a clear shift in blood pressure profiles between the two groups, suggesting that prior elevated blood pressure strongly aligns with current hypertensive status. The chi-squared test confirms this relationship, showing a highly significant association between BP history and hypertension (χ² = 532.2, df = 2, p &lt; .001). This indicates that the observed differences are unlikely to be due to chance and underscores the importance of blood pressure history as a key indicator in identifying and understanding hypertension risk.</w:t>
      </w:r>
    </w:p>
    <w:p w14:paraId="13D39809">
      <w:pPr>
        <w:spacing w:line="360" w:lineRule="auto"/>
        <w:jc w:val="both"/>
        <w:rPr>
          <w:rFonts w:hint="default" w:eastAsia="Times New Roman" w:cs="Times New Roman" w:asciiTheme="minorAscii" w:hAnsiTheme="minorAscii"/>
          <w:bCs/>
          <w:sz w:val="22"/>
          <w:szCs w:val="22"/>
        </w:rPr>
      </w:pPr>
    </w:p>
    <w:p w14:paraId="36D8F460">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Medication on Hypertension Status</w:t>
      </w:r>
    </w:p>
    <w:p w14:paraId="5AF545B1">
      <w:pPr>
        <w:spacing w:line="360" w:lineRule="auto"/>
        <w:jc w:val="both"/>
        <w:rPr>
          <w:rFonts w:hint="default" w:eastAsia="Times New Roman" w:cs="Times New Roman" w:asciiTheme="minorAscii" w:hAnsiTheme="minorAscii"/>
          <w:b/>
          <w:bCs/>
          <w:sz w:val="22"/>
          <w:szCs w:val="22"/>
        </w:rPr>
      </w:pPr>
    </w:p>
    <w:tbl>
      <w:tblPr>
        <w:tblStyle w:val="9"/>
        <w:tblW w:w="7620" w:type="dxa"/>
        <w:tblInd w:w="0" w:type="dxa"/>
        <w:tblLayout w:type="autofit"/>
        <w:tblCellMar>
          <w:top w:w="0" w:type="dxa"/>
          <w:left w:w="108" w:type="dxa"/>
          <w:bottom w:w="0" w:type="dxa"/>
          <w:right w:w="108" w:type="dxa"/>
        </w:tblCellMar>
      </w:tblPr>
      <w:tblGrid>
        <w:gridCol w:w="1600"/>
        <w:gridCol w:w="1520"/>
        <w:gridCol w:w="1360"/>
        <w:gridCol w:w="1220"/>
        <w:gridCol w:w="960"/>
        <w:gridCol w:w="960"/>
      </w:tblGrid>
      <w:tr w14:paraId="7F813D46">
        <w:tblPrEx>
          <w:tblCellMar>
            <w:top w:w="0" w:type="dxa"/>
            <w:left w:w="108" w:type="dxa"/>
            <w:bottom w:w="0" w:type="dxa"/>
            <w:right w:w="108" w:type="dxa"/>
          </w:tblCellMar>
        </w:tblPrEx>
        <w:trPr>
          <w:trHeight w:val="600" w:hRule="atLeast"/>
        </w:trPr>
        <w:tc>
          <w:tcPr>
            <w:tcW w:w="1600" w:type="dxa"/>
            <w:tcBorders>
              <w:top w:val="single" w:color="auto" w:sz="4" w:space="0"/>
              <w:left w:val="nil"/>
              <w:bottom w:val="single" w:color="auto" w:sz="4" w:space="0"/>
              <w:right w:val="nil"/>
            </w:tcBorders>
            <w:shd w:val="clear" w:color="auto" w:fill="auto"/>
            <w:vAlign w:val="center"/>
          </w:tcPr>
          <w:p w14:paraId="5AA12FA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w:t>
            </w:r>
          </w:p>
        </w:tc>
        <w:tc>
          <w:tcPr>
            <w:tcW w:w="1520" w:type="dxa"/>
            <w:tcBorders>
              <w:top w:val="single" w:color="auto" w:sz="4" w:space="0"/>
              <w:left w:val="nil"/>
              <w:bottom w:val="single" w:color="auto" w:sz="4" w:space="0"/>
              <w:right w:val="nil"/>
            </w:tcBorders>
            <w:shd w:val="clear" w:color="auto" w:fill="auto"/>
            <w:vAlign w:val="center"/>
          </w:tcPr>
          <w:p w14:paraId="74AEAE8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ACE Inhibitor (%)</w:t>
            </w:r>
          </w:p>
        </w:tc>
        <w:tc>
          <w:tcPr>
            <w:tcW w:w="1360" w:type="dxa"/>
            <w:tcBorders>
              <w:top w:val="single" w:color="auto" w:sz="4" w:space="0"/>
              <w:left w:val="nil"/>
              <w:bottom w:val="single" w:color="auto" w:sz="4" w:space="0"/>
              <w:right w:val="nil"/>
            </w:tcBorders>
            <w:shd w:val="clear" w:color="auto" w:fill="auto"/>
            <w:vAlign w:val="center"/>
          </w:tcPr>
          <w:p w14:paraId="6C6A511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Beta Blocker (%)</w:t>
            </w:r>
          </w:p>
        </w:tc>
        <w:tc>
          <w:tcPr>
            <w:tcW w:w="1220" w:type="dxa"/>
            <w:tcBorders>
              <w:top w:val="single" w:color="auto" w:sz="4" w:space="0"/>
              <w:left w:val="nil"/>
              <w:bottom w:val="single" w:color="auto" w:sz="4" w:space="0"/>
              <w:right w:val="nil"/>
            </w:tcBorders>
            <w:shd w:val="clear" w:color="auto" w:fill="auto"/>
            <w:vAlign w:val="center"/>
          </w:tcPr>
          <w:p w14:paraId="45B6273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Diuretic (%)</w:t>
            </w:r>
          </w:p>
        </w:tc>
        <w:tc>
          <w:tcPr>
            <w:tcW w:w="960" w:type="dxa"/>
            <w:tcBorders>
              <w:top w:val="single" w:color="auto" w:sz="4" w:space="0"/>
              <w:left w:val="nil"/>
              <w:bottom w:val="single" w:color="auto" w:sz="4" w:space="0"/>
              <w:right w:val="nil"/>
            </w:tcBorders>
            <w:shd w:val="clear" w:color="auto" w:fill="auto"/>
            <w:vAlign w:val="center"/>
          </w:tcPr>
          <w:p w14:paraId="780A470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None (%)</w:t>
            </w:r>
          </w:p>
        </w:tc>
        <w:tc>
          <w:tcPr>
            <w:tcW w:w="960" w:type="dxa"/>
            <w:tcBorders>
              <w:top w:val="single" w:color="auto" w:sz="4" w:space="0"/>
              <w:left w:val="nil"/>
              <w:bottom w:val="single" w:color="auto" w:sz="4" w:space="0"/>
              <w:right w:val="nil"/>
            </w:tcBorders>
            <w:shd w:val="clear" w:color="auto" w:fill="auto"/>
            <w:vAlign w:val="center"/>
          </w:tcPr>
          <w:p w14:paraId="3D54F67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Other (%)</w:t>
            </w:r>
          </w:p>
        </w:tc>
      </w:tr>
      <w:tr w14:paraId="427967E7">
        <w:tblPrEx>
          <w:tblCellMar>
            <w:top w:w="0" w:type="dxa"/>
            <w:left w:w="108" w:type="dxa"/>
            <w:bottom w:w="0" w:type="dxa"/>
            <w:right w:w="108" w:type="dxa"/>
          </w:tblCellMar>
        </w:tblPrEx>
        <w:trPr>
          <w:trHeight w:val="300" w:hRule="atLeast"/>
        </w:trPr>
        <w:tc>
          <w:tcPr>
            <w:tcW w:w="1600" w:type="dxa"/>
            <w:tcBorders>
              <w:top w:val="nil"/>
              <w:left w:val="nil"/>
              <w:bottom w:val="nil"/>
              <w:right w:val="nil"/>
            </w:tcBorders>
            <w:shd w:val="clear" w:color="auto" w:fill="auto"/>
            <w:vAlign w:val="center"/>
          </w:tcPr>
          <w:p w14:paraId="1C18B027">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w:t>
            </w:r>
          </w:p>
        </w:tc>
        <w:tc>
          <w:tcPr>
            <w:tcW w:w="1520" w:type="dxa"/>
            <w:tcBorders>
              <w:top w:val="nil"/>
              <w:left w:val="nil"/>
              <w:bottom w:val="nil"/>
              <w:right w:val="nil"/>
            </w:tcBorders>
            <w:shd w:val="clear" w:color="auto" w:fill="auto"/>
            <w:vAlign w:val="center"/>
          </w:tcPr>
          <w:p w14:paraId="7A2A763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17.00%</w:t>
            </w:r>
          </w:p>
        </w:tc>
        <w:tc>
          <w:tcPr>
            <w:tcW w:w="1360" w:type="dxa"/>
            <w:tcBorders>
              <w:top w:val="nil"/>
              <w:left w:val="nil"/>
              <w:bottom w:val="nil"/>
              <w:right w:val="nil"/>
            </w:tcBorders>
            <w:shd w:val="clear" w:color="auto" w:fill="auto"/>
            <w:vAlign w:val="center"/>
          </w:tcPr>
          <w:p w14:paraId="4A0743E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20.78%</w:t>
            </w:r>
          </w:p>
        </w:tc>
        <w:tc>
          <w:tcPr>
            <w:tcW w:w="1220" w:type="dxa"/>
            <w:tcBorders>
              <w:top w:val="nil"/>
              <w:left w:val="nil"/>
              <w:bottom w:val="nil"/>
              <w:right w:val="nil"/>
            </w:tcBorders>
            <w:shd w:val="clear" w:color="auto" w:fill="auto"/>
            <w:vAlign w:val="center"/>
          </w:tcPr>
          <w:p w14:paraId="13C5AA7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11.12%</w:t>
            </w:r>
          </w:p>
        </w:tc>
        <w:tc>
          <w:tcPr>
            <w:tcW w:w="960" w:type="dxa"/>
            <w:tcBorders>
              <w:top w:val="nil"/>
              <w:left w:val="nil"/>
              <w:bottom w:val="nil"/>
              <w:right w:val="nil"/>
            </w:tcBorders>
            <w:shd w:val="clear" w:color="auto" w:fill="auto"/>
            <w:vAlign w:val="center"/>
          </w:tcPr>
          <w:p w14:paraId="2128BEF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40.61%</w:t>
            </w:r>
          </w:p>
        </w:tc>
        <w:tc>
          <w:tcPr>
            <w:tcW w:w="960" w:type="dxa"/>
            <w:tcBorders>
              <w:top w:val="nil"/>
              <w:left w:val="nil"/>
              <w:bottom w:val="nil"/>
              <w:right w:val="nil"/>
            </w:tcBorders>
            <w:shd w:val="clear" w:color="auto" w:fill="auto"/>
            <w:vAlign w:val="center"/>
          </w:tcPr>
          <w:p w14:paraId="3332E49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10.49%</w:t>
            </w:r>
          </w:p>
        </w:tc>
      </w:tr>
      <w:tr w14:paraId="31E5A46A">
        <w:tblPrEx>
          <w:tblCellMar>
            <w:top w:w="0" w:type="dxa"/>
            <w:left w:w="108" w:type="dxa"/>
            <w:bottom w:w="0" w:type="dxa"/>
            <w:right w:w="108" w:type="dxa"/>
          </w:tblCellMar>
        </w:tblPrEx>
        <w:trPr>
          <w:trHeight w:val="300" w:hRule="atLeast"/>
        </w:trPr>
        <w:tc>
          <w:tcPr>
            <w:tcW w:w="1600" w:type="dxa"/>
            <w:tcBorders>
              <w:top w:val="nil"/>
              <w:left w:val="nil"/>
              <w:bottom w:val="single" w:color="auto" w:sz="4" w:space="0"/>
              <w:right w:val="nil"/>
            </w:tcBorders>
            <w:shd w:val="clear" w:color="auto" w:fill="auto"/>
            <w:vAlign w:val="center"/>
          </w:tcPr>
          <w:p w14:paraId="4693CEFA">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Yes</w:t>
            </w:r>
          </w:p>
        </w:tc>
        <w:tc>
          <w:tcPr>
            <w:tcW w:w="1520" w:type="dxa"/>
            <w:tcBorders>
              <w:top w:val="nil"/>
              <w:left w:val="nil"/>
              <w:bottom w:val="single" w:color="auto" w:sz="4" w:space="0"/>
              <w:right w:val="nil"/>
            </w:tcBorders>
            <w:shd w:val="clear" w:color="auto" w:fill="auto"/>
            <w:vAlign w:val="center"/>
          </w:tcPr>
          <w:p w14:paraId="2F78204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15.60%</w:t>
            </w:r>
          </w:p>
        </w:tc>
        <w:tc>
          <w:tcPr>
            <w:tcW w:w="1360" w:type="dxa"/>
            <w:tcBorders>
              <w:top w:val="nil"/>
              <w:left w:val="nil"/>
              <w:bottom w:val="single" w:color="auto" w:sz="4" w:space="0"/>
              <w:right w:val="nil"/>
            </w:tcBorders>
            <w:shd w:val="clear" w:color="auto" w:fill="auto"/>
            <w:vAlign w:val="center"/>
          </w:tcPr>
          <w:p w14:paraId="2E7B9E0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20.74%</w:t>
            </w:r>
          </w:p>
        </w:tc>
        <w:tc>
          <w:tcPr>
            <w:tcW w:w="1220" w:type="dxa"/>
            <w:tcBorders>
              <w:top w:val="nil"/>
              <w:left w:val="nil"/>
              <w:bottom w:val="single" w:color="auto" w:sz="4" w:space="0"/>
              <w:right w:val="nil"/>
            </w:tcBorders>
            <w:shd w:val="clear" w:color="auto" w:fill="auto"/>
            <w:vAlign w:val="center"/>
          </w:tcPr>
          <w:p w14:paraId="576B83D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13.47%</w:t>
            </w:r>
          </w:p>
        </w:tc>
        <w:tc>
          <w:tcPr>
            <w:tcW w:w="960" w:type="dxa"/>
            <w:tcBorders>
              <w:top w:val="nil"/>
              <w:left w:val="nil"/>
              <w:bottom w:val="single" w:color="auto" w:sz="4" w:space="0"/>
              <w:right w:val="nil"/>
            </w:tcBorders>
            <w:shd w:val="clear" w:color="auto" w:fill="auto"/>
            <w:vAlign w:val="center"/>
          </w:tcPr>
          <w:p w14:paraId="52AE63A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39.92%</w:t>
            </w:r>
          </w:p>
        </w:tc>
        <w:tc>
          <w:tcPr>
            <w:tcW w:w="960" w:type="dxa"/>
            <w:tcBorders>
              <w:top w:val="nil"/>
              <w:left w:val="nil"/>
              <w:bottom w:val="single" w:color="auto" w:sz="4" w:space="0"/>
              <w:right w:val="nil"/>
            </w:tcBorders>
            <w:shd w:val="clear" w:color="auto" w:fill="auto"/>
            <w:vAlign w:val="center"/>
          </w:tcPr>
          <w:p w14:paraId="07325B4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10.27%</w:t>
            </w:r>
          </w:p>
        </w:tc>
      </w:tr>
    </w:tbl>
    <w:p w14:paraId="0B3B43F4">
      <w:pPr>
        <w:spacing w:line="360" w:lineRule="auto"/>
        <w:jc w:val="both"/>
        <w:rPr>
          <w:rFonts w:hint="default" w:eastAsia="Times New Roman" w:cs="Times New Roman" w:asciiTheme="minorAscii" w:hAnsiTheme="minorAscii"/>
          <w:b/>
          <w:bCs/>
          <w:sz w:val="22"/>
          <w:szCs w:val="22"/>
        </w:rPr>
      </w:pPr>
    </w:p>
    <w:p w14:paraId="1C7BC10D">
      <w:pPr>
        <w:spacing w:line="360" w:lineRule="auto"/>
        <w:jc w:val="both"/>
        <w:rPr>
          <w:rFonts w:hint="default" w:eastAsia="Times New Roman" w:cs="Times New Roman" w:asciiTheme="minorAscii" w:hAnsiTheme="minorAscii"/>
          <w:b/>
          <w:bCs/>
          <w:sz w:val="22"/>
          <w:szCs w:val="22"/>
          <w:lang w:val="en-US"/>
        </w:rPr>
      </w:pPr>
      <w:r>
        <w:rPr>
          <w:rFonts w:hint="eastAsia" w:cs="Times New Roman" w:asciiTheme="minorAscii" w:hAnsiTheme="minorAscii"/>
          <w:b/>
          <w:bCs/>
          <w:sz w:val="22"/>
          <w:szCs w:val="22"/>
          <w:lang w:val="en-US" w:eastAsia="ja-JP"/>
        </w:rPr>
        <w:t xml:space="preserve">Table 14: Cross Tab Has Hypertension on Medication. </w:t>
      </w:r>
    </w:p>
    <w:tbl>
      <w:tblPr>
        <w:tblStyle w:val="9"/>
        <w:tblW w:w="0" w:type="auto"/>
        <w:tblInd w:w="0" w:type="dxa"/>
        <w:tblLayout w:type="autofit"/>
        <w:tblCellMar>
          <w:top w:w="0" w:type="dxa"/>
          <w:left w:w="0" w:type="dxa"/>
          <w:bottom w:w="0" w:type="dxa"/>
          <w:right w:w="0" w:type="dxa"/>
        </w:tblCellMar>
      </w:tblPr>
      <w:tblGrid>
        <w:gridCol w:w="1177"/>
        <w:gridCol w:w="1826"/>
        <w:gridCol w:w="1122"/>
        <w:gridCol w:w="1576"/>
      </w:tblGrid>
      <w:tr w14:paraId="3C106E2D">
        <w:tblPrEx>
          <w:tblCellMar>
            <w:top w:w="0" w:type="dxa"/>
            <w:left w:w="0" w:type="dxa"/>
            <w:bottom w:w="0" w:type="dxa"/>
            <w:right w:w="0" w:type="dxa"/>
          </w:tblCellMar>
        </w:tblPrEx>
        <w:trPr>
          <w:tblHeader/>
        </w:trPr>
        <w:tc>
          <w:tcPr>
            <w:tcW w:w="0" w:type="auto"/>
            <w:gridSpan w:val="4"/>
            <w:tcBorders>
              <w:top w:val="nil"/>
              <w:left w:val="nil"/>
              <w:bottom w:val="single" w:color="000000" w:sz="6" w:space="0"/>
              <w:right w:val="nil"/>
            </w:tcBorders>
            <w:tcMar>
              <w:top w:w="90" w:type="dxa"/>
              <w:left w:w="0" w:type="dxa"/>
              <w:bottom w:w="90" w:type="dxa"/>
              <w:right w:w="150" w:type="dxa"/>
            </w:tcMar>
            <w:vAlign w:val="center"/>
          </w:tcPr>
          <w:p w14:paraId="54F4529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Chi-Squared Tests</w:t>
            </w:r>
            <w:r>
              <w:rPr>
                <w:rFonts w:hint="default" w:eastAsia="Times New Roman" w:asciiTheme="minorAscii" w:hAnsiTheme="minorAscii"/>
                <w:color w:val="000000"/>
                <w:sz w:val="22"/>
                <w:szCs w:val="22"/>
              </w:rPr>
              <w:t xml:space="preserve"> </w:t>
            </w:r>
          </w:p>
        </w:tc>
      </w:tr>
      <w:tr w14:paraId="5B2104A7">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5D5F849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346EA9A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46FAE8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B88689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r>
      <w:tr w14:paraId="045D1C45">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CBC636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Χ²</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23ED72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2.887</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FD1313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4</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758CA7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.577</w:t>
            </w:r>
          </w:p>
        </w:tc>
      </w:tr>
      <w:tr w14:paraId="33476F56">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312240A">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N</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9FD441C">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42AD405">
            <w:pPr>
              <w:spacing w:after="144" w:line="240" w:lineRule="auto"/>
              <w:jc w:val="both"/>
              <w:rPr>
                <w:rFonts w:hint="default" w:eastAsia="Times New Roman" w:asciiTheme="minorAscii" w:hAnsiTheme="minorAscii"/>
                <w:color w:val="000000"/>
                <w:sz w:val="22"/>
                <w:szCs w:val="22"/>
              </w:rPr>
            </w:pP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A14993B">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r>
      <w:tr w14:paraId="12A113EC">
        <w:tblPrEx>
          <w:tblCellMar>
            <w:top w:w="0" w:type="dxa"/>
            <w:left w:w="0" w:type="dxa"/>
            <w:bottom w:w="0" w:type="dxa"/>
            <w:right w:w="0" w:type="dxa"/>
          </w:tblCellMar>
        </w:tblPrEx>
        <w:tc>
          <w:tcPr>
            <w:tcW w:w="0" w:type="auto"/>
            <w:gridSpan w:val="4"/>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5686F63B">
            <w:pPr>
              <w:spacing w:after="144" w:line="240" w:lineRule="auto"/>
              <w:jc w:val="both"/>
              <w:rPr>
                <w:rFonts w:hint="default" w:eastAsia="Times New Roman" w:asciiTheme="minorAscii" w:hAnsiTheme="minorAscii"/>
                <w:color w:val="000000"/>
                <w:sz w:val="22"/>
                <w:szCs w:val="22"/>
              </w:rPr>
            </w:pPr>
          </w:p>
        </w:tc>
      </w:tr>
      <w:tr w14:paraId="56D7DE0E">
        <w:tblPrEx>
          <w:tblCellMar>
            <w:top w:w="0" w:type="dxa"/>
            <w:left w:w="0" w:type="dxa"/>
            <w:bottom w:w="0" w:type="dxa"/>
            <w:right w:w="0" w:type="dxa"/>
          </w:tblCellMar>
        </w:tblPrEx>
        <w:tc>
          <w:tcPr>
            <w:tcW w:w="0" w:type="auto"/>
            <w:gridSpan w:val="4"/>
            <w:tcBorders>
              <w:top w:val="nil"/>
              <w:left w:val="nil"/>
              <w:bottom w:val="nil"/>
              <w:right w:val="nil"/>
            </w:tcBorders>
            <w:tcMar>
              <w:top w:w="15" w:type="dxa"/>
              <w:left w:w="0" w:type="dxa"/>
              <w:bottom w:w="45" w:type="dxa"/>
              <w:right w:w="180" w:type="dxa"/>
            </w:tcMar>
            <w:vAlign w:val="center"/>
          </w:tcPr>
          <w:p w14:paraId="4885FA15">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Continuity correction is available only for 2x2 tables.</w:t>
            </w:r>
          </w:p>
        </w:tc>
      </w:tr>
    </w:tbl>
    <w:p w14:paraId="4C0515CE">
      <w:pPr>
        <w:spacing w:line="360" w:lineRule="auto"/>
        <w:jc w:val="both"/>
        <w:rPr>
          <w:rFonts w:hint="default" w:eastAsia="Times New Roman" w:cs="Times New Roman" w:asciiTheme="minorAscii" w:hAnsiTheme="minorAscii"/>
          <w:b/>
          <w:bCs/>
          <w:sz w:val="22"/>
          <w:szCs w:val="22"/>
        </w:rPr>
      </w:pPr>
    </w:p>
    <w:p w14:paraId="0BA38B12">
      <w:pPr>
        <w:spacing w:line="360" w:lineRule="auto"/>
        <w:jc w:val="both"/>
        <w:rPr>
          <w:rFonts w:hint="eastAsia" w:cs="Times New Roman" w:asciiTheme="minorAscii" w:hAnsiTheme="minorAscii"/>
          <w:b/>
          <w:bCs/>
          <w:sz w:val="22"/>
          <w:szCs w:val="22"/>
          <w:lang w:val="en-US" w:eastAsia="ja-JP"/>
        </w:rPr>
      </w:pPr>
      <w:r>
        <w:rPr>
          <w:rFonts w:hint="eastAsia" w:cs="Times New Roman" w:asciiTheme="minorAscii" w:hAnsiTheme="minorAscii"/>
          <w:b/>
          <w:bCs/>
          <w:sz w:val="22"/>
          <w:szCs w:val="22"/>
          <w:lang w:val="en-US" w:eastAsia="ja-JP"/>
        </w:rPr>
        <w:t>Table 15: Chi-Square Test of Association Between Medication Type and Hypertension Status</w:t>
      </w:r>
    </w:p>
    <w:p w14:paraId="2010F67C">
      <w:pPr>
        <w:spacing w:line="360" w:lineRule="auto"/>
        <w:jc w:val="both"/>
        <w:rPr>
          <w:rFonts w:hint="default" w:cs="Times New Roman" w:asciiTheme="minorAscii" w:hAnsiTheme="minorAscii"/>
          <w:b/>
          <w:bCs/>
          <w:sz w:val="22"/>
          <w:szCs w:val="22"/>
          <w:lang w:val="en-US" w:eastAsia="ja-JP"/>
        </w:rPr>
      </w:pPr>
    </w:p>
    <w:p w14:paraId="0D3CC62F">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distribution of medication types among individuals with and without hypertension reveals minimal differences. Among non-hypertensive participants, the largest proportion reported taking no medication (40.61%), followed by Beta Blockers (20.78%), ACE inhibitors (17.00%), Diuretics (11.12%), and other medications (10.49%). In the hypertensive group, similar trends were observed, with the highest proportion also taking no medication (39.92%), followed by Beta Blockers (20.74%), Diuretics (13.47%), ACE inhibitors (15.60%), and other medications (10.27%).</w:t>
      </w:r>
    </w:p>
    <w:p w14:paraId="6F8BBE75">
      <w:pPr>
        <w:spacing w:line="360" w:lineRule="auto"/>
        <w:jc w:val="both"/>
        <w:rPr>
          <w:rFonts w:hint="default" w:eastAsia="Times New Roman" w:cs="Times New Roman" w:asciiTheme="minorAscii" w:hAnsiTheme="minorAscii"/>
          <w:bCs/>
          <w:sz w:val="22"/>
          <w:szCs w:val="22"/>
        </w:rPr>
      </w:pPr>
    </w:p>
    <w:p w14:paraId="4255BE41">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Chi-Squared test for association yielded a value of 2.887 with 4 degrees of freedom and a p-value of 0.577, indicating no statistically significant relationship between medication type and hypertension status in this dataset. This suggests that the type of medication reported does not differ meaningfully between hypertensive and non-hypertensive participants. While some variability exists in percentages across categories, these differences are minor and likely due to random variation rather than systematic association. Overall, this analysis implies that medication type alone is not strongly predictive of hypertension status in this sample.</w:t>
      </w:r>
    </w:p>
    <w:p w14:paraId="1B3C7C03">
      <w:pPr>
        <w:spacing w:line="360" w:lineRule="auto"/>
        <w:jc w:val="both"/>
        <w:rPr>
          <w:rFonts w:hint="default" w:eastAsia="Times New Roman" w:cs="Times New Roman" w:asciiTheme="minorAscii" w:hAnsiTheme="minorAscii"/>
          <w:b/>
          <w:bCs/>
          <w:sz w:val="22"/>
          <w:szCs w:val="22"/>
        </w:rPr>
      </w:pPr>
    </w:p>
    <w:p w14:paraId="522D8B80">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Family History on Hypertension Status</w:t>
      </w:r>
    </w:p>
    <w:p w14:paraId="73347836">
      <w:pPr>
        <w:spacing w:line="360" w:lineRule="auto"/>
        <w:jc w:val="both"/>
        <w:rPr>
          <w:rFonts w:hint="default" w:eastAsia="Times New Roman" w:cs="Times New Roman" w:asciiTheme="minorAscii" w:hAnsiTheme="minorAscii"/>
          <w:b/>
          <w:bCs/>
          <w:sz w:val="22"/>
          <w:szCs w:val="22"/>
        </w:rPr>
      </w:pPr>
    </w:p>
    <w:tbl>
      <w:tblPr>
        <w:tblStyle w:val="9"/>
        <w:tblW w:w="4480" w:type="dxa"/>
        <w:tblInd w:w="0" w:type="dxa"/>
        <w:tblLayout w:type="autofit"/>
        <w:tblCellMar>
          <w:top w:w="0" w:type="dxa"/>
          <w:left w:w="108" w:type="dxa"/>
          <w:bottom w:w="0" w:type="dxa"/>
          <w:right w:w="108" w:type="dxa"/>
        </w:tblCellMar>
      </w:tblPr>
      <w:tblGrid>
        <w:gridCol w:w="1600"/>
        <w:gridCol w:w="1520"/>
        <w:gridCol w:w="1360"/>
      </w:tblGrid>
      <w:tr w14:paraId="1AC9195D">
        <w:tblPrEx>
          <w:tblCellMar>
            <w:top w:w="0" w:type="dxa"/>
            <w:left w:w="108" w:type="dxa"/>
            <w:bottom w:w="0" w:type="dxa"/>
            <w:right w:w="108" w:type="dxa"/>
          </w:tblCellMar>
        </w:tblPrEx>
        <w:trPr>
          <w:trHeight w:val="600" w:hRule="atLeast"/>
        </w:trPr>
        <w:tc>
          <w:tcPr>
            <w:tcW w:w="1600" w:type="dxa"/>
            <w:tcBorders>
              <w:top w:val="single" w:color="auto" w:sz="4" w:space="0"/>
              <w:left w:val="nil"/>
              <w:bottom w:val="single" w:color="auto" w:sz="4" w:space="0"/>
              <w:right w:val="nil"/>
            </w:tcBorders>
            <w:shd w:val="clear" w:color="auto" w:fill="auto"/>
            <w:vAlign w:val="center"/>
          </w:tcPr>
          <w:p w14:paraId="78CBDB1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Has Hypertension</w:t>
            </w:r>
          </w:p>
        </w:tc>
        <w:tc>
          <w:tcPr>
            <w:tcW w:w="1520" w:type="dxa"/>
            <w:tcBorders>
              <w:top w:val="single" w:color="auto" w:sz="4" w:space="0"/>
              <w:left w:val="nil"/>
              <w:bottom w:val="single" w:color="auto" w:sz="4" w:space="0"/>
              <w:right w:val="nil"/>
            </w:tcBorders>
            <w:shd w:val="clear" w:color="auto" w:fill="auto"/>
            <w:vAlign w:val="center"/>
          </w:tcPr>
          <w:p w14:paraId="3FA1D5AE">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 (%)</w:t>
            </w:r>
          </w:p>
        </w:tc>
        <w:tc>
          <w:tcPr>
            <w:tcW w:w="1360" w:type="dxa"/>
            <w:tcBorders>
              <w:top w:val="single" w:color="auto" w:sz="4" w:space="0"/>
              <w:left w:val="nil"/>
              <w:bottom w:val="single" w:color="auto" w:sz="4" w:space="0"/>
              <w:right w:val="nil"/>
            </w:tcBorders>
            <w:shd w:val="clear" w:color="auto" w:fill="auto"/>
            <w:vAlign w:val="center"/>
          </w:tcPr>
          <w:p w14:paraId="3E8F4EA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Yes (%)</w:t>
            </w:r>
          </w:p>
        </w:tc>
      </w:tr>
      <w:tr w14:paraId="2260DA4B">
        <w:tblPrEx>
          <w:tblCellMar>
            <w:top w:w="0" w:type="dxa"/>
            <w:left w:w="108" w:type="dxa"/>
            <w:bottom w:w="0" w:type="dxa"/>
            <w:right w:w="108" w:type="dxa"/>
          </w:tblCellMar>
        </w:tblPrEx>
        <w:trPr>
          <w:trHeight w:val="300" w:hRule="atLeast"/>
        </w:trPr>
        <w:tc>
          <w:tcPr>
            <w:tcW w:w="1600" w:type="dxa"/>
            <w:tcBorders>
              <w:top w:val="nil"/>
              <w:left w:val="nil"/>
              <w:bottom w:val="nil"/>
              <w:right w:val="nil"/>
            </w:tcBorders>
            <w:shd w:val="clear" w:color="auto" w:fill="auto"/>
            <w:vAlign w:val="center"/>
          </w:tcPr>
          <w:p w14:paraId="2FDEBD35">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1520" w:type="dxa"/>
            <w:tcBorders>
              <w:top w:val="nil"/>
              <w:left w:val="nil"/>
              <w:bottom w:val="nil"/>
              <w:right w:val="nil"/>
            </w:tcBorders>
            <w:shd w:val="clear" w:color="auto" w:fill="auto"/>
            <w:vAlign w:val="center"/>
          </w:tcPr>
          <w:p w14:paraId="0F0D6B7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65.06%</w:t>
            </w:r>
          </w:p>
        </w:tc>
        <w:tc>
          <w:tcPr>
            <w:tcW w:w="1360" w:type="dxa"/>
            <w:tcBorders>
              <w:top w:val="nil"/>
              <w:left w:val="nil"/>
              <w:bottom w:val="nil"/>
              <w:right w:val="nil"/>
            </w:tcBorders>
            <w:shd w:val="clear" w:color="auto" w:fill="auto"/>
            <w:vAlign w:val="center"/>
          </w:tcPr>
          <w:p w14:paraId="10E0FD4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34.94%</w:t>
            </w:r>
          </w:p>
        </w:tc>
      </w:tr>
      <w:tr w14:paraId="389C8CD4">
        <w:tblPrEx>
          <w:tblCellMar>
            <w:top w:w="0" w:type="dxa"/>
            <w:left w:w="108" w:type="dxa"/>
            <w:bottom w:w="0" w:type="dxa"/>
            <w:right w:w="108" w:type="dxa"/>
          </w:tblCellMar>
        </w:tblPrEx>
        <w:trPr>
          <w:trHeight w:val="300" w:hRule="atLeast"/>
        </w:trPr>
        <w:tc>
          <w:tcPr>
            <w:tcW w:w="1600" w:type="dxa"/>
            <w:tcBorders>
              <w:top w:val="nil"/>
              <w:left w:val="nil"/>
              <w:bottom w:val="single" w:color="auto" w:sz="4" w:space="0"/>
              <w:right w:val="nil"/>
            </w:tcBorders>
            <w:shd w:val="clear" w:color="auto" w:fill="auto"/>
            <w:vAlign w:val="center"/>
          </w:tcPr>
          <w:p w14:paraId="78A338B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1520" w:type="dxa"/>
            <w:tcBorders>
              <w:top w:val="nil"/>
              <w:left w:val="nil"/>
              <w:bottom w:val="single" w:color="auto" w:sz="4" w:space="0"/>
              <w:right w:val="nil"/>
            </w:tcBorders>
            <w:shd w:val="clear" w:color="auto" w:fill="auto"/>
            <w:vAlign w:val="center"/>
          </w:tcPr>
          <w:p w14:paraId="28C4FED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36.82%</w:t>
            </w:r>
          </w:p>
        </w:tc>
        <w:tc>
          <w:tcPr>
            <w:tcW w:w="1360" w:type="dxa"/>
            <w:tcBorders>
              <w:top w:val="nil"/>
              <w:left w:val="nil"/>
              <w:bottom w:val="single" w:color="auto" w:sz="4" w:space="0"/>
              <w:right w:val="nil"/>
            </w:tcBorders>
            <w:shd w:val="clear" w:color="auto" w:fill="auto"/>
            <w:vAlign w:val="center"/>
          </w:tcPr>
          <w:p w14:paraId="287200F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63.18%</w:t>
            </w:r>
          </w:p>
        </w:tc>
      </w:tr>
    </w:tbl>
    <w:p w14:paraId="1064C5C6">
      <w:pPr>
        <w:spacing w:line="360" w:lineRule="auto"/>
        <w:jc w:val="both"/>
        <w:rPr>
          <w:rFonts w:hint="default" w:eastAsia="Times New Roman" w:cs="Times New Roman" w:asciiTheme="minorAscii" w:hAnsiTheme="minorAscii"/>
          <w:b/>
          <w:bCs/>
          <w:sz w:val="22"/>
          <w:szCs w:val="22"/>
        </w:rPr>
      </w:pPr>
    </w:p>
    <w:p w14:paraId="783C793D">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16</w:t>
      </w:r>
      <w:r>
        <w:rPr>
          <w:rFonts w:hint="default" w:eastAsia="Times New Roman" w:cs="Times New Roman" w:asciiTheme="minorAscii" w:hAnsiTheme="minorAscii"/>
          <w:b/>
          <w:bCs/>
          <w:sz w:val="22"/>
          <w:szCs w:val="22"/>
        </w:rPr>
        <w:t>: Distribution of Family History by Hypertension Status</w:t>
      </w:r>
    </w:p>
    <w:tbl>
      <w:tblPr>
        <w:tblStyle w:val="9"/>
        <w:tblW w:w="0" w:type="auto"/>
        <w:tblInd w:w="0" w:type="dxa"/>
        <w:tblLayout w:type="autofit"/>
        <w:tblCellMar>
          <w:top w:w="0" w:type="dxa"/>
          <w:left w:w="0" w:type="dxa"/>
          <w:bottom w:w="0" w:type="dxa"/>
          <w:right w:w="0" w:type="dxa"/>
        </w:tblCellMar>
      </w:tblPr>
      <w:tblGrid>
        <w:gridCol w:w="576"/>
        <w:gridCol w:w="893"/>
        <w:gridCol w:w="549"/>
        <w:gridCol w:w="941"/>
      </w:tblGrid>
      <w:tr w14:paraId="344B2ED0">
        <w:tblPrEx>
          <w:tblCellMar>
            <w:top w:w="0" w:type="dxa"/>
            <w:left w:w="0" w:type="dxa"/>
            <w:bottom w:w="0" w:type="dxa"/>
            <w:right w:w="0" w:type="dxa"/>
          </w:tblCellMar>
        </w:tblPrEx>
        <w:trPr>
          <w:tblHeader/>
        </w:trPr>
        <w:tc>
          <w:tcPr>
            <w:tcW w:w="0" w:type="auto"/>
            <w:gridSpan w:val="4"/>
            <w:tcBorders>
              <w:top w:val="nil"/>
              <w:left w:val="nil"/>
              <w:bottom w:val="single" w:color="000000" w:sz="6" w:space="0"/>
              <w:right w:val="nil"/>
            </w:tcBorders>
            <w:tcMar>
              <w:top w:w="90" w:type="dxa"/>
              <w:left w:w="0" w:type="dxa"/>
              <w:bottom w:w="90" w:type="dxa"/>
              <w:right w:w="150" w:type="dxa"/>
            </w:tcMar>
            <w:vAlign w:val="center"/>
          </w:tcPr>
          <w:p w14:paraId="26EB849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Chi-Squared Tests</w:t>
            </w:r>
            <w:r>
              <w:rPr>
                <w:rFonts w:hint="default" w:eastAsia="Times New Roman" w:asciiTheme="minorAscii" w:hAnsiTheme="minorAscii"/>
                <w:color w:val="000000"/>
                <w:sz w:val="22"/>
                <w:szCs w:val="22"/>
              </w:rPr>
              <w:t xml:space="preserve"> </w:t>
            </w:r>
          </w:p>
        </w:tc>
      </w:tr>
      <w:tr w14:paraId="7EC143E7">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434FA8B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209704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F25BCF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5CF5A2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r>
      <w:tr w14:paraId="0F816BCC">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75703A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Χ²</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40341EE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158.0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A9303E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5086E6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w:t>
            </w:r>
          </w:p>
        </w:tc>
      </w:tr>
      <w:tr w14:paraId="00A426B7">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31131EB">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N</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5B50924">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D2CA530">
            <w:pPr>
              <w:spacing w:after="144" w:line="240" w:lineRule="auto"/>
              <w:jc w:val="both"/>
              <w:rPr>
                <w:rFonts w:hint="default" w:eastAsia="Times New Roman" w:asciiTheme="minorAscii" w:hAnsiTheme="minorAscii"/>
                <w:color w:val="000000"/>
                <w:sz w:val="22"/>
                <w:szCs w:val="22"/>
              </w:rPr>
            </w:pP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4C9E6B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r>
      <w:tr w14:paraId="77E72654">
        <w:tblPrEx>
          <w:tblCellMar>
            <w:top w:w="0" w:type="dxa"/>
            <w:left w:w="0" w:type="dxa"/>
            <w:bottom w:w="0" w:type="dxa"/>
            <w:right w:w="0" w:type="dxa"/>
          </w:tblCellMar>
        </w:tblPrEx>
        <w:tc>
          <w:tcPr>
            <w:tcW w:w="0" w:type="auto"/>
            <w:gridSpan w:val="4"/>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346DEB43">
            <w:pPr>
              <w:spacing w:after="144" w:line="240" w:lineRule="auto"/>
              <w:jc w:val="both"/>
              <w:rPr>
                <w:rFonts w:hint="default" w:eastAsia="Times New Roman" w:asciiTheme="minorAscii" w:hAnsiTheme="minorAscii"/>
                <w:color w:val="000000"/>
                <w:sz w:val="22"/>
                <w:szCs w:val="22"/>
              </w:rPr>
            </w:pPr>
          </w:p>
        </w:tc>
      </w:tr>
    </w:tbl>
    <w:p w14:paraId="037B678C">
      <w:pPr>
        <w:spacing w:line="360" w:lineRule="auto"/>
        <w:jc w:val="both"/>
        <w:rPr>
          <w:rFonts w:hint="default" w:eastAsia="Times New Roman" w:cs="Times New Roman" w:asciiTheme="minorAscii" w:hAnsiTheme="minorAscii"/>
          <w:b/>
          <w:bCs/>
          <w:sz w:val="22"/>
          <w:szCs w:val="22"/>
        </w:rPr>
      </w:pPr>
    </w:p>
    <w:p w14:paraId="2E8C50AC">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17</w:t>
      </w:r>
      <w:r>
        <w:rPr>
          <w:rFonts w:hint="default" w:eastAsia="Times New Roman" w:cs="Times New Roman" w:asciiTheme="minorAscii" w:hAnsiTheme="minorAscii"/>
          <w:b/>
          <w:bCs/>
          <w:sz w:val="22"/>
          <w:szCs w:val="22"/>
        </w:rPr>
        <w:t>: Chi-Square Test of Association Between Family History and Hypertension Status</w:t>
      </w:r>
    </w:p>
    <w:p w14:paraId="4A326CC4">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relationship between family history and hypertension status demonstrates a strong and statistically significant association. Among participants without hypertension, 65.06% reported no family history of hypertension, while 34.94% had a positive family history. In contrast, among individuals with hypertension, only 36.82% had no family history, whereas 63.18% reported a positive family history. This indicates that a majority of hypertensive participants are more likely to have a familial predisposition to high blood pressure. </w:t>
      </w:r>
    </w:p>
    <w:p w14:paraId="4BA42A63">
      <w:pPr>
        <w:spacing w:line="360" w:lineRule="auto"/>
        <w:jc w:val="both"/>
        <w:rPr>
          <w:rFonts w:hint="default" w:eastAsia="Times New Roman" w:cs="Times New Roman" w:asciiTheme="minorAscii" w:hAnsiTheme="minorAscii"/>
          <w:bCs/>
          <w:sz w:val="22"/>
          <w:szCs w:val="22"/>
        </w:rPr>
      </w:pPr>
    </w:p>
    <w:p w14:paraId="08608FAA">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chi-squared test confirms the significance of this association (Χ² = 158.0, df = 1, p &lt; .001), suggesting that the observed distribution is highly unlikely to have occurred by chance. These findings highlight the important role of genetic and hereditary factors in the development of hypertension. Understanding family history as a risk factor is crucial for early screening, targeted prevention strategies, and personalized interventions, particularly for individuals with a documented familial predisposition, as it can guide clinicians and public health practitioners in identifying high-risk populations and implementing proactive management measures.</w:t>
      </w:r>
    </w:p>
    <w:p w14:paraId="69D3244D">
      <w:pPr>
        <w:spacing w:line="360" w:lineRule="auto"/>
        <w:jc w:val="both"/>
        <w:rPr>
          <w:rFonts w:hint="default" w:eastAsia="Times New Roman" w:cs="Times New Roman" w:asciiTheme="minorAscii" w:hAnsiTheme="minorAscii"/>
          <w:b/>
          <w:bCs/>
          <w:sz w:val="22"/>
          <w:szCs w:val="22"/>
        </w:rPr>
      </w:pPr>
    </w:p>
    <w:p w14:paraId="7099B13F">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Exercise Level on Hypertension Status. </w:t>
      </w:r>
    </w:p>
    <w:p w14:paraId="6739FC05">
      <w:pPr>
        <w:spacing w:line="360" w:lineRule="auto"/>
        <w:jc w:val="both"/>
        <w:rPr>
          <w:rFonts w:hint="default" w:eastAsia="Times New Roman" w:cs="Times New Roman" w:asciiTheme="minorAscii" w:hAnsiTheme="minorAscii"/>
          <w:b/>
          <w:bCs/>
          <w:sz w:val="22"/>
          <w:szCs w:val="22"/>
        </w:rPr>
      </w:pPr>
    </w:p>
    <w:tbl>
      <w:tblPr>
        <w:tblStyle w:val="9"/>
        <w:tblW w:w="5720" w:type="dxa"/>
        <w:tblInd w:w="0" w:type="dxa"/>
        <w:tblLayout w:type="autofit"/>
        <w:tblCellMar>
          <w:top w:w="0" w:type="dxa"/>
          <w:left w:w="108" w:type="dxa"/>
          <w:bottom w:w="0" w:type="dxa"/>
          <w:right w:w="108" w:type="dxa"/>
        </w:tblCellMar>
      </w:tblPr>
      <w:tblGrid>
        <w:gridCol w:w="1580"/>
        <w:gridCol w:w="2020"/>
        <w:gridCol w:w="2120"/>
      </w:tblGrid>
      <w:tr w14:paraId="198BB47D">
        <w:tblPrEx>
          <w:tblCellMar>
            <w:top w:w="0" w:type="dxa"/>
            <w:left w:w="108" w:type="dxa"/>
            <w:bottom w:w="0" w:type="dxa"/>
            <w:right w:w="108" w:type="dxa"/>
          </w:tblCellMar>
        </w:tblPrEx>
        <w:trPr>
          <w:trHeight w:val="600" w:hRule="atLeast"/>
        </w:trPr>
        <w:tc>
          <w:tcPr>
            <w:tcW w:w="1580" w:type="dxa"/>
            <w:tcBorders>
              <w:top w:val="single" w:color="auto" w:sz="4" w:space="0"/>
              <w:left w:val="nil"/>
              <w:bottom w:val="single" w:color="auto" w:sz="4" w:space="0"/>
              <w:right w:val="nil"/>
            </w:tcBorders>
            <w:shd w:val="clear" w:color="auto" w:fill="auto"/>
            <w:vAlign w:val="center"/>
          </w:tcPr>
          <w:p w14:paraId="6DD1671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Exercise Level</w:t>
            </w:r>
          </w:p>
        </w:tc>
        <w:tc>
          <w:tcPr>
            <w:tcW w:w="2020" w:type="dxa"/>
            <w:tcBorders>
              <w:top w:val="single" w:color="auto" w:sz="4" w:space="0"/>
              <w:left w:val="nil"/>
              <w:bottom w:val="single" w:color="auto" w:sz="4" w:space="0"/>
              <w:right w:val="nil"/>
            </w:tcBorders>
            <w:shd w:val="clear" w:color="auto" w:fill="auto"/>
            <w:vAlign w:val="center"/>
          </w:tcPr>
          <w:p w14:paraId="156C1E0B">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 Hypertension (%)</w:t>
            </w:r>
          </w:p>
        </w:tc>
        <w:tc>
          <w:tcPr>
            <w:tcW w:w="2120" w:type="dxa"/>
            <w:tcBorders>
              <w:top w:val="single" w:color="auto" w:sz="4" w:space="0"/>
              <w:left w:val="nil"/>
              <w:bottom w:val="single" w:color="auto" w:sz="4" w:space="0"/>
              <w:right w:val="nil"/>
            </w:tcBorders>
            <w:shd w:val="clear" w:color="auto" w:fill="auto"/>
            <w:vAlign w:val="center"/>
          </w:tcPr>
          <w:p w14:paraId="6FC9534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Hypertension (%)</w:t>
            </w:r>
          </w:p>
        </w:tc>
      </w:tr>
      <w:tr w14:paraId="329433BB">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1F97EB2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High</w:t>
            </w:r>
          </w:p>
        </w:tc>
        <w:tc>
          <w:tcPr>
            <w:tcW w:w="2020" w:type="dxa"/>
            <w:tcBorders>
              <w:top w:val="nil"/>
              <w:left w:val="nil"/>
              <w:bottom w:val="nil"/>
              <w:right w:val="nil"/>
            </w:tcBorders>
            <w:shd w:val="clear" w:color="auto" w:fill="auto"/>
            <w:vAlign w:val="center"/>
          </w:tcPr>
          <w:p w14:paraId="2225763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45.52%</w:t>
            </w:r>
          </w:p>
        </w:tc>
        <w:tc>
          <w:tcPr>
            <w:tcW w:w="2120" w:type="dxa"/>
            <w:tcBorders>
              <w:top w:val="nil"/>
              <w:left w:val="nil"/>
              <w:bottom w:val="nil"/>
              <w:right w:val="nil"/>
            </w:tcBorders>
            <w:shd w:val="clear" w:color="auto" w:fill="auto"/>
            <w:vAlign w:val="center"/>
          </w:tcPr>
          <w:p w14:paraId="1235BCA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54.48%</w:t>
            </w:r>
          </w:p>
        </w:tc>
      </w:tr>
      <w:tr w14:paraId="17D521DB">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7A91629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Low</w:t>
            </w:r>
          </w:p>
        </w:tc>
        <w:tc>
          <w:tcPr>
            <w:tcW w:w="2020" w:type="dxa"/>
            <w:tcBorders>
              <w:top w:val="nil"/>
              <w:left w:val="nil"/>
              <w:bottom w:val="nil"/>
              <w:right w:val="nil"/>
            </w:tcBorders>
            <w:shd w:val="clear" w:color="auto" w:fill="auto"/>
            <w:vAlign w:val="center"/>
          </w:tcPr>
          <w:p w14:paraId="367F92D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49.57%</w:t>
            </w:r>
          </w:p>
        </w:tc>
        <w:tc>
          <w:tcPr>
            <w:tcW w:w="2120" w:type="dxa"/>
            <w:tcBorders>
              <w:top w:val="nil"/>
              <w:left w:val="nil"/>
              <w:bottom w:val="nil"/>
              <w:right w:val="nil"/>
            </w:tcBorders>
            <w:shd w:val="clear" w:color="auto" w:fill="auto"/>
            <w:vAlign w:val="center"/>
          </w:tcPr>
          <w:p w14:paraId="5731429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50.43%</w:t>
            </w:r>
          </w:p>
        </w:tc>
      </w:tr>
      <w:tr w14:paraId="04F367D9">
        <w:tblPrEx>
          <w:tblCellMar>
            <w:top w:w="0" w:type="dxa"/>
            <w:left w:w="108" w:type="dxa"/>
            <w:bottom w:w="0" w:type="dxa"/>
            <w:right w:w="108" w:type="dxa"/>
          </w:tblCellMar>
        </w:tblPrEx>
        <w:trPr>
          <w:trHeight w:val="300" w:hRule="atLeast"/>
        </w:trPr>
        <w:tc>
          <w:tcPr>
            <w:tcW w:w="1580" w:type="dxa"/>
            <w:tcBorders>
              <w:top w:val="nil"/>
              <w:left w:val="nil"/>
              <w:bottom w:val="single" w:color="auto" w:sz="4" w:space="0"/>
              <w:right w:val="nil"/>
            </w:tcBorders>
            <w:shd w:val="clear" w:color="auto" w:fill="auto"/>
            <w:vAlign w:val="center"/>
          </w:tcPr>
          <w:p w14:paraId="6680977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Moderate</w:t>
            </w:r>
          </w:p>
        </w:tc>
        <w:tc>
          <w:tcPr>
            <w:tcW w:w="2020" w:type="dxa"/>
            <w:tcBorders>
              <w:top w:val="nil"/>
              <w:left w:val="nil"/>
              <w:bottom w:val="single" w:color="auto" w:sz="4" w:space="0"/>
              <w:right w:val="nil"/>
            </w:tcBorders>
            <w:shd w:val="clear" w:color="auto" w:fill="auto"/>
            <w:vAlign w:val="center"/>
          </w:tcPr>
          <w:p w14:paraId="6E3F7FF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47.26%</w:t>
            </w:r>
          </w:p>
        </w:tc>
        <w:tc>
          <w:tcPr>
            <w:tcW w:w="2120" w:type="dxa"/>
            <w:tcBorders>
              <w:top w:val="nil"/>
              <w:left w:val="nil"/>
              <w:bottom w:val="single" w:color="auto" w:sz="4" w:space="0"/>
              <w:right w:val="nil"/>
            </w:tcBorders>
            <w:shd w:val="clear" w:color="auto" w:fill="auto"/>
            <w:vAlign w:val="center"/>
          </w:tcPr>
          <w:p w14:paraId="151C97A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52.74%</w:t>
            </w:r>
          </w:p>
        </w:tc>
      </w:tr>
    </w:tbl>
    <w:p w14:paraId="5D9E199A">
      <w:pPr>
        <w:spacing w:line="360" w:lineRule="auto"/>
        <w:jc w:val="both"/>
        <w:rPr>
          <w:rFonts w:hint="default" w:eastAsia="Times New Roman" w:cs="Times New Roman" w:asciiTheme="minorAscii" w:hAnsiTheme="minorAscii"/>
          <w:b/>
          <w:bCs/>
          <w:sz w:val="22"/>
          <w:szCs w:val="22"/>
        </w:rPr>
      </w:pPr>
    </w:p>
    <w:p w14:paraId="2E891AB5">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18</w:t>
      </w:r>
      <w:r>
        <w:rPr>
          <w:rFonts w:hint="default" w:eastAsia="Times New Roman" w:cs="Times New Roman" w:asciiTheme="minorAscii" w:hAnsiTheme="minorAscii"/>
          <w:b/>
          <w:bCs/>
          <w:sz w:val="22"/>
          <w:szCs w:val="22"/>
        </w:rPr>
        <w:t>: Distribution of Exercise Level by Hypertension Status</w:t>
      </w:r>
    </w:p>
    <w:p w14:paraId="02AFFF1C">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1177"/>
        <w:gridCol w:w="1826"/>
        <w:gridCol w:w="1122"/>
        <w:gridCol w:w="1576"/>
      </w:tblGrid>
      <w:tr w14:paraId="579BD315">
        <w:tblPrEx>
          <w:tblCellMar>
            <w:top w:w="0" w:type="dxa"/>
            <w:left w:w="0" w:type="dxa"/>
            <w:bottom w:w="0" w:type="dxa"/>
            <w:right w:w="0" w:type="dxa"/>
          </w:tblCellMar>
        </w:tblPrEx>
        <w:trPr>
          <w:tblHeader/>
        </w:trPr>
        <w:tc>
          <w:tcPr>
            <w:tcW w:w="0" w:type="auto"/>
            <w:gridSpan w:val="4"/>
            <w:tcBorders>
              <w:top w:val="nil"/>
              <w:left w:val="nil"/>
              <w:bottom w:val="single" w:color="000000" w:sz="6" w:space="0"/>
              <w:right w:val="nil"/>
            </w:tcBorders>
            <w:tcMar>
              <w:top w:w="90" w:type="dxa"/>
              <w:left w:w="0" w:type="dxa"/>
              <w:bottom w:w="90" w:type="dxa"/>
              <w:right w:w="150" w:type="dxa"/>
            </w:tcMar>
            <w:vAlign w:val="center"/>
          </w:tcPr>
          <w:p w14:paraId="356DFD5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Chi-Squared Tests</w:t>
            </w:r>
            <w:r>
              <w:rPr>
                <w:rFonts w:hint="default" w:eastAsia="Times New Roman" w:asciiTheme="minorAscii" w:hAnsiTheme="minorAscii"/>
                <w:color w:val="000000"/>
                <w:sz w:val="22"/>
                <w:szCs w:val="22"/>
              </w:rPr>
              <w:t xml:space="preserve"> </w:t>
            </w:r>
          </w:p>
        </w:tc>
      </w:tr>
      <w:tr w14:paraId="55BF29E8">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0FFDB17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28EA84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5D9A70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9E949C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r>
      <w:tr w14:paraId="682E474D">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1B79D5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Χ²</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C1C20A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2.030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7E1E28F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615AA2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.362</w:t>
            </w:r>
          </w:p>
        </w:tc>
      </w:tr>
      <w:tr w14:paraId="1276D719">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527255B3">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N</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74E901E">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BFB8B70">
            <w:pPr>
              <w:spacing w:after="144" w:line="240" w:lineRule="auto"/>
              <w:jc w:val="both"/>
              <w:rPr>
                <w:rFonts w:hint="default" w:eastAsia="Times New Roman" w:asciiTheme="minorAscii" w:hAnsiTheme="minorAscii"/>
                <w:color w:val="000000"/>
                <w:sz w:val="22"/>
                <w:szCs w:val="22"/>
              </w:rPr>
            </w:pP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2C213EE6">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r>
      <w:tr w14:paraId="066A949E">
        <w:tblPrEx>
          <w:tblCellMar>
            <w:top w:w="0" w:type="dxa"/>
            <w:left w:w="0" w:type="dxa"/>
            <w:bottom w:w="0" w:type="dxa"/>
            <w:right w:w="0" w:type="dxa"/>
          </w:tblCellMar>
        </w:tblPrEx>
        <w:tc>
          <w:tcPr>
            <w:tcW w:w="0" w:type="auto"/>
            <w:gridSpan w:val="4"/>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74268FE1">
            <w:pPr>
              <w:spacing w:after="144" w:line="240" w:lineRule="auto"/>
              <w:jc w:val="both"/>
              <w:rPr>
                <w:rFonts w:hint="default" w:eastAsia="Times New Roman" w:asciiTheme="minorAscii" w:hAnsiTheme="minorAscii"/>
                <w:color w:val="000000"/>
                <w:sz w:val="22"/>
                <w:szCs w:val="22"/>
              </w:rPr>
            </w:pPr>
          </w:p>
        </w:tc>
      </w:tr>
      <w:tr w14:paraId="00A34D8E">
        <w:tblPrEx>
          <w:tblCellMar>
            <w:top w:w="0" w:type="dxa"/>
            <w:left w:w="0" w:type="dxa"/>
            <w:bottom w:w="0" w:type="dxa"/>
            <w:right w:w="0" w:type="dxa"/>
          </w:tblCellMar>
        </w:tblPrEx>
        <w:tc>
          <w:tcPr>
            <w:tcW w:w="0" w:type="auto"/>
            <w:gridSpan w:val="4"/>
            <w:tcBorders>
              <w:top w:val="nil"/>
              <w:left w:val="nil"/>
              <w:bottom w:val="nil"/>
              <w:right w:val="nil"/>
            </w:tcBorders>
            <w:tcMar>
              <w:top w:w="15" w:type="dxa"/>
              <w:left w:w="0" w:type="dxa"/>
              <w:bottom w:w="45" w:type="dxa"/>
              <w:right w:w="180" w:type="dxa"/>
            </w:tcMar>
            <w:vAlign w:val="center"/>
          </w:tcPr>
          <w:p w14:paraId="41D417D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Note.</w:t>
            </w:r>
            <w:r>
              <w:rPr>
                <w:rFonts w:hint="default" w:eastAsia="Times New Roman" w:asciiTheme="minorAscii" w:hAnsiTheme="minorAscii"/>
                <w:color w:val="000000"/>
                <w:sz w:val="22"/>
                <w:szCs w:val="22"/>
              </w:rPr>
              <w:t xml:space="preserve">  Continuity correction is available only for 2x2 tables.</w:t>
            </w:r>
          </w:p>
        </w:tc>
      </w:tr>
    </w:tbl>
    <w:p w14:paraId="1D761C79">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19</w:t>
      </w:r>
      <w:r>
        <w:rPr>
          <w:rFonts w:hint="default" w:eastAsia="Times New Roman" w:cs="Times New Roman" w:asciiTheme="minorAscii" w:hAnsiTheme="minorAscii"/>
          <w:b/>
          <w:bCs/>
          <w:sz w:val="22"/>
          <w:szCs w:val="22"/>
        </w:rPr>
        <w:t>: Chi-Square Test of Association Between Exercise Level and Hypertension Status</w:t>
      </w:r>
    </w:p>
    <w:p w14:paraId="72E4C0E0">
      <w:pPr>
        <w:spacing w:line="360" w:lineRule="auto"/>
        <w:jc w:val="both"/>
        <w:rPr>
          <w:rFonts w:hint="default" w:eastAsia="Times New Roman" w:cs="Times New Roman" w:asciiTheme="minorAscii" w:hAnsiTheme="minorAscii"/>
          <w:bCs/>
          <w:sz w:val="22"/>
          <w:szCs w:val="22"/>
        </w:rPr>
      </w:pPr>
    </w:p>
    <w:p w14:paraId="15794518">
      <w:pPr>
        <w:spacing w:line="360" w:lineRule="auto"/>
        <w:jc w:val="both"/>
        <w:rPr>
          <w:rFonts w:hint="default" w:eastAsia="Times New Roman" w:cs="Times New Roman" w:asciiTheme="minorAscii" w:hAnsiTheme="minorAscii"/>
          <w:bCs/>
          <w:sz w:val="22"/>
          <w:szCs w:val="22"/>
        </w:rPr>
      </w:pPr>
    </w:p>
    <w:p w14:paraId="7D0A735D">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relationship between exercise level and hypertension status was assessed using a chi-square test of independence. The percentage distribution indicates only modest differences in hypertension prevalence across exercise categories. Participants with high exercise levels showed a hypertension prevalence of 54.48%, compared with 50.43% among those with low exercise levels and 52.74% among those with moderate exercise levels. Although the proportion appears slightly higher among highly active individuals, the differences are small and do not demonstrate a consistent pattern that would suggest either a protective or adverse effect of exercise level on hypertension.</w:t>
      </w:r>
    </w:p>
    <w:p w14:paraId="14F8BB90">
      <w:pPr>
        <w:spacing w:line="360" w:lineRule="auto"/>
        <w:jc w:val="both"/>
        <w:rPr>
          <w:rFonts w:hint="default" w:eastAsia="Times New Roman" w:cs="Times New Roman" w:asciiTheme="minorAscii" w:hAnsiTheme="minorAscii"/>
          <w:bCs/>
          <w:sz w:val="22"/>
          <w:szCs w:val="22"/>
        </w:rPr>
      </w:pPr>
    </w:p>
    <w:p w14:paraId="15CFA051">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chi-square test confirmed that these differences are not statistically significant (χ² = 2.030, df = 2, p = .362). This finding suggests that exercise level, as categorized in this dataset, is not independently associated with hypertension status. It is likely that the effect of physical activity on hypertension is moderated by other factors such as age, body mass index, medication use, and prior blood pressure history, reflecting the complex and </w:t>
      </w:r>
      <w:r>
        <w:rPr>
          <w:rFonts w:hint="eastAsia" w:cs="Times New Roman" w:asciiTheme="minorAscii" w:hAnsiTheme="minorAscii"/>
          <w:bCs/>
          <w:sz w:val="22"/>
          <w:szCs w:val="22"/>
          <w:lang w:eastAsia="ja-JP"/>
        </w:rPr>
        <w:t>multi-factorial</w:t>
      </w:r>
      <w:r>
        <w:rPr>
          <w:rFonts w:hint="default" w:eastAsia="Times New Roman" w:cs="Times New Roman" w:asciiTheme="minorAscii" w:hAnsiTheme="minorAscii"/>
          <w:bCs/>
          <w:sz w:val="22"/>
          <w:szCs w:val="22"/>
        </w:rPr>
        <w:t xml:space="preserve"> nature of hypertension.</w:t>
      </w:r>
    </w:p>
    <w:p w14:paraId="1578BBBC">
      <w:pPr>
        <w:spacing w:line="360" w:lineRule="auto"/>
        <w:jc w:val="both"/>
        <w:rPr>
          <w:rFonts w:hint="default" w:eastAsia="Times New Roman" w:cs="Times New Roman" w:asciiTheme="minorAscii" w:hAnsiTheme="minorAscii"/>
          <w:bCs/>
          <w:sz w:val="22"/>
          <w:szCs w:val="22"/>
        </w:rPr>
      </w:pPr>
    </w:p>
    <w:p w14:paraId="55C2C7F8">
      <w:pPr>
        <w:bidi w:val="0"/>
        <w:rPr>
          <w:rFonts w:hint="default"/>
          <w:sz w:val="22"/>
          <w:szCs w:val="22"/>
        </w:rPr>
      </w:pPr>
    </w:p>
    <w:p w14:paraId="052B328D">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Smoking on Hypertension.</w:t>
      </w:r>
    </w:p>
    <w:p w14:paraId="19B5A55E">
      <w:pPr>
        <w:spacing w:line="360" w:lineRule="auto"/>
        <w:jc w:val="both"/>
        <w:rPr>
          <w:rFonts w:hint="default" w:eastAsia="Times New Roman" w:cs="Times New Roman" w:asciiTheme="minorAscii" w:hAnsiTheme="minorAscii"/>
          <w:b/>
          <w:bCs/>
          <w:sz w:val="22"/>
          <w:szCs w:val="22"/>
        </w:rPr>
      </w:pPr>
    </w:p>
    <w:tbl>
      <w:tblPr>
        <w:tblStyle w:val="9"/>
        <w:tblW w:w="5720" w:type="dxa"/>
        <w:tblInd w:w="0" w:type="dxa"/>
        <w:tblLayout w:type="autofit"/>
        <w:tblCellMar>
          <w:top w:w="0" w:type="dxa"/>
          <w:left w:w="108" w:type="dxa"/>
          <w:bottom w:w="0" w:type="dxa"/>
          <w:right w:w="108" w:type="dxa"/>
        </w:tblCellMar>
      </w:tblPr>
      <w:tblGrid>
        <w:gridCol w:w="1580"/>
        <w:gridCol w:w="2020"/>
        <w:gridCol w:w="2120"/>
      </w:tblGrid>
      <w:tr w14:paraId="38A846D4">
        <w:tblPrEx>
          <w:tblCellMar>
            <w:top w:w="0" w:type="dxa"/>
            <w:left w:w="108" w:type="dxa"/>
            <w:bottom w:w="0" w:type="dxa"/>
            <w:right w:w="108" w:type="dxa"/>
          </w:tblCellMar>
        </w:tblPrEx>
        <w:trPr>
          <w:trHeight w:val="600" w:hRule="atLeast"/>
        </w:trPr>
        <w:tc>
          <w:tcPr>
            <w:tcW w:w="1580" w:type="dxa"/>
            <w:tcBorders>
              <w:top w:val="single" w:color="auto" w:sz="4" w:space="0"/>
              <w:left w:val="nil"/>
              <w:bottom w:val="single" w:color="auto" w:sz="4" w:space="0"/>
              <w:right w:val="nil"/>
            </w:tcBorders>
            <w:shd w:val="clear" w:color="auto" w:fill="auto"/>
            <w:vAlign w:val="center"/>
          </w:tcPr>
          <w:p w14:paraId="60424A55">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Smoking Status</w:t>
            </w:r>
          </w:p>
        </w:tc>
        <w:tc>
          <w:tcPr>
            <w:tcW w:w="2020" w:type="dxa"/>
            <w:tcBorders>
              <w:top w:val="single" w:color="auto" w:sz="4" w:space="0"/>
              <w:left w:val="nil"/>
              <w:bottom w:val="single" w:color="auto" w:sz="4" w:space="0"/>
              <w:right w:val="nil"/>
            </w:tcBorders>
            <w:shd w:val="clear" w:color="auto" w:fill="auto"/>
            <w:vAlign w:val="center"/>
          </w:tcPr>
          <w:p w14:paraId="6A2A9B55">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 Hypertension (%)</w:t>
            </w:r>
          </w:p>
        </w:tc>
        <w:tc>
          <w:tcPr>
            <w:tcW w:w="2120" w:type="dxa"/>
            <w:tcBorders>
              <w:top w:val="single" w:color="auto" w:sz="4" w:space="0"/>
              <w:left w:val="nil"/>
              <w:bottom w:val="single" w:color="auto" w:sz="4" w:space="0"/>
              <w:right w:val="nil"/>
            </w:tcBorders>
            <w:shd w:val="clear" w:color="auto" w:fill="auto"/>
            <w:vAlign w:val="center"/>
          </w:tcPr>
          <w:p w14:paraId="7F9600C3">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Hypertension (%)</w:t>
            </w:r>
          </w:p>
        </w:tc>
      </w:tr>
      <w:tr w14:paraId="066569C8">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2AB214F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Non-Smoker</w:t>
            </w:r>
          </w:p>
        </w:tc>
        <w:tc>
          <w:tcPr>
            <w:tcW w:w="2020" w:type="dxa"/>
            <w:tcBorders>
              <w:top w:val="nil"/>
              <w:left w:val="nil"/>
              <w:bottom w:val="nil"/>
              <w:right w:val="nil"/>
            </w:tcBorders>
            <w:shd w:val="clear" w:color="auto" w:fill="auto"/>
            <w:vAlign w:val="center"/>
          </w:tcPr>
          <w:p w14:paraId="0CDA714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56.00%</w:t>
            </w:r>
          </w:p>
        </w:tc>
        <w:tc>
          <w:tcPr>
            <w:tcW w:w="2120" w:type="dxa"/>
            <w:tcBorders>
              <w:top w:val="nil"/>
              <w:left w:val="nil"/>
              <w:bottom w:val="nil"/>
              <w:right w:val="nil"/>
            </w:tcBorders>
            <w:shd w:val="clear" w:color="auto" w:fill="auto"/>
            <w:vAlign w:val="center"/>
          </w:tcPr>
          <w:p w14:paraId="3338000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44.00%</w:t>
            </w:r>
          </w:p>
        </w:tc>
      </w:tr>
      <w:tr w14:paraId="77A583CE">
        <w:tblPrEx>
          <w:tblCellMar>
            <w:top w:w="0" w:type="dxa"/>
            <w:left w:w="108" w:type="dxa"/>
            <w:bottom w:w="0" w:type="dxa"/>
            <w:right w:w="108" w:type="dxa"/>
          </w:tblCellMar>
        </w:tblPrEx>
        <w:trPr>
          <w:trHeight w:val="300" w:hRule="atLeast"/>
        </w:trPr>
        <w:tc>
          <w:tcPr>
            <w:tcW w:w="1580" w:type="dxa"/>
            <w:tcBorders>
              <w:top w:val="nil"/>
              <w:left w:val="nil"/>
              <w:bottom w:val="single" w:color="auto" w:sz="4" w:space="0"/>
              <w:right w:val="nil"/>
            </w:tcBorders>
            <w:shd w:val="clear" w:color="auto" w:fill="auto"/>
            <w:vAlign w:val="center"/>
          </w:tcPr>
          <w:p w14:paraId="7B97C65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Smoker</w:t>
            </w:r>
          </w:p>
        </w:tc>
        <w:tc>
          <w:tcPr>
            <w:tcW w:w="2020" w:type="dxa"/>
            <w:tcBorders>
              <w:top w:val="nil"/>
              <w:left w:val="nil"/>
              <w:bottom w:val="single" w:color="auto" w:sz="4" w:space="0"/>
              <w:right w:val="nil"/>
            </w:tcBorders>
            <w:shd w:val="clear" w:color="auto" w:fill="auto"/>
            <w:vAlign w:val="center"/>
          </w:tcPr>
          <w:p w14:paraId="08A0E9A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28.17%</w:t>
            </w:r>
          </w:p>
        </w:tc>
        <w:tc>
          <w:tcPr>
            <w:tcW w:w="2120" w:type="dxa"/>
            <w:tcBorders>
              <w:top w:val="nil"/>
              <w:left w:val="nil"/>
              <w:bottom w:val="single" w:color="auto" w:sz="4" w:space="0"/>
              <w:right w:val="nil"/>
            </w:tcBorders>
            <w:shd w:val="clear" w:color="auto" w:fill="auto"/>
            <w:vAlign w:val="center"/>
          </w:tcPr>
          <w:p w14:paraId="20304A7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71.83%</w:t>
            </w:r>
          </w:p>
        </w:tc>
      </w:tr>
    </w:tbl>
    <w:p w14:paraId="27437779">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20</w:t>
      </w:r>
      <w:r>
        <w:rPr>
          <w:rFonts w:hint="default" w:eastAsia="Times New Roman" w:cs="Times New Roman" w:asciiTheme="minorAscii" w:hAnsiTheme="minorAscii"/>
          <w:b/>
          <w:bCs/>
          <w:sz w:val="22"/>
          <w:szCs w:val="22"/>
        </w:rPr>
        <w:t>: Distribution of Smoking Status by Hypertension Status</w:t>
      </w:r>
    </w:p>
    <w:p w14:paraId="11AB4191">
      <w:pPr>
        <w:spacing w:line="360" w:lineRule="auto"/>
        <w:jc w:val="both"/>
        <w:rPr>
          <w:rFonts w:hint="default" w:eastAsia="Times New Roman" w:cs="Times New Roman" w:asciiTheme="minorAscii" w:hAnsiTheme="minorAscii"/>
          <w:b/>
          <w:bCs/>
          <w:sz w:val="22"/>
          <w:szCs w:val="22"/>
        </w:rPr>
      </w:pPr>
    </w:p>
    <w:tbl>
      <w:tblPr>
        <w:tblStyle w:val="9"/>
        <w:tblW w:w="0" w:type="auto"/>
        <w:tblInd w:w="0" w:type="dxa"/>
        <w:tblLayout w:type="autofit"/>
        <w:tblCellMar>
          <w:top w:w="0" w:type="dxa"/>
          <w:left w:w="0" w:type="dxa"/>
          <w:bottom w:w="0" w:type="dxa"/>
          <w:right w:w="0" w:type="dxa"/>
        </w:tblCellMar>
      </w:tblPr>
      <w:tblGrid>
        <w:gridCol w:w="576"/>
        <w:gridCol w:w="893"/>
        <w:gridCol w:w="549"/>
        <w:gridCol w:w="941"/>
      </w:tblGrid>
      <w:tr w14:paraId="2220BE2D">
        <w:tblPrEx>
          <w:tblCellMar>
            <w:top w:w="0" w:type="dxa"/>
            <w:left w:w="0" w:type="dxa"/>
            <w:bottom w:w="0" w:type="dxa"/>
            <w:right w:w="0" w:type="dxa"/>
          </w:tblCellMar>
        </w:tblPrEx>
        <w:trPr>
          <w:tblHeader/>
        </w:trPr>
        <w:tc>
          <w:tcPr>
            <w:tcW w:w="0" w:type="auto"/>
            <w:gridSpan w:val="4"/>
            <w:tcBorders>
              <w:top w:val="nil"/>
              <w:left w:val="nil"/>
              <w:bottom w:val="single" w:color="000000" w:sz="6" w:space="0"/>
              <w:right w:val="nil"/>
            </w:tcBorders>
            <w:tcMar>
              <w:top w:w="90" w:type="dxa"/>
              <w:left w:w="0" w:type="dxa"/>
              <w:bottom w:w="90" w:type="dxa"/>
              <w:right w:w="150" w:type="dxa"/>
            </w:tcMar>
            <w:vAlign w:val="center"/>
          </w:tcPr>
          <w:p w14:paraId="2E237A8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Chi-Squared Tests</w:t>
            </w:r>
            <w:r>
              <w:rPr>
                <w:rFonts w:hint="default" w:eastAsia="Times New Roman" w:asciiTheme="minorAscii" w:hAnsiTheme="minorAscii"/>
                <w:color w:val="000000"/>
                <w:sz w:val="22"/>
                <w:szCs w:val="22"/>
              </w:rPr>
              <w:t xml:space="preserve"> </w:t>
            </w:r>
          </w:p>
        </w:tc>
      </w:tr>
      <w:tr w14:paraId="09E3A63D">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5D2C871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04810F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37BECA3D">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df</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D61541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r>
      <w:tr w14:paraId="14B87995">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7D6D284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Χ²</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FAE4B5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125.5</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C8DEB1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B8126C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&lt; .001</w:t>
            </w:r>
          </w:p>
        </w:tc>
      </w:tr>
      <w:tr w14:paraId="10201ED5">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41CF6D7">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N</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63641F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1985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4A8C77FE">
            <w:pPr>
              <w:spacing w:after="144" w:line="240" w:lineRule="auto"/>
              <w:jc w:val="both"/>
              <w:rPr>
                <w:rFonts w:hint="default" w:eastAsia="Times New Roman" w:asciiTheme="minorAscii" w:hAnsiTheme="minorAscii"/>
                <w:color w:val="000000"/>
                <w:sz w:val="22"/>
                <w:szCs w:val="22"/>
              </w:rPr>
            </w:pP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9E42305">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r>
      <w:tr w14:paraId="5B2ED77D">
        <w:tblPrEx>
          <w:tblCellMar>
            <w:top w:w="0" w:type="dxa"/>
            <w:left w:w="0" w:type="dxa"/>
            <w:bottom w:w="0" w:type="dxa"/>
            <w:right w:w="0" w:type="dxa"/>
          </w:tblCellMar>
        </w:tblPrEx>
        <w:tc>
          <w:tcPr>
            <w:tcW w:w="0" w:type="auto"/>
            <w:gridSpan w:val="4"/>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3B4B84B5">
            <w:pPr>
              <w:spacing w:after="144" w:line="240" w:lineRule="auto"/>
              <w:jc w:val="both"/>
              <w:rPr>
                <w:rFonts w:hint="default" w:eastAsia="Times New Roman" w:asciiTheme="minorAscii" w:hAnsiTheme="minorAscii"/>
                <w:color w:val="000000"/>
                <w:sz w:val="22"/>
                <w:szCs w:val="22"/>
              </w:rPr>
            </w:pPr>
          </w:p>
        </w:tc>
      </w:tr>
    </w:tbl>
    <w:p w14:paraId="7ED833EB">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Table </w:t>
      </w:r>
      <w:r>
        <w:rPr>
          <w:rFonts w:hint="eastAsia" w:cs="Times New Roman" w:asciiTheme="minorAscii" w:hAnsiTheme="minorAscii"/>
          <w:b/>
          <w:bCs/>
          <w:sz w:val="22"/>
          <w:szCs w:val="22"/>
          <w:lang w:val="en-US" w:eastAsia="ja-JP"/>
        </w:rPr>
        <w:t>21</w:t>
      </w:r>
      <w:r>
        <w:rPr>
          <w:rFonts w:hint="default" w:eastAsia="Times New Roman" w:cs="Times New Roman" w:asciiTheme="minorAscii" w:hAnsiTheme="minorAscii"/>
          <w:b/>
          <w:bCs/>
          <w:sz w:val="22"/>
          <w:szCs w:val="22"/>
        </w:rPr>
        <w:t>: Chi-Square Test of Association Between Smoking Status and Hypertension</w:t>
      </w:r>
    </w:p>
    <w:p w14:paraId="1199164C">
      <w:pPr>
        <w:spacing w:line="360" w:lineRule="auto"/>
        <w:jc w:val="both"/>
        <w:rPr>
          <w:rFonts w:hint="default" w:eastAsia="Times New Roman" w:cs="Times New Roman" w:asciiTheme="minorAscii" w:hAnsiTheme="minorAscii"/>
          <w:bCs/>
          <w:sz w:val="22"/>
          <w:szCs w:val="22"/>
        </w:rPr>
      </w:pPr>
    </w:p>
    <w:p w14:paraId="103D9197">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association between smoking status and hypertension was examined using a chi-square test of independence, revealing a clear and statistically significant relationship. The percentage distribution shows that hypertension is substantially more prevalent among smokers (71.83%) compared with non-smokers (44.00%). Conversely, a much higher proportion of non-smokers fall within the non-hypertensive category (56.00%) relative to smokers (28.17%). This marked contrast indicates that smoking is strongly associated with elevated hypertension risk in the study population.</w:t>
      </w:r>
    </w:p>
    <w:p w14:paraId="28E5D7DA">
      <w:pPr>
        <w:spacing w:line="360" w:lineRule="auto"/>
        <w:jc w:val="both"/>
        <w:rPr>
          <w:rFonts w:hint="default" w:eastAsia="Times New Roman" w:cs="Times New Roman" w:asciiTheme="minorAscii" w:hAnsiTheme="minorAscii"/>
          <w:bCs/>
          <w:sz w:val="22"/>
          <w:szCs w:val="22"/>
        </w:rPr>
      </w:pPr>
    </w:p>
    <w:p w14:paraId="3D899CC3">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chi-square test confirms that this difference is not due to random variation (χ² = 125.5, df = 1, p &lt; .001). These findings align with existing evidence that smoking contributes to vascular damage, increased arterial stiffness, and dysregulation of blood pressure. Overall, the results underscore smoking as a significant </w:t>
      </w:r>
      <w:r>
        <w:rPr>
          <w:rFonts w:hint="eastAsia" w:cs="Times New Roman" w:asciiTheme="minorAscii" w:hAnsiTheme="minorAscii"/>
          <w:bCs/>
          <w:sz w:val="22"/>
          <w:szCs w:val="22"/>
          <w:lang w:eastAsia="ja-JP"/>
        </w:rPr>
        <w:t>behavioral</w:t>
      </w:r>
      <w:r>
        <w:rPr>
          <w:rFonts w:hint="default" w:eastAsia="Times New Roman" w:cs="Times New Roman" w:asciiTheme="minorAscii" w:hAnsiTheme="minorAscii"/>
          <w:bCs/>
          <w:sz w:val="22"/>
          <w:szCs w:val="22"/>
        </w:rPr>
        <w:t xml:space="preserve"> risk factor for hypertension and highlight the importance of smoking cessation strategies in hypertension prevention and control.</w:t>
      </w:r>
    </w:p>
    <w:p w14:paraId="2A9760DF">
      <w:pPr>
        <w:spacing w:line="360" w:lineRule="auto"/>
        <w:jc w:val="both"/>
        <w:rPr>
          <w:rFonts w:hint="default" w:eastAsia="Times New Roman" w:cs="Times New Roman" w:asciiTheme="minorAscii" w:hAnsiTheme="minorAscii"/>
          <w:bCs/>
          <w:sz w:val="22"/>
          <w:szCs w:val="22"/>
        </w:rPr>
      </w:pPr>
      <w:bookmarkStart w:id="1" w:name="_GoBack"/>
      <w:bookmarkEnd w:id="1"/>
    </w:p>
    <w:p w14:paraId="31A40608">
      <w:pPr>
        <w:spacing w:line="360" w:lineRule="auto"/>
        <w:jc w:val="both"/>
        <w:rPr>
          <w:rFonts w:hint="default" w:eastAsia="Times New Roman" w:cs="Times New Roman" w:asciiTheme="minorAscii" w:hAnsiTheme="minorAscii"/>
          <w:bCs/>
          <w:sz w:val="22"/>
          <w:szCs w:val="22"/>
        </w:rPr>
      </w:pPr>
    </w:p>
    <w:p w14:paraId="104E2E0E">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Confirmatory Factor Analysis </w:t>
      </w:r>
    </w:p>
    <w:tbl>
      <w:tblPr>
        <w:tblStyle w:val="9"/>
        <w:tblW w:w="0" w:type="auto"/>
        <w:tblInd w:w="0" w:type="dxa"/>
        <w:tblLayout w:type="autofit"/>
        <w:tblCellMar>
          <w:top w:w="0" w:type="dxa"/>
          <w:left w:w="0" w:type="dxa"/>
          <w:bottom w:w="0" w:type="dxa"/>
          <w:right w:w="0" w:type="dxa"/>
        </w:tblCellMar>
      </w:tblPr>
      <w:tblGrid>
        <w:gridCol w:w="1078"/>
        <w:gridCol w:w="1576"/>
        <w:gridCol w:w="1189"/>
        <w:gridCol w:w="1147"/>
        <w:gridCol w:w="991"/>
        <w:gridCol w:w="771"/>
        <w:gridCol w:w="1226"/>
        <w:gridCol w:w="1201"/>
      </w:tblGrid>
      <w:tr w14:paraId="6BBDD7D8">
        <w:tblPrEx>
          <w:tblCellMar>
            <w:top w:w="0" w:type="dxa"/>
            <w:left w:w="0" w:type="dxa"/>
            <w:bottom w:w="0" w:type="dxa"/>
            <w:right w:w="0" w:type="dxa"/>
          </w:tblCellMar>
        </w:tblPrEx>
        <w:trPr>
          <w:tblHeader/>
        </w:trPr>
        <w:tc>
          <w:tcPr>
            <w:tcW w:w="0" w:type="auto"/>
            <w:gridSpan w:val="8"/>
            <w:tcBorders>
              <w:top w:val="nil"/>
              <w:left w:val="nil"/>
              <w:bottom w:val="single" w:color="000000" w:sz="6" w:space="0"/>
              <w:right w:val="nil"/>
            </w:tcBorders>
            <w:tcMar>
              <w:top w:w="90" w:type="dxa"/>
              <w:left w:w="0" w:type="dxa"/>
              <w:bottom w:w="90" w:type="dxa"/>
              <w:right w:w="150" w:type="dxa"/>
            </w:tcMar>
            <w:vAlign w:val="center"/>
          </w:tcPr>
          <w:p w14:paraId="72D4E0B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Factor loadings</w:t>
            </w:r>
            <w:r>
              <w:rPr>
                <w:rFonts w:hint="default" w:eastAsia="Times New Roman" w:asciiTheme="minorAscii" w:hAnsiTheme="minorAscii"/>
                <w:color w:val="000000"/>
                <w:sz w:val="22"/>
                <w:szCs w:val="22"/>
              </w:rPr>
              <w:t xml:space="preserve"> </w:t>
            </w:r>
          </w:p>
        </w:tc>
      </w:tr>
      <w:tr w14:paraId="0C75812E">
        <w:tblPrEx>
          <w:tblCellMar>
            <w:top w:w="0" w:type="dxa"/>
            <w:left w:w="0" w:type="dxa"/>
            <w:bottom w:w="0" w:type="dxa"/>
            <w:right w:w="0" w:type="dxa"/>
          </w:tblCellMar>
        </w:tblPrEx>
        <w:trPr>
          <w:tblHeader/>
        </w:trPr>
        <w:tc>
          <w:tcPr>
            <w:tcW w:w="0" w:type="auto"/>
            <w:gridSpan w:val="6"/>
            <w:tcBorders>
              <w:top w:val="nil"/>
              <w:left w:val="nil"/>
              <w:bottom w:val="nil"/>
              <w:right w:val="nil"/>
            </w:tcBorders>
            <w:tcMar>
              <w:top w:w="45" w:type="dxa"/>
              <w:left w:w="180" w:type="dxa"/>
              <w:bottom w:w="45" w:type="dxa"/>
              <w:right w:w="180" w:type="dxa"/>
            </w:tcMar>
            <w:vAlign w:val="center"/>
          </w:tcPr>
          <w:p w14:paraId="6D0E73F9">
            <w:pPr>
              <w:spacing w:line="240" w:lineRule="auto"/>
              <w:jc w:val="both"/>
              <w:rPr>
                <w:rFonts w:hint="default" w:eastAsia="Times New Roman" w:asciiTheme="minorAscii" w:hAnsiTheme="minorAscii"/>
                <w:color w:val="000000"/>
                <w:sz w:val="22"/>
                <w:szCs w:val="22"/>
              </w:rPr>
            </w:pPr>
          </w:p>
        </w:tc>
        <w:tc>
          <w:tcPr>
            <w:tcW w:w="0" w:type="auto"/>
            <w:gridSpan w:val="2"/>
            <w:tcBorders>
              <w:top w:val="nil"/>
              <w:left w:val="nil"/>
              <w:bottom w:val="single" w:color="000000" w:sz="6" w:space="0"/>
              <w:right w:val="nil"/>
            </w:tcBorders>
            <w:tcMar>
              <w:top w:w="45" w:type="dxa"/>
              <w:left w:w="180" w:type="dxa"/>
              <w:bottom w:w="45" w:type="dxa"/>
              <w:right w:w="180" w:type="dxa"/>
            </w:tcMar>
            <w:vAlign w:val="center"/>
          </w:tcPr>
          <w:p w14:paraId="5E84170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95% Confidence Interval</w:t>
            </w:r>
          </w:p>
        </w:tc>
      </w:tr>
      <w:tr w14:paraId="48DF6E94">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12E9765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16CA22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Indicator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5F9633E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Estimate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052B895">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Std. Error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07FE96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z-value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662A9E0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BFDBC4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Lower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02BBC3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Upper</w:t>
            </w:r>
          </w:p>
        </w:tc>
      </w:tr>
      <w:tr w14:paraId="73508258">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EA2083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 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6923229D">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BMI</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03F3D70D">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C8DC46C">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0.000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5B52DA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2A4AE3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72BC525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DAEBB3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r>
      <w:tr w14:paraId="2E794AB1">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2A55C9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4CDEA33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Salt Intake</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14284708">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0.386</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839AD6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0.398</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7BE752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0.970</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0A0409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.332</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0EDBA7C5">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-0.394</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1BBFF72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1.166</w:t>
            </w:r>
          </w:p>
        </w:tc>
      </w:tr>
      <w:tr w14:paraId="2E90AD12">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7E3332A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0D2A2B8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Exercise Level</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25D46FD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-0.092</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61D3AC33">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0.117</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10820E9A">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-0.782</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6876D6E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.434</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321F352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-0.322</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7247262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0.138</w:t>
            </w:r>
          </w:p>
        </w:tc>
      </w:tr>
      <w:tr w14:paraId="79F61984">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F4C56D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 2</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2EAC650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Stress Score</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26AB843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1CFD3729">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0.000</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939E44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CF857F4">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5E5320C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61C625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1.000</w:t>
            </w:r>
          </w:p>
        </w:tc>
      </w:tr>
      <w:tr w14:paraId="2CD9C31B">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713DE2B3">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 </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6E2ECFB5">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Sleep Duration</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14E33523">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0.761</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6B7A4638">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0.926</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4CE4CFA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0.821</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00FDFB94">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.411</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2AA9171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-1.054</w:t>
            </w:r>
          </w:p>
        </w:tc>
        <w:tc>
          <w:tcPr>
            <w:tcW w:w="0" w:type="auto"/>
            <w:tcBorders>
              <w:top w:val="nil"/>
              <w:left w:val="nil"/>
              <w:bottom w:val="nil"/>
              <w:right w:val="nil"/>
            </w:tcBorders>
            <w:shd w:val="clear" w:color="auto" w:fill="FFFFFF"/>
            <w:tcMar>
              <w:top w:w="15" w:type="dxa"/>
              <w:left w:w="180" w:type="dxa"/>
              <w:bottom w:w="45" w:type="dxa"/>
              <w:right w:w="180" w:type="dxa"/>
            </w:tcMar>
            <w:vAlign w:val="center"/>
          </w:tcPr>
          <w:p w14:paraId="33E6806E">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2.576</w:t>
            </w:r>
          </w:p>
        </w:tc>
      </w:tr>
      <w:tr w14:paraId="6B08901C">
        <w:tblPrEx>
          <w:tblCellMar>
            <w:top w:w="0" w:type="dxa"/>
            <w:left w:w="0" w:type="dxa"/>
            <w:bottom w:w="0" w:type="dxa"/>
            <w:right w:w="0" w:type="dxa"/>
          </w:tblCellMar>
        </w:tblPrEx>
        <w:tc>
          <w:tcPr>
            <w:tcW w:w="0" w:type="auto"/>
            <w:gridSpan w:val="8"/>
            <w:tcBorders>
              <w:top w:val="nil"/>
              <w:left w:val="nil"/>
              <w:bottom w:val="single" w:color="000000" w:sz="6" w:space="0"/>
              <w:right w:val="nil"/>
            </w:tcBorders>
            <w:shd w:val="clear" w:color="auto" w:fill="EBEBEB"/>
            <w:tcMar>
              <w:top w:w="15" w:type="dxa"/>
              <w:left w:w="180" w:type="dxa"/>
              <w:bottom w:w="45" w:type="dxa"/>
              <w:right w:w="180" w:type="dxa"/>
            </w:tcMar>
            <w:vAlign w:val="center"/>
          </w:tcPr>
          <w:p w14:paraId="391EBB69">
            <w:pPr>
              <w:spacing w:after="144" w:line="240" w:lineRule="auto"/>
              <w:jc w:val="both"/>
              <w:rPr>
                <w:rFonts w:hint="default" w:eastAsia="Times New Roman" w:asciiTheme="minorAscii" w:hAnsiTheme="minorAscii"/>
                <w:color w:val="000000"/>
                <w:sz w:val="22"/>
                <w:szCs w:val="22"/>
              </w:rPr>
            </w:pPr>
          </w:p>
        </w:tc>
      </w:tr>
    </w:tbl>
    <w:p w14:paraId="2513BC64">
      <w:pPr>
        <w:spacing w:line="360" w:lineRule="auto"/>
        <w:jc w:val="both"/>
        <w:rPr>
          <w:rFonts w:hint="default" w:eastAsia="Times New Roman" w:cs="Times New Roman" w:asciiTheme="minorAscii" w:hAnsiTheme="minorAscii"/>
          <w:bCs/>
          <w:sz w:val="22"/>
          <w:szCs w:val="22"/>
        </w:rPr>
      </w:pPr>
    </w:p>
    <w:p w14:paraId="6BE1674D">
      <w:pPr>
        <w:spacing w:line="360" w:lineRule="auto"/>
        <w:jc w:val="both"/>
        <w:rPr>
          <w:rFonts w:hint="default" w:eastAsia="Times New Roman" w:cs="Times New Roman" w:asciiTheme="minorAscii" w:hAnsiTheme="minorAscii"/>
          <w:b/>
          <w:bCs w:val="0"/>
          <w:sz w:val="22"/>
          <w:szCs w:val="22"/>
        </w:rPr>
      </w:pPr>
      <w:r>
        <w:rPr>
          <w:rFonts w:hint="default" w:eastAsia="Times New Roman" w:cs="Times New Roman" w:asciiTheme="minorAscii" w:hAnsiTheme="minorAscii"/>
          <w:b/>
          <w:bCs w:val="0"/>
          <w:sz w:val="22"/>
          <w:szCs w:val="22"/>
        </w:rPr>
        <w:t xml:space="preserve">Table </w:t>
      </w:r>
      <w:r>
        <w:rPr>
          <w:rFonts w:hint="eastAsia" w:cs="Times New Roman" w:asciiTheme="minorAscii" w:hAnsiTheme="minorAscii"/>
          <w:b/>
          <w:bCs w:val="0"/>
          <w:sz w:val="22"/>
          <w:szCs w:val="22"/>
          <w:lang w:val="en-US" w:eastAsia="ja-JP"/>
        </w:rPr>
        <w:t>22</w:t>
      </w:r>
      <w:r>
        <w:rPr>
          <w:rFonts w:hint="default" w:eastAsia="Times New Roman" w:cs="Times New Roman" w:asciiTheme="minorAscii" w:hAnsiTheme="minorAscii"/>
          <w:b/>
          <w:bCs w:val="0"/>
          <w:sz w:val="22"/>
          <w:szCs w:val="22"/>
        </w:rPr>
        <w:t xml:space="preserve">: Confirmatory Factor Analysis – Factor </w:t>
      </w:r>
      <w:r>
        <w:rPr>
          <w:rFonts w:hint="eastAsia" w:cs="Times New Roman" w:asciiTheme="minorAscii" w:hAnsiTheme="minorAscii"/>
          <w:b/>
          <w:bCs w:val="0"/>
          <w:sz w:val="22"/>
          <w:szCs w:val="22"/>
          <w:lang w:eastAsia="ja-JP"/>
        </w:rPr>
        <w:t>Loading</w:t>
      </w:r>
      <w:r>
        <w:rPr>
          <w:rFonts w:hint="default" w:eastAsia="Times New Roman" w:cs="Times New Roman" w:asciiTheme="minorAscii" w:hAnsiTheme="minorAscii"/>
          <w:b/>
          <w:bCs w:val="0"/>
          <w:sz w:val="22"/>
          <w:szCs w:val="22"/>
        </w:rPr>
        <w:t xml:space="preserve"> for Physiological and </w:t>
      </w:r>
      <w:r>
        <w:rPr>
          <w:rFonts w:hint="eastAsia" w:cs="Times New Roman" w:asciiTheme="minorAscii" w:hAnsiTheme="minorAscii"/>
          <w:b/>
          <w:bCs w:val="0"/>
          <w:sz w:val="22"/>
          <w:szCs w:val="22"/>
          <w:lang w:eastAsia="ja-JP"/>
        </w:rPr>
        <w:t>Psycho-social</w:t>
      </w:r>
      <w:r>
        <w:rPr>
          <w:rFonts w:hint="default" w:eastAsia="Times New Roman" w:cs="Times New Roman" w:asciiTheme="minorAscii" w:hAnsiTheme="minorAscii"/>
          <w:b/>
          <w:bCs w:val="0"/>
          <w:sz w:val="22"/>
          <w:szCs w:val="22"/>
        </w:rPr>
        <w:t xml:space="preserve"> Indicators</w:t>
      </w:r>
    </w:p>
    <w:p w14:paraId="4BE028E8">
      <w:pPr>
        <w:spacing w:line="360" w:lineRule="auto"/>
        <w:jc w:val="both"/>
        <w:rPr>
          <w:rFonts w:hint="default" w:eastAsia="Times New Roman" w:cs="Times New Roman" w:asciiTheme="minorAscii" w:hAnsiTheme="minorAscii"/>
          <w:b/>
          <w:bCs w:val="0"/>
          <w:sz w:val="22"/>
          <w:szCs w:val="22"/>
        </w:rPr>
      </w:pPr>
    </w:p>
    <w:p w14:paraId="60CD6E82">
      <w:pPr>
        <w:spacing w:line="360" w:lineRule="auto"/>
        <w:jc w:val="both"/>
        <w:rPr>
          <w:rFonts w:hint="default" w:eastAsia="Times New Roman" w:cs="Times New Roman" w:asciiTheme="minorAscii" w:hAnsiTheme="minorAscii"/>
          <w:b/>
          <w:bCs w:val="0"/>
          <w:sz w:val="22"/>
          <w:szCs w:val="22"/>
        </w:rPr>
      </w:pPr>
    </w:p>
    <w:p w14:paraId="0ECD9128">
      <w:pPr>
        <w:spacing w:line="360" w:lineRule="auto"/>
        <w:jc w:val="both"/>
        <w:rPr>
          <w:rFonts w:hint="default" w:eastAsia="Times New Roman" w:cs="Times New Roman" w:asciiTheme="minorAscii" w:hAnsiTheme="minorAscii"/>
          <w:bCs/>
          <w:sz w:val="22"/>
          <w:szCs w:val="22"/>
        </w:rPr>
      </w:pPr>
    </w:p>
    <w:tbl>
      <w:tblPr>
        <w:tblStyle w:val="9"/>
        <w:tblW w:w="0" w:type="auto"/>
        <w:tblInd w:w="0" w:type="dxa"/>
        <w:tblLayout w:type="autofit"/>
        <w:tblCellMar>
          <w:top w:w="0" w:type="dxa"/>
          <w:left w:w="0" w:type="dxa"/>
          <w:bottom w:w="0" w:type="dxa"/>
          <w:right w:w="0" w:type="dxa"/>
        </w:tblCellMar>
      </w:tblPr>
      <w:tblGrid>
        <w:gridCol w:w="1135"/>
        <w:gridCol w:w="1189"/>
        <w:gridCol w:w="1276"/>
        <w:gridCol w:w="1040"/>
        <w:gridCol w:w="771"/>
        <w:gridCol w:w="1359"/>
        <w:gridCol w:w="1330"/>
      </w:tblGrid>
      <w:tr w14:paraId="0AE8376B">
        <w:tblPrEx>
          <w:tblCellMar>
            <w:top w:w="0" w:type="dxa"/>
            <w:left w:w="0" w:type="dxa"/>
            <w:bottom w:w="0" w:type="dxa"/>
            <w:right w:w="0" w:type="dxa"/>
          </w:tblCellMar>
        </w:tblPrEx>
        <w:trPr>
          <w:tblHeader/>
        </w:trPr>
        <w:tc>
          <w:tcPr>
            <w:tcW w:w="0" w:type="auto"/>
            <w:gridSpan w:val="7"/>
            <w:tcBorders>
              <w:top w:val="nil"/>
              <w:left w:val="nil"/>
              <w:bottom w:val="single" w:color="000000" w:sz="6" w:space="0"/>
              <w:right w:val="nil"/>
            </w:tcBorders>
            <w:tcMar>
              <w:top w:w="90" w:type="dxa"/>
              <w:left w:w="0" w:type="dxa"/>
              <w:bottom w:w="90" w:type="dxa"/>
              <w:right w:w="150" w:type="dxa"/>
            </w:tcMar>
            <w:vAlign w:val="center"/>
          </w:tcPr>
          <w:p w14:paraId="5EC3718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i/>
                <w:iCs/>
                <w:color w:val="000000"/>
                <w:sz w:val="22"/>
                <w:szCs w:val="22"/>
              </w:rPr>
              <w:t>Factor variances</w:t>
            </w:r>
            <w:r>
              <w:rPr>
                <w:rFonts w:hint="default" w:eastAsia="Times New Roman" w:asciiTheme="minorAscii" w:hAnsiTheme="minorAscii"/>
                <w:color w:val="000000"/>
                <w:sz w:val="22"/>
                <w:szCs w:val="22"/>
              </w:rPr>
              <w:t xml:space="preserve"> </w:t>
            </w:r>
          </w:p>
        </w:tc>
      </w:tr>
      <w:tr w14:paraId="5C97E40F">
        <w:tblPrEx>
          <w:tblCellMar>
            <w:top w:w="0" w:type="dxa"/>
            <w:left w:w="0" w:type="dxa"/>
            <w:bottom w:w="0" w:type="dxa"/>
            <w:right w:w="0" w:type="dxa"/>
          </w:tblCellMar>
        </w:tblPrEx>
        <w:trPr>
          <w:tblHeader/>
        </w:trPr>
        <w:tc>
          <w:tcPr>
            <w:tcW w:w="0" w:type="auto"/>
            <w:gridSpan w:val="5"/>
            <w:tcBorders>
              <w:top w:val="nil"/>
              <w:left w:val="nil"/>
              <w:bottom w:val="nil"/>
              <w:right w:val="nil"/>
            </w:tcBorders>
            <w:tcMar>
              <w:top w:w="45" w:type="dxa"/>
              <w:left w:w="180" w:type="dxa"/>
              <w:bottom w:w="45" w:type="dxa"/>
              <w:right w:w="180" w:type="dxa"/>
            </w:tcMar>
            <w:vAlign w:val="center"/>
          </w:tcPr>
          <w:p w14:paraId="09A2CDC1">
            <w:pPr>
              <w:spacing w:line="240" w:lineRule="auto"/>
              <w:jc w:val="both"/>
              <w:rPr>
                <w:rFonts w:hint="default" w:eastAsia="Times New Roman" w:asciiTheme="minorAscii" w:hAnsiTheme="minorAscii"/>
                <w:color w:val="000000"/>
                <w:sz w:val="22"/>
                <w:szCs w:val="22"/>
              </w:rPr>
            </w:pPr>
          </w:p>
        </w:tc>
        <w:tc>
          <w:tcPr>
            <w:tcW w:w="0" w:type="auto"/>
            <w:gridSpan w:val="2"/>
            <w:tcBorders>
              <w:top w:val="nil"/>
              <w:left w:val="nil"/>
              <w:bottom w:val="single" w:color="000000" w:sz="6" w:space="0"/>
              <w:right w:val="nil"/>
            </w:tcBorders>
            <w:tcMar>
              <w:top w:w="45" w:type="dxa"/>
              <w:left w:w="180" w:type="dxa"/>
              <w:bottom w:w="45" w:type="dxa"/>
              <w:right w:w="180" w:type="dxa"/>
            </w:tcMar>
            <w:vAlign w:val="center"/>
          </w:tcPr>
          <w:p w14:paraId="45BC1C5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95% Confidence Interval</w:t>
            </w:r>
          </w:p>
        </w:tc>
      </w:tr>
      <w:tr w14:paraId="0940ADEC">
        <w:tblPrEx>
          <w:tblCellMar>
            <w:top w:w="0" w:type="dxa"/>
            <w:left w:w="0" w:type="dxa"/>
            <w:bottom w:w="0" w:type="dxa"/>
            <w:right w:w="0" w:type="dxa"/>
          </w:tblCellMar>
        </w:tblPrEx>
        <w:trPr>
          <w:tblHeader/>
        </w:trPr>
        <w:tc>
          <w:tcPr>
            <w:tcW w:w="0" w:type="auto"/>
            <w:tcBorders>
              <w:top w:val="nil"/>
              <w:left w:val="nil"/>
              <w:bottom w:val="single" w:color="000000" w:sz="6" w:space="0"/>
              <w:right w:val="nil"/>
            </w:tcBorders>
            <w:tcMar>
              <w:top w:w="45" w:type="dxa"/>
              <w:left w:w="180" w:type="dxa"/>
              <w:bottom w:w="45" w:type="dxa"/>
              <w:right w:w="180" w:type="dxa"/>
            </w:tcMar>
            <w:vAlign w:val="center"/>
          </w:tcPr>
          <w:p w14:paraId="4A1504F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236C58B1">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Estimate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0E93336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Std. Error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028AE1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z-value</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73ACA6B6">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p</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418490F3">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Lower</w:t>
            </w:r>
          </w:p>
        </w:tc>
        <w:tc>
          <w:tcPr>
            <w:tcW w:w="0" w:type="auto"/>
            <w:tcBorders>
              <w:top w:val="nil"/>
              <w:left w:val="nil"/>
              <w:bottom w:val="single" w:color="000000" w:sz="6" w:space="0"/>
              <w:right w:val="nil"/>
            </w:tcBorders>
            <w:tcMar>
              <w:top w:w="45" w:type="dxa"/>
              <w:left w:w="180" w:type="dxa"/>
              <w:bottom w:w="45" w:type="dxa"/>
              <w:right w:w="180" w:type="dxa"/>
            </w:tcMar>
            <w:vAlign w:val="center"/>
          </w:tcPr>
          <w:p w14:paraId="15B9856F">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Upper</w:t>
            </w:r>
          </w:p>
        </w:tc>
      </w:tr>
      <w:tr w14:paraId="272EEA25">
        <w:tblPrEx>
          <w:tblCellMar>
            <w:top w:w="0" w:type="dxa"/>
            <w:left w:w="0" w:type="dxa"/>
            <w:bottom w:w="0" w:type="dxa"/>
            <w:right w:w="0" w:type="dxa"/>
          </w:tblCellMar>
        </w:tblPrEx>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15CEBDD">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 1</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4D12872">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0.785</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570968D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0.950</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1F08E31E">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0.826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32FDC0E7">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.409</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4BDE30F0">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-1.077</w:t>
            </w:r>
          </w:p>
        </w:tc>
        <w:tc>
          <w:tcPr>
            <w:tcW w:w="0" w:type="auto"/>
            <w:tcBorders>
              <w:top w:val="nil"/>
              <w:left w:val="nil"/>
              <w:bottom w:val="nil"/>
              <w:right w:val="nil"/>
            </w:tcBorders>
            <w:shd w:val="clear" w:color="auto" w:fill="FFFFFF"/>
            <w:tcMar>
              <w:top w:w="162" w:type="dxa"/>
              <w:left w:w="180" w:type="dxa"/>
              <w:bottom w:w="45" w:type="dxa"/>
              <w:right w:w="180" w:type="dxa"/>
            </w:tcMar>
            <w:vAlign w:val="center"/>
          </w:tcPr>
          <w:p w14:paraId="26084AEB">
            <w:pPr>
              <w:spacing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2.648</w:t>
            </w:r>
          </w:p>
        </w:tc>
      </w:tr>
      <w:tr w14:paraId="31EDF59C">
        <w:tblPrEx>
          <w:tblCellMar>
            <w:top w:w="0" w:type="dxa"/>
            <w:left w:w="0" w:type="dxa"/>
            <w:bottom w:w="0" w:type="dxa"/>
            <w:right w:w="0" w:type="dxa"/>
          </w:tblCellMar>
        </w:tblPrEx>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4DD95FF0">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Factor 2</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27425381">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0.135</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368A431F">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0.221</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713DCC22">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0.609</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6ACD2651">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.542</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5B43D5E7">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-0.299</w:t>
            </w:r>
          </w:p>
        </w:tc>
        <w:tc>
          <w:tcPr>
            <w:tcW w:w="0" w:type="auto"/>
            <w:tcBorders>
              <w:top w:val="nil"/>
              <w:left w:val="nil"/>
              <w:bottom w:val="nil"/>
              <w:right w:val="nil"/>
            </w:tcBorders>
            <w:shd w:val="clear" w:color="auto" w:fill="EBEBEB"/>
            <w:tcMar>
              <w:top w:w="15" w:type="dxa"/>
              <w:left w:w="180" w:type="dxa"/>
              <w:bottom w:w="45" w:type="dxa"/>
              <w:right w:w="180" w:type="dxa"/>
            </w:tcMar>
            <w:vAlign w:val="center"/>
          </w:tcPr>
          <w:p w14:paraId="5471EF16">
            <w:pPr>
              <w:spacing w:after="144" w:line="240" w:lineRule="auto"/>
              <w:jc w:val="both"/>
              <w:rPr>
                <w:rFonts w:hint="default" w:eastAsia="Times New Roman" w:asciiTheme="minorAscii" w:hAnsiTheme="minorAscii"/>
                <w:color w:val="000000"/>
                <w:sz w:val="22"/>
                <w:szCs w:val="22"/>
              </w:rPr>
            </w:pPr>
            <w:r>
              <w:rPr>
                <w:rFonts w:hint="default" w:eastAsia="Times New Roman" w:asciiTheme="minorAscii" w:hAnsiTheme="minorAscii"/>
                <w:color w:val="000000"/>
                <w:sz w:val="22"/>
                <w:szCs w:val="22"/>
              </w:rPr>
              <w:t>0.569</w:t>
            </w:r>
          </w:p>
        </w:tc>
      </w:tr>
      <w:tr w14:paraId="047963D1">
        <w:tblPrEx>
          <w:tblCellMar>
            <w:top w:w="0" w:type="dxa"/>
            <w:left w:w="0" w:type="dxa"/>
            <w:bottom w:w="0" w:type="dxa"/>
            <w:right w:w="0" w:type="dxa"/>
          </w:tblCellMar>
        </w:tblPrEx>
        <w:tc>
          <w:tcPr>
            <w:tcW w:w="0" w:type="auto"/>
            <w:gridSpan w:val="7"/>
            <w:tcBorders>
              <w:top w:val="nil"/>
              <w:left w:val="nil"/>
              <w:bottom w:val="single" w:color="000000" w:sz="6" w:space="0"/>
              <w:right w:val="nil"/>
            </w:tcBorders>
            <w:shd w:val="clear" w:color="auto" w:fill="FFFFFF"/>
            <w:tcMar>
              <w:top w:w="15" w:type="dxa"/>
              <w:left w:w="180" w:type="dxa"/>
              <w:bottom w:w="45" w:type="dxa"/>
              <w:right w:w="180" w:type="dxa"/>
            </w:tcMar>
            <w:vAlign w:val="center"/>
          </w:tcPr>
          <w:p w14:paraId="10F43A9D">
            <w:pPr>
              <w:spacing w:after="144" w:line="240" w:lineRule="auto"/>
              <w:jc w:val="both"/>
              <w:rPr>
                <w:rFonts w:hint="default" w:eastAsia="Times New Roman" w:asciiTheme="minorAscii" w:hAnsiTheme="minorAscii"/>
                <w:color w:val="000000"/>
                <w:sz w:val="22"/>
                <w:szCs w:val="22"/>
              </w:rPr>
            </w:pPr>
          </w:p>
        </w:tc>
      </w:tr>
    </w:tbl>
    <w:p w14:paraId="7ABDC7E6">
      <w:pPr>
        <w:spacing w:line="360" w:lineRule="auto"/>
        <w:jc w:val="both"/>
        <w:rPr>
          <w:rFonts w:hint="default" w:eastAsia="Times New Roman" w:cs="Times New Roman" w:asciiTheme="minorAscii" w:hAnsiTheme="minorAscii"/>
          <w:bCs/>
          <w:sz w:val="22"/>
          <w:szCs w:val="22"/>
        </w:rPr>
      </w:pPr>
    </w:p>
    <w:p w14:paraId="197EA1E4">
      <w:pPr>
        <w:spacing w:line="360" w:lineRule="auto"/>
        <w:jc w:val="both"/>
        <w:rPr>
          <w:rFonts w:hint="default" w:eastAsia="Times New Roman" w:cs="Times New Roman" w:asciiTheme="minorAscii" w:hAnsiTheme="minorAscii"/>
          <w:b/>
          <w:bCs w:val="0"/>
          <w:sz w:val="22"/>
          <w:szCs w:val="22"/>
        </w:rPr>
      </w:pPr>
      <w:r>
        <w:rPr>
          <w:rFonts w:hint="default" w:eastAsia="Times New Roman" w:cs="Times New Roman" w:asciiTheme="minorAscii" w:hAnsiTheme="minorAscii"/>
          <w:b/>
          <w:bCs w:val="0"/>
          <w:sz w:val="22"/>
          <w:szCs w:val="22"/>
        </w:rPr>
        <w:t xml:space="preserve">Table </w:t>
      </w:r>
      <w:r>
        <w:rPr>
          <w:rFonts w:hint="eastAsia" w:cs="Times New Roman" w:asciiTheme="minorAscii" w:hAnsiTheme="minorAscii"/>
          <w:b/>
          <w:bCs w:val="0"/>
          <w:sz w:val="22"/>
          <w:szCs w:val="22"/>
          <w:lang w:val="en-US" w:eastAsia="ja-JP"/>
        </w:rPr>
        <w:t>23</w:t>
      </w:r>
      <w:r>
        <w:rPr>
          <w:rFonts w:hint="default" w:eastAsia="Times New Roman" w:cs="Times New Roman" w:asciiTheme="minorAscii" w:hAnsiTheme="minorAscii"/>
          <w:b/>
          <w:bCs w:val="0"/>
          <w:sz w:val="22"/>
          <w:szCs w:val="22"/>
        </w:rPr>
        <w:t xml:space="preserve">: Confirmatory Factor Analysis – Factor Variances for Physiological and </w:t>
      </w:r>
      <w:r>
        <w:rPr>
          <w:rFonts w:hint="eastAsia" w:cs="Times New Roman" w:asciiTheme="minorAscii" w:hAnsiTheme="minorAscii"/>
          <w:b/>
          <w:bCs w:val="0"/>
          <w:sz w:val="22"/>
          <w:szCs w:val="22"/>
          <w:lang w:eastAsia="ja-JP"/>
        </w:rPr>
        <w:t>Psycho-social</w:t>
      </w:r>
      <w:r>
        <w:rPr>
          <w:rFonts w:hint="default" w:eastAsia="Times New Roman" w:cs="Times New Roman" w:asciiTheme="minorAscii" w:hAnsiTheme="minorAscii"/>
          <w:b/>
          <w:bCs w:val="0"/>
          <w:sz w:val="22"/>
          <w:szCs w:val="22"/>
        </w:rPr>
        <w:t xml:space="preserve"> Factors</w:t>
      </w:r>
    </w:p>
    <w:p w14:paraId="375A8FC3">
      <w:pPr>
        <w:spacing w:line="360" w:lineRule="auto"/>
        <w:jc w:val="both"/>
        <w:rPr>
          <w:rFonts w:hint="default" w:eastAsia="Times New Roman" w:cs="Times New Roman" w:asciiTheme="minorAscii" w:hAnsiTheme="minorAscii"/>
          <w:bCs/>
          <w:sz w:val="22"/>
          <w:szCs w:val="22"/>
        </w:rPr>
      </w:pPr>
    </w:p>
    <w:p w14:paraId="307D324D">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In this analysis, hypertension serves as the observed outcome, allowing us to examine how key numerical variables BMI, salt intake, exercise level, stress score, and sleep duration—relate to two hypothesized groupings of factors: physiological (Factor 1: BMI, salt intake, exercise level) and psychosocial/behavioural (Factor 2: stress score, sleep duration). The confirmatory factor analysis indicates that BMI strongly represents Factor 1, whereas salt intake and exercise level exhibit weak and non-significant loadings. This suggests that while BMI is a critical physiological predictor of hypertension, other conventional measures such as salt intake and exercise may not independently capture variance in hypertension within this dataset.</w:t>
      </w:r>
    </w:p>
    <w:p w14:paraId="60FF881B">
      <w:pPr>
        <w:spacing w:line="360" w:lineRule="auto"/>
        <w:jc w:val="both"/>
        <w:rPr>
          <w:rFonts w:hint="default" w:eastAsia="Times New Roman" w:cs="Times New Roman" w:asciiTheme="minorAscii" w:hAnsiTheme="minorAscii"/>
          <w:bCs/>
          <w:sz w:val="22"/>
          <w:szCs w:val="22"/>
        </w:rPr>
      </w:pPr>
    </w:p>
    <w:p w14:paraId="5F943A5F">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For Factor 2, stress score contributes meaningfully, reflecting the psychosocial impact on hypertension risk, while sleep duration shows a positive but uncertain association, highlighting variability in behavioural influences. Factor variances are low to moderate, indicating that these groupings explain a modest portion of the total variance.</w:t>
      </w:r>
    </w:p>
    <w:p w14:paraId="3BD4B985">
      <w:pPr>
        <w:spacing w:line="360" w:lineRule="auto"/>
        <w:jc w:val="both"/>
        <w:rPr>
          <w:rFonts w:hint="default" w:eastAsia="Times New Roman" w:cs="Times New Roman" w:asciiTheme="minorAscii" w:hAnsiTheme="minorAscii"/>
          <w:bCs/>
          <w:sz w:val="22"/>
          <w:szCs w:val="22"/>
        </w:rPr>
      </w:pPr>
    </w:p>
    <w:p w14:paraId="6C2F0CD0">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Overall, the CFA emphasizes that hypertension is influenced by a combination of physiological and </w:t>
      </w:r>
      <w:r>
        <w:rPr>
          <w:rFonts w:hint="eastAsia" w:cs="Times New Roman" w:asciiTheme="minorAscii" w:hAnsiTheme="minorAscii"/>
          <w:bCs/>
          <w:sz w:val="22"/>
          <w:szCs w:val="22"/>
          <w:lang w:eastAsia="ja-JP"/>
        </w:rPr>
        <w:t>psycho-social</w:t>
      </w:r>
      <w:r>
        <w:rPr>
          <w:rFonts w:hint="default" w:eastAsia="Times New Roman" w:cs="Times New Roman" w:asciiTheme="minorAscii" w:hAnsiTheme="minorAscii"/>
          <w:bCs/>
          <w:sz w:val="22"/>
          <w:szCs w:val="22"/>
        </w:rPr>
        <w:t xml:space="preserve"> factors, but not all measured indicators contribute equally. These findings underscore the importance of selecting the most informative variables particularly BMI and stress score for predictive modelling and evidence-based intervention strategies targeting hypertension.</w:t>
      </w:r>
    </w:p>
    <w:p w14:paraId="40B9C6CF">
      <w:pPr>
        <w:spacing w:line="360" w:lineRule="auto"/>
        <w:jc w:val="both"/>
        <w:rPr>
          <w:rFonts w:hint="default" w:eastAsia="Times New Roman" w:cs="Times New Roman" w:asciiTheme="minorAscii" w:hAnsiTheme="minorAscii"/>
          <w:bCs/>
          <w:sz w:val="22"/>
          <w:szCs w:val="22"/>
        </w:rPr>
      </w:pPr>
    </w:p>
    <w:p w14:paraId="7902E48E">
      <w:pPr>
        <w:spacing w:line="360" w:lineRule="auto"/>
        <w:jc w:val="both"/>
        <w:rPr>
          <w:rFonts w:hint="default" w:eastAsia="Times New Roman" w:cs="Times New Roman" w:asciiTheme="minorAscii" w:hAnsiTheme="minorAscii"/>
          <w:bCs/>
          <w:sz w:val="22"/>
          <w:szCs w:val="22"/>
        </w:rPr>
      </w:pPr>
    </w:p>
    <w:p w14:paraId="3BE53ED0">
      <w:pPr>
        <w:spacing w:line="360" w:lineRule="auto"/>
        <w:jc w:val="both"/>
        <w:rPr>
          <w:rFonts w:hint="default" w:eastAsia="Times New Roman" w:cs="Times New Roman" w:asciiTheme="minorAscii" w:hAnsiTheme="minorAscii"/>
          <w:bCs/>
          <w:sz w:val="22"/>
          <w:szCs w:val="22"/>
        </w:rPr>
      </w:pPr>
    </w:p>
    <w:p w14:paraId="573C98F1">
      <w:pPr>
        <w:spacing w:line="360" w:lineRule="auto"/>
        <w:jc w:val="both"/>
        <w:rPr>
          <w:rFonts w:hint="default" w:eastAsia="Times New Roman" w:cs="Times New Roman" w:asciiTheme="minorAscii" w:hAnsiTheme="minorAscii"/>
          <w:bCs/>
          <w:sz w:val="22"/>
          <w:szCs w:val="22"/>
        </w:rPr>
      </w:pPr>
    </w:p>
    <w:p w14:paraId="0D793545">
      <w:pPr>
        <w:spacing w:line="360" w:lineRule="auto"/>
        <w:jc w:val="both"/>
        <w:rPr>
          <w:rFonts w:hint="default" w:eastAsia="Times New Roman" w:cs="Times New Roman" w:asciiTheme="minorAscii" w:hAnsiTheme="minorAscii"/>
          <w:bCs/>
          <w:sz w:val="22"/>
          <w:szCs w:val="22"/>
        </w:rPr>
      </w:pPr>
    </w:p>
    <w:p w14:paraId="52416F1D">
      <w:pPr>
        <w:spacing w:line="360" w:lineRule="auto"/>
        <w:jc w:val="both"/>
        <w:rPr>
          <w:rFonts w:hint="default" w:eastAsia="Times New Roman" w:cs="Times New Roman" w:asciiTheme="minorAscii" w:hAnsiTheme="minorAscii"/>
          <w:bCs/>
          <w:sz w:val="22"/>
          <w:szCs w:val="22"/>
        </w:rPr>
      </w:pPr>
    </w:p>
    <w:p w14:paraId="32493207">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Machine Learning Approach in Hypertension Prediction </w:t>
      </w:r>
    </w:p>
    <w:p w14:paraId="67274E19">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This study investigates factors associated with hypertension in a dataset of 1985 adults, including numerical variables (Age, BMI, Salt Intake, Stress Score, Sleep Duration) and categorical variables (Smoking Status, Exercise Level, Family History, BP History, Medication, Has Hypertension). Descriptive statistics highlighted differences between hypertensive and non-hypertensive participants, while t-tests and chi-square tests confirmed significant associations for most variables, including age, BMI, stress, sleep, smoking, family history, and BP history. </w:t>
      </w:r>
    </w:p>
    <w:p w14:paraId="55EFEF85">
      <w:pPr>
        <w:spacing w:line="360" w:lineRule="auto"/>
        <w:jc w:val="both"/>
        <w:rPr>
          <w:rFonts w:hint="default" w:eastAsia="Times New Roman" w:cs="Times New Roman" w:asciiTheme="minorAscii" w:hAnsiTheme="minorAscii"/>
          <w:sz w:val="22"/>
          <w:szCs w:val="22"/>
        </w:rPr>
      </w:pPr>
    </w:p>
    <w:p w14:paraId="4EDCFD3E">
      <w:pPr>
        <w:spacing w:line="360" w:lineRule="auto"/>
        <w:jc w:val="both"/>
        <w:rPr>
          <w:rFonts w:hint="default" w:eastAsia="Times New Roman" w:cs="Times New Roman" w:asciiTheme="minorAscii" w:hAnsiTheme="minorAscii"/>
          <w:sz w:val="22"/>
          <w:szCs w:val="22"/>
        </w:rPr>
      </w:pPr>
      <w:r>
        <w:rPr>
          <w:rFonts w:hint="default" w:eastAsia="Times New Roman" w:cs="Times New Roman" w:asciiTheme="minorAscii" w:hAnsiTheme="minorAscii"/>
          <w:sz w:val="22"/>
          <w:szCs w:val="22"/>
        </w:rPr>
        <w:t xml:space="preserve">Exercise level and medication type showed no significant relationship. Confirmatory Factor Analysis grouped numerical variables into physiological (BMI, salt intake, exercise) and </w:t>
      </w:r>
      <w:r>
        <w:rPr>
          <w:rFonts w:hint="eastAsia" w:cs="Times New Roman" w:asciiTheme="minorAscii" w:hAnsiTheme="minorAscii"/>
          <w:sz w:val="22"/>
          <w:szCs w:val="22"/>
          <w:lang w:eastAsia="ja-JP"/>
        </w:rPr>
        <w:t>psycho-social</w:t>
      </w:r>
      <w:r>
        <w:rPr>
          <w:rFonts w:hint="default" w:eastAsia="Times New Roman" w:cs="Times New Roman" w:asciiTheme="minorAscii" w:hAnsiTheme="minorAscii"/>
          <w:sz w:val="22"/>
          <w:szCs w:val="22"/>
        </w:rPr>
        <w:t xml:space="preserve"> (stress, sleep) factors, with BMI and stress score contributing most strongly. Overall, key predictors of hypertension include Age, BMI, Stress Score, Smoking Status, Family History, and BP History, while variables like exercise level and medication type have negligible predictive value and may be excluded from modelling.</w:t>
      </w:r>
    </w:p>
    <w:p w14:paraId="55EF3423">
      <w:pPr>
        <w:pStyle w:val="11"/>
        <w:jc w:val="both"/>
        <w:rPr>
          <w:rFonts w:hint="default" w:asciiTheme="minorAscii" w:hAnsiTheme="minorAscii"/>
          <w:b/>
          <w:sz w:val="22"/>
          <w:szCs w:val="22"/>
        </w:rPr>
      </w:pPr>
      <w:r>
        <w:rPr>
          <w:rFonts w:hint="default" w:asciiTheme="minorAscii" w:hAnsiTheme="minorAscii"/>
          <w:b/>
          <w:sz w:val="22"/>
          <w:szCs w:val="22"/>
        </w:rPr>
        <w:t xml:space="preserve">Predictor Variables </w:t>
      </w:r>
    </w:p>
    <w:p w14:paraId="49309329">
      <w:pPr>
        <w:spacing w:line="360" w:lineRule="auto"/>
        <w:jc w:val="both"/>
        <w:rPr>
          <w:rFonts w:hint="default" w:asciiTheme="minorAscii" w:hAnsiTheme="minorAscii"/>
          <w:sz w:val="22"/>
          <w:szCs w:val="22"/>
        </w:rPr>
      </w:pPr>
      <w:r>
        <w:rPr>
          <w:rFonts w:hint="default" w:cs="Times New Roman" w:asciiTheme="minorAscii" w:hAnsiTheme="minorAscii"/>
          <w:sz w:val="22"/>
          <w:szCs w:val="22"/>
        </w:rPr>
        <w:t>For predictive modelling, only variables with meaningful and consistent contributions to hypertension risk were retained. Strong predictors included age, BMI, stress score, smoking status, family history, and blood pressure history, all of which showed clear empirical and clinical relevance. These variables form the core feature set used for model training and evaluation. Salt intake and sleep duration were retained as optional predictors, as they demonstrated moderate effects and may contribute incremental predictive value without substantially increasing model complexity. In contrast, exercise level and medication type were excluded due to weak or non-significant associations with hypertension in earlier inferential analyses. Removing these variables helps simplify the model, reduce noise, and improve generalization performance, particularly for tree-based and regression-based machine learning models.</w:t>
      </w:r>
    </w:p>
    <w:p w14:paraId="46700C4F">
      <w:pPr>
        <w:jc w:val="both"/>
        <w:rPr>
          <w:rFonts w:hint="default" w:asciiTheme="minorAscii" w:hAnsiTheme="minorAscii"/>
          <w:sz w:val="22"/>
          <w:szCs w:val="22"/>
        </w:rPr>
      </w:pPr>
    </w:p>
    <w:p w14:paraId="17A01C32">
      <w:pPr>
        <w:jc w:val="both"/>
        <w:rPr>
          <w:rFonts w:hint="default" w:asciiTheme="minorAscii" w:hAnsiTheme="minorAscii"/>
          <w:sz w:val="22"/>
          <w:szCs w:val="22"/>
        </w:rPr>
      </w:pPr>
    </w:p>
    <w:p w14:paraId="6C08CFA6">
      <w:pPr>
        <w:jc w:val="both"/>
        <w:rPr>
          <w:rFonts w:hint="default" w:asciiTheme="minorAscii" w:hAnsiTheme="minorAscii"/>
          <w:sz w:val="22"/>
          <w:szCs w:val="22"/>
        </w:rPr>
      </w:pPr>
    </w:p>
    <w:p w14:paraId="6EA34890">
      <w:pPr>
        <w:jc w:val="both"/>
        <w:rPr>
          <w:rFonts w:hint="default" w:asciiTheme="minorAscii" w:hAnsiTheme="minorAscii"/>
          <w:sz w:val="22"/>
          <w:szCs w:val="22"/>
        </w:rPr>
      </w:pPr>
    </w:p>
    <w:p w14:paraId="0A887D1A">
      <w:pPr>
        <w:jc w:val="both"/>
        <w:rPr>
          <w:rFonts w:hint="default" w:asciiTheme="minorAscii" w:hAnsiTheme="minorAscii"/>
          <w:sz w:val="22"/>
          <w:szCs w:val="22"/>
        </w:rPr>
      </w:pPr>
    </w:p>
    <w:p w14:paraId="19F93911">
      <w:pPr>
        <w:jc w:val="both"/>
        <w:rPr>
          <w:rFonts w:hint="default" w:asciiTheme="minorAscii" w:hAnsiTheme="minorAscii"/>
          <w:sz w:val="22"/>
          <w:szCs w:val="22"/>
        </w:rPr>
      </w:pPr>
    </w:p>
    <w:p w14:paraId="22BE3674">
      <w:pPr>
        <w:jc w:val="both"/>
        <w:rPr>
          <w:rFonts w:hint="default" w:asciiTheme="minorAscii" w:hAnsiTheme="minorAscii"/>
          <w:sz w:val="22"/>
          <w:szCs w:val="22"/>
        </w:rPr>
      </w:pPr>
    </w:p>
    <w:p w14:paraId="375A5F4A">
      <w:pPr>
        <w:jc w:val="both"/>
        <w:rPr>
          <w:rFonts w:hint="default" w:asciiTheme="minorAscii" w:hAnsiTheme="minorAscii"/>
          <w:sz w:val="22"/>
          <w:szCs w:val="22"/>
        </w:rPr>
      </w:pPr>
    </w:p>
    <w:p w14:paraId="0F8A48DD">
      <w:pPr>
        <w:jc w:val="both"/>
        <w:rPr>
          <w:rFonts w:hint="default" w:asciiTheme="minorAscii" w:hAnsiTheme="minorAscii"/>
          <w:sz w:val="22"/>
          <w:szCs w:val="22"/>
        </w:rPr>
      </w:pPr>
    </w:p>
    <w:p w14:paraId="2D43B6A0">
      <w:pPr>
        <w:jc w:val="both"/>
        <w:rPr>
          <w:rFonts w:hint="default" w:asciiTheme="minorAscii" w:hAnsiTheme="minorAscii"/>
          <w:sz w:val="22"/>
          <w:szCs w:val="22"/>
        </w:rPr>
      </w:pPr>
    </w:p>
    <w:p w14:paraId="19340E9E">
      <w:pPr>
        <w:jc w:val="both"/>
        <w:rPr>
          <w:rFonts w:hint="default" w:asciiTheme="minorAscii" w:hAnsiTheme="minorAscii"/>
          <w:b/>
          <w:sz w:val="22"/>
          <w:szCs w:val="22"/>
        </w:rPr>
      </w:pPr>
      <w:r>
        <w:rPr>
          <w:rFonts w:hint="default" w:asciiTheme="minorAscii" w:hAnsiTheme="minorAscii"/>
          <w:b/>
          <w:sz w:val="22"/>
          <w:szCs w:val="22"/>
        </w:rPr>
        <w:t xml:space="preserve">Optimized Random Forest Model. </w:t>
      </w:r>
    </w:p>
    <w:p w14:paraId="643CE41E">
      <w:pPr>
        <w:jc w:val="both"/>
        <w:rPr>
          <w:rFonts w:hint="default" w:asciiTheme="minorAscii" w:hAnsiTheme="minorAscii"/>
          <w:b/>
          <w:sz w:val="22"/>
          <w:szCs w:val="22"/>
        </w:rPr>
      </w:pPr>
    </w:p>
    <w:p w14:paraId="6C87CD21">
      <w:pPr>
        <w:jc w:val="both"/>
        <w:rPr>
          <w:rFonts w:hint="default" w:asciiTheme="minorAscii" w:hAnsiTheme="minorAscii"/>
          <w:sz w:val="22"/>
          <w:szCs w:val="22"/>
        </w:rPr>
      </w:pPr>
    </w:p>
    <w:tbl>
      <w:tblPr>
        <w:tblStyle w:val="9"/>
        <w:tblW w:w="7900" w:type="dxa"/>
        <w:tblInd w:w="0" w:type="dxa"/>
        <w:tblLayout w:type="autofit"/>
        <w:tblCellMar>
          <w:top w:w="0" w:type="dxa"/>
          <w:left w:w="108" w:type="dxa"/>
          <w:bottom w:w="0" w:type="dxa"/>
          <w:right w:w="108" w:type="dxa"/>
        </w:tblCellMar>
      </w:tblPr>
      <w:tblGrid>
        <w:gridCol w:w="1571"/>
        <w:gridCol w:w="2000"/>
        <w:gridCol w:w="2089"/>
        <w:gridCol w:w="1209"/>
        <w:gridCol w:w="1031"/>
      </w:tblGrid>
      <w:tr w14:paraId="59D86FF7">
        <w:tblPrEx>
          <w:tblCellMar>
            <w:top w:w="0" w:type="dxa"/>
            <w:left w:w="108" w:type="dxa"/>
            <w:bottom w:w="0" w:type="dxa"/>
            <w:right w:w="108" w:type="dxa"/>
          </w:tblCellMar>
        </w:tblPrEx>
        <w:trPr>
          <w:trHeight w:val="300" w:hRule="atLeast"/>
        </w:trPr>
        <w:tc>
          <w:tcPr>
            <w:tcW w:w="1580" w:type="dxa"/>
            <w:tcBorders>
              <w:top w:val="single" w:color="auto" w:sz="4" w:space="0"/>
              <w:left w:val="nil"/>
              <w:bottom w:val="single" w:color="auto" w:sz="4" w:space="0"/>
              <w:right w:val="nil"/>
            </w:tcBorders>
            <w:shd w:val="clear" w:color="auto" w:fill="auto"/>
            <w:vAlign w:val="center"/>
          </w:tcPr>
          <w:p w14:paraId="51A9454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Class</w:t>
            </w:r>
          </w:p>
        </w:tc>
        <w:tc>
          <w:tcPr>
            <w:tcW w:w="2020" w:type="dxa"/>
            <w:tcBorders>
              <w:top w:val="single" w:color="auto" w:sz="4" w:space="0"/>
              <w:left w:val="nil"/>
              <w:bottom w:val="single" w:color="auto" w:sz="4" w:space="0"/>
              <w:right w:val="nil"/>
            </w:tcBorders>
            <w:shd w:val="clear" w:color="auto" w:fill="auto"/>
            <w:vAlign w:val="center"/>
          </w:tcPr>
          <w:p w14:paraId="65D291D2">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Precision</w:t>
            </w:r>
          </w:p>
        </w:tc>
        <w:tc>
          <w:tcPr>
            <w:tcW w:w="2120" w:type="dxa"/>
            <w:tcBorders>
              <w:top w:val="single" w:color="auto" w:sz="4" w:space="0"/>
              <w:left w:val="nil"/>
              <w:bottom w:val="single" w:color="auto" w:sz="4" w:space="0"/>
              <w:right w:val="nil"/>
            </w:tcBorders>
            <w:shd w:val="clear" w:color="auto" w:fill="auto"/>
            <w:vAlign w:val="center"/>
          </w:tcPr>
          <w:p w14:paraId="5A3122DE">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Recall</w:t>
            </w:r>
          </w:p>
        </w:tc>
        <w:tc>
          <w:tcPr>
            <w:tcW w:w="1220" w:type="dxa"/>
            <w:tcBorders>
              <w:top w:val="single" w:color="auto" w:sz="4" w:space="0"/>
              <w:left w:val="nil"/>
              <w:bottom w:val="single" w:color="auto" w:sz="4" w:space="0"/>
              <w:right w:val="nil"/>
            </w:tcBorders>
            <w:shd w:val="clear" w:color="auto" w:fill="auto"/>
            <w:vAlign w:val="center"/>
          </w:tcPr>
          <w:p w14:paraId="2A1388F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F1-score</w:t>
            </w:r>
          </w:p>
        </w:tc>
        <w:tc>
          <w:tcPr>
            <w:tcW w:w="960" w:type="dxa"/>
            <w:tcBorders>
              <w:top w:val="single" w:color="auto" w:sz="4" w:space="0"/>
              <w:left w:val="nil"/>
              <w:bottom w:val="single" w:color="auto" w:sz="4" w:space="0"/>
              <w:right w:val="nil"/>
            </w:tcBorders>
            <w:shd w:val="clear" w:color="auto" w:fill="auto"/>
            <w:vAlign w:val="center"/>
          </w:tcPr>
          <w:p w14:paraId="4A7A88A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Support</w:t>
            </w:r>
          </w:p>
        </w:tc>
      </w:tr>
      <w:tr w14:paraId="48405E6E">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5F4C2AA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No</w:t>
            </w:r>
          </w:p>
        </w:tc>
        <w:tc>
          <w:tcPr>
            <w:tcW w:w="2020" w:type="dxa"/>
            <w:tcBorders>
              <w:top w:val="nil"/>
              <w:left w:val="nil"/>
              <w:bottom w:val="nil"/>
              <w:right w:val="nil"/>
            </w:tcBorders>
            <w:shd w:val="clear" w:color="auto" w:fill="auto"/>
            <w:vAlign w:val="center"/>
          </w:tcPr>
          <w:p w14:paraId="080D0CE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0.83</w:t>
            </w:r>
          </w:p>
        </w:tc>
        <w:tc>
          <w:tcPr>
            <w:tcW w:w="2120" w:type="dxa"/>
            <w:tcBorders>
              <w:top w:val="nil"/>
              <w:left w:val="nil"/>
              <w:bottom w:val="nil"/>
              <w:right w:val="nil"/>
            </w:tcBorders>
            <w:shd w:val="clear" w:color="auto" w:fill="auto"/>
            <w:vAlign w:val="center"/>
          </w:tcPr>
          <w:p w14:paraId="77B5CC24">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0.87</w:t>
            </w:r>
          </w:p>
        </w:tc>
        <w:tc>
          <w:tcPr>
            <w:tcW w:w="1220" w:type="dxa"/>
            <w:tcBorders>
              <w:top w:val="nil"/>
              <w:left w:val="nil"/>
              <w:bottom w:val="nil"/>
              <w:right w:val="nil"/>
            </w:tcBorders>
            <w:shd w:val="clear" w:color="auto" w:fill="auto"/>
            <w:vAlign w:val="center"/>
          </w:tcPr>
          <w:p w14:paraId="14657E70">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960" w:type="dxa"/>
            <w:tcBorders>
              <w:top w:val="nil"/>
              <w:left w:val="nil"/>
              <w:bottom w:val="nil"/>
              <w:right w:val="nil"/>
            </w:tcBorders>
            <w:shd w:val="clear" w:color="auto" w:fill="auto"/>
            <w:vAlign w:val="center"/>
          </w:tcPr>
          <w:p w14:paraId="14B03DD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191</w:t>
            </w:r>
          </w:p>
        </w:tc>
      </w:tr>
      <w:tr w14:paraId="3E436350">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6873843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Yes</w:t>
            </w:r>
          </w:p>
        </w:tc>
        <w:tc>
          <w:tcPr>
            <w:tcW w:w="2020" w:type="dxa"/>
            <w:tcBorders>
              <w:top w:val="nil"/>
              <w:left w:val="nil"/>
              <w:bottom w:val="nil"/>
              <w:right w:val="nil"/>
            </w:tcBorders>
            <w:shd w:val="clear" w:color="auto" w:fill="auto"/>
            <w:vAlign w:val="center"/>
          </w:tcPr>
          <w:p w14:paraId="32A32AA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0.87</w:t>
            </w:r>
          </w:p>
        </w:tc>
        <w:tc>
          <w:tcPr>
            <w:tcW w:w="2120" w:type="dxa"/>
            <w:tcBorders>
              <w:top w:val="nil"/>
              <w:left w:val="nil"/>
              <w:bottom w:val="nil"/>
              <w:right w:val="nil"/>
            </w:tcBorders>
            <w:shd w:val="clear" w:color="auto" w:fill="auto"/>
            <w:vAlign w:val="center"/>
          </w:tcPr>
          <w:p w14:paraId="38A86D9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0.83</w:t>
            </w:r>
          </w:p>
        </w:tc>
        <w:tc>
          <w:tcPr>
            <w:tcW w:w="1220" w:type="dxa"/>
            <w:tcBorders>
              <w:top w:val="nil"/>
              <w:left w:val="nil"/>
              <w:bottom w:val="nil"/>
              <w:right w:val="nil"/>
            </w:tcBorders>
            <w:shd w:val="clear" w:color="auto" w:fill="auto"/>
            <w:vAlign w:val="center"/>
          </w:tcPr>
          <w:p w14:paraId="3080E55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960" w:type="dxa"/>
            <w:tcBorders>
              <w:top w:val="nil"/>
              <w:left w:val="nil"/>
              <w:bottom w:val="nil"/>
              <w:right w:val="nil"/>
            </w:tcBorders>
            <w:shd w:val="clear" w:color="auto" w:fill="auto"/>
            <w:vAlign w:val="center"/>
          </w:tcPr>
          <w:p w14:paraId="5BEA156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206</w:t>
            </w:r>
          </w:p>
        </w:tc>
      </w:tr>
      <w:tr w14:paraId="5618B283">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3A45C09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Accuracy</w:t>
            </w:r>
          </w:p>
        </w:tc>
        <w:tc>
          <w:tcPr>
            <w:tcW w:w="2020" w:type="dxa"/>
            <w:tcBorders>
              <w:top w:val="nil"/>
              <w:left w:val="nil"/>
              <w:bottom w:val="nil"/>
              <w:right w:val="nil"/>
            </w:tcBorders>
            <w:shd w:val="clear" w:color="auto" w:fill="auto"/>
            <w:vAlign w:val="center"/>
          </w:tcPr>
          <w:p w14:paraId="20F93F9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w:t>
            </w:r>
          </w:p>
        </w:tc>
        <w:tc>
          <w:tcPr>
            <w:tcW w:w="2120" w:type="dxa"/>
            <w:tcBorders>
              <w:top w:val="nil"/>
              <w:left w:val="nil"/>
              <w:bottom w:val="nil"/>
              <w:right w:val="nil"/>
            </w:tcBorders>
            <w:shd w:val="clear" w:color="auto" w:fill="auto"/>
            <w:vAlign w:val="center"/>
          </w:tcPr>
          <w:p w14:paraId="150A21B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w:t>
            </w:r>
          </w:p>
        </w:tc>
        <w:tc>
          <w:tcPr>
            <w:tcW w:w="1220" w:type="dxa"/>
            <w:tcBorders>
              <w:top w:val="nil"/>
              <w:left w:val="nil"/>
              <w:bottom w:val="nil"/>
              <w:right w:val="nil"/>
            </w:tcBorders>
            <w:shd w:val="clear" w:color="auto" w:fill="auto"/>
            <w:vAlign w:val="center"/>
          </w:tcPr>
          <w:p w14:paraId="40BBF505">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0.85</w:t>
            </w:r>
          </w:p>
        </w:tc>
        <w:tc>
          <w:tcPr>
            <w:tcW w:w="960" w:type="dxa"/>
            <w:tcBorders>
              <w:top w:val="nil"/>
              <w:left w:val="nil"/>
              <w:bottom w:val="nil"/>
              <w:right w:val="nil"/>
            </w:tcBorders>
            <w:shd w:val="clear" w:color="auto" w:fill="auto"/>
            <w:vAlign w:val="center"/>
          </w:tcPr>
          <w:p w14:paraId="05B3999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397</w:t>
            </w:r>
          </w:p>
        </w:tc>
      </w:tr>
      <w:tr w14:paraId="4DD0AA27">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0C853850">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Macro Avg</w:t>
            </w:r>
          </w:p>
        </w:tc>
        <w:tc>
          <w:tcPr>
            <w:tcW w:w="2020" w:type="dxa"/>
            <w:tcBorders>
              <w:top w:val="nil"/>
              <w:left w:val="nil"/>
              <w:bottom w:val="nil"/>
              <w:right w:val="nil"/>
            </w:tcBorders>
            <w:shd w:val="clear" w:color="auto" w:fill="auto"/>
            <w:vAlign w:val="center"/>
          </w:tcPr>
          <w:p w14:paraId="6DCE1E0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2120" w:type="dxa"/>
            <w:tcBorders>
              <w:top w:val="nil"/>
              <w:left w:val="nil"/>
              <w:bottom w:val="nil"/>
              <w:right w:val="nil"/>
            </w:tcBorders>
            <w:shd w:val="clear" w:color="auto" w:fill="auto"/>
            <w:vAlign w:val="center"/>
          </w:tcPr>
          <w:p w14:paraId="176362B1">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1220" w:type="dxa"/>
            <w:tcBorders>
              <w:top w:val="nil"/>
              <w:left w:val="nil"/>
              <w:bottom w:val="nil"/>
              <w:right w:val="nil"/>
            </w:tcBorders>
            <w:shd w:val="clear" w:color="auto" w:fill="auto"/>
            <w:vAlign w:val="center"/>
          </w:tcPr>
          <w:p w14:paraId="5ACDD9E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960" w:type="dxa"/>
            <w:tcBorders>
              <w:top w:val="nil"/>
              <w:left w:val="nil"/>
              <w:bottom w:val="nil"/>
              <w:right w:val="nil"/>
            </w:tcBorders>
            <w:shd w:val="clear" w:color="auto" w:fill="auto"/>
            <w:vAlign w:val="center"/>
          </w:tcPr>
          <w:p w14:paraId="262E005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397</w:t>
            </w:r>
          </w:p>
        </w:tc>
      </w:tr>
      <w:tr w14:paraId="3B1D7800">
        <w:tblPrEx>
          <w:tblCellMar>
            <w:top w:w="0" w:type="dxa"/>
            <w:left w:w="108" w:type="dxa"/>
            <w:bottom w:w="0" w:type="dxa"/>
            <w:right w:w="108" w:type="dxa"/>
          </w:tblCellMar>
        </w:tblPrEx>
        <w:trPr>
          <w:trHeight w:val="300" w:hRule="atLeast"/>
        </w:trPr>
        <w:tc>
          <w:tcPr>
            <w:tcW w:w="1580" w:type="dxa"/>
            <w:tcBorders>
              <w:top w:val="nil"/>
              <w:left w:val="nil"/>
              <w:bottom w:val="single" w:color="auto" w:sz="4" w:space="0"/>
              <w:right w:val="nil"/>
            </w:tcBorders>
            <w:shd w:val="clear" w:color="auto" w:fill="auto"/>
            <w:vAlign w:val="center"/>
          </w:tcPr>
          <w:p w14:paraId="591C871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Weighted Avg</w:t>
            </w:r>
          </w:p>
        </w:tc>
        <w:tc>
          <w:tcPr>
            <w:tcW w:w="2020" w:type="dxa"/>
            <w:tcBorders>
              <w:top w:val="nil"/>
              <w:left w:val="nil"/>
              <w:bottom w:val="single" w:color="auto" w:sz="4" w:space="0"/>
              <w:right w:val="nil"/>
            </w:tcBorders>
            <w:shd w:val="clear" w:color="auto" w:fill="auto"/>
            <w:vAlign w:val="center"/>
          </w:tcPr>
          <w:p w14:paraId="3678416C">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2120" w:type="dxa"/>
            <w:tcBorders>
              <w:top w:val="nil"/>
              <w:left w:val="nil"/>
              <w:bottom w:val="single" w:color="auto" w:sz="4" w:space="0"/>
              <w:right w:val="nil"/>
            </w:tcBorders>
            <w:shd w:val="clear" w:color="auto" w:fill="auto"/>
            <w:vAlign w:val="center"/>
          </w:tcPr>
          <w:p w14:paraId="3E729690">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1220" w:type="dxa"/>
            <w:tcBorders>
              <w:top w:val="nil"/>
              <w:left w:val="nil"/>
              <w:bottom w:val="single" w:color="auto" w:sz="4" w:space="0"/>
              <w:right w:val="nil"/>
            </w:tcBorders>
            <w:shd w:val="clear" w:color="auto" w:fill="auto"/>
            <w:vAlign w:val="center"/>
          </w:tcPr>
          <w:p w14:paraId="4D06F35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960" w:type="dxa"/>
            <w:tcBorders>
              <w:top w:val="nil"/>
              <w:left w:val="nil"/>
              <w:bottom w:val="single" w:color="auto" w:sz="4" w:space="0"/>
              <w:right w:val="nil"/>
            </w:tcBorders>
            <w:shd w:val="clear" w:color="auto" w:fill="auto"/>
            <w:vAlign w:val="center"/>
          </w:tcPr>
          <w:p w14:paraId="1EB2596D">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397</w:t>
            </w:r>
          </w:p>
        </w:tc>
      </w:tr>
    </w:tbl>
    <w:p w14:paraId="716B2AD3">
      <w:pPr>
        <w:jc w:val="both"/>
        <w:rPr>
          <w:rFonts w:hint="default" w:asciiTheme="minorAscii" w:hAnsiTheme="minorAscii"/>
          <w:sz w:val="22"/>
          <w:szCs w:val="22"/>
        </w:rPr>
      </w:pPr>
    </w:p>
    <w:p w14:paraId="03807DB2">
      <w:pPr>
        <w:jc w:val="both"/>
        <w:rPr>
          <w:rFonts w:hint="default" w:asciiTheme="minorAscii" w:hAnsiTheme="minorAscii"/>
          <w:b/>
          <w:bCs/>
          <w:sz w:val="22"/>
          <w:szCs w:val="22"/>
        </w:rPr>
      </w:pPr>
      <w:r>
        <w:rPr>
          <w:rFonts w:hint="default" w:asciiTheme="minorAscii" w:hAnsiTheme="minorAscii"/>
          <w:b/>
          <w:bCs/>
          <w:sz w:val="22"/>
          <w:szCs w:val="22"/>
        </w:rPr>
        <w:t xml:space="preserve">Table </w:t>
      </w:r>
      <w:r>
        <w:rPr>
          <w:rFonts w:hint="eastAsia" w:asciiTheme="minorAscii" w:hAnsiTheme="minorAscii"/>
          <w:b/>
          <w:bCs/>
          <w:sz w:val="22"/>
          <w:szCs w:val="22"/>
          <w:lang w:val="en-US" w:eastAsia="ja-JP"/>
        </w:rPr>
        <w:t>24</w:t>
      </w:r>
      <w:r>
        <w:rPr>
          <w:rFonts w:hint="default" w:asciiTheme="minorAscii" w:hAnsiTheme="minorAscii"/>
          <w:b/>
          <w:bCs/>
          <w:sz w:val="22"/>
          <w:szCs w:val="22"/>
        </w:rPr>
        <w:t>: Performance Metrics of Optimized Random Forest Model for Hypertension Prediction</w:t>
      </w:r>
    </w:p>
    <w:p w14:paraId="7F5D9C42">
      <w:pPr>
        <w:spacing w:line="360" w:lineRule="auto"/>
        <w:jc w:val="both"/>
        <w:rPr>
          <w:rFonts w:hint="default" w:eastAsia="Times New Roman" w:cs="Times New Roman" w:asciiTheme="minorAscii" w:hAnsiTheme="minorAscii"/>
          <w:b/>
          <w:bCs/>
          <w:sz w:val="22"/>
          <w:szCs w:val="22"/>
        </w:rPr>
      </w:pPr>
    </w:p>
    <w:p w14:paraId="7B548465">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49530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953000" cy="4114800"/>
                    </a:xfrm>
                    <a:prstGeom prst="rect">
                      <a:avLst/>
                    </a:prstGeom>
                  </pic:spPr>
                </pic:pic>
              </a:graphicData>
            </a:graphic>
          </wp:inline>
        </w:drawing>
      </w:r>
    </w:p>
    <w:p w14:paraId="35258C25">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Figure </w:t>
      </w:r>
      <w:r>
        <w:rPr>
          <w:rFonts w:hint="eastAsia" w:cs="Times New Roman" w:asciiTheme="minorAscii" w:hAnsiTheme="minorAscii"/>
          <w:b/>
          <w:bCs/>
          <w:sz w:val="22"/>
          <w:szCs w:val="22"/>
          <w:lang w:val="en-US" w:eastAsia="ja-JP"/>
        </w:rPr>
        <w:t>6</w:t>
      </w:r>
      <w:r>
        <w:rPr>
          <w:rFonts w:hint="default" w:eastAsia="Times New Roman" w:cs="Times New Roman" w:asciiTheme="minorAscii" w:hAnsiTheme="minorAscii"/>
          <w:b/>
          <w:bCs/>
          <w:sz w:val="22"/>
          <w:szCs w:val="22"/>
        </w:rPr>
        <w:t>: Classification Metrics of Tuned Random Forest Model for Hypertension Prediction</w:t>
      </w:r>
    </w:p>
    <w:p w14:paraId="2950C677">
      <w:pPr>
        <w:spacing w:line="360" w:lineRule="auto"/>
        <w:jc w:val="both"/>
        <w:rPr>
          <w:rFonts w:hint="default" w:eastAsia="Times New Roman" w:cs="Times New Roman" w:asciiTheme="minorAscii" w:hAnsiTheme="minorAscii"/>
          <w:bCs/>
          <w:sz w:val="22"/>
          <w:szCs w:val="22"/>
        </w:rPr>
      </w:pPr>
    </w:p>
    <w:p w14:paraId="2CF2EE5D">
      <w:pPr>
        <w:spacing w:line="360" w:lineRule="auto"/>
        <w:jc w:val="both"/>
        <w:rPr>
          <w:rFonts w:hint="default" w:eastAsia="Times New Roman" w:cs="Times New Roman" w:asciiTheme="minorAscii" w:hAnsiTheme="minorAscii"/>
          <w:bCs/>
          <w:sz w:val="22"/>
          <w:szCs w:val="22"/>
        </w:rPr>
      </w:pPr>
    </w:p>
    <w:p w14:paraId="3B9D3490">
      <w:pPr>
        <w:spacing w:line="360" w:lineRule="auto"/>
        <w:jc w:val="both"/>
        <w:rPr>
          <w:rFonts w:hint="default" w:eastAsia="Times New Roman" w:cs="Times New Roman" w:asciiTheme="minorAscii" w:hAnsiTheme="minorAscii"/>
          <w:bCs/>
          <w:sz w:val="22"/>
          <w:szCs w:val="22"/>
        </w:rPr>
      </w:pPr>
    </w:p>
    <w:p w14:paraId="4EF4B1D8">
      <w:pPr>
        <w:spacing w:line="360" w:lineRule="auto"/>
        <w:jc w:val="both"/>
        <w:rPr>
          <w:rFonts w:hint="default" w:eastAsia="Times New Roman" w:cs="Times New Roman" w:asciiTheme="minorAscii" w:hAnsiTheme="minorAscii"/>
          <w:bCs/>
          <w:sz w:val="22"/>
          <w:szCs w:val="22"/>
        </w:rPr>
      </w:pPr>
    </w:p>
    <w:p w14:paraId="7215E38F">
      <w:pPr>
        <w:spacing w:line="360" w:lineRule="auto"/>
        <w:jc w:val="both"/>
        <w:rPr>
          <w:rFonts w:hint="default" w:eastAsia="Times New Roman" w:cs="Times New Roman" w:asciiTheme="minorAscii" w:hAnsiTheme="minorAscii"/>
          <w:bCs/>
          <w:sz w:val="22"/>
          <w:szCs w:val="22"/>
        </w:rPr>
      </w:pPr>
    </w:p>
    <w:p w14:paraId="466FEF2A">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tuned Random Forest model demonstrates strong and well-balanced performance in predicting hypertension status. Using the optimal hyper parameters (100 trees, square-root feature sampling, and no depth restriction), the model achieved an accuracy of approximately 84.9%, indicating that it correctly classified the majority of individuals in the test dataset. The confusion matrix shows that the model identified 166 non-hypertensive and 171 hypertensive individuals correctly, with relatively few misclassifications, suggesting good overall discrimination between the two classes.</w:t>
      </w:r>
    </w:p>
    <w:p w14:paraId="4F36EB0F">
      <w:pPr>
        <w:spacing w:line="360" w:lineRule="auto"/>
        <w:jc w:val="both"/>
        <w:rPr>
          <w:rFonts w:hint="default" w:eastAsia="Times New Roman" w:cs="Times New Roman" w:asciiTheme="minorAscii" w:hAnsiTheme="minorAscii"/>
          <w:bCs/>
          <w:sz w:val="22"/>
          <w:szCs w:val="22"/>
        </w:rPr>
      </w:pPr>
    </w:p>
    <w:p w14:paraId="40F2D487">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classification report further supports this conclusion. Precision and recall values are consistently high across both outcome categories. For non-hypertensive individuals, a recall of 0.87 indicates that most true negatives were correctly identified, reducing the risk of false reassurance. For hypertensive individuals, a precision of 0.87 and recall of 0.83 suggest that the model is effective at detecting true cases while keeping false positives at a reasonable level. The identical F1-scores (0.85) for both classes indicate balanced predictive performance, which is particularly important in health-related applications where bias toward one class could have serious implications.</w:t>
      </w:r>
    </w:p>
    <w:p w14:paraId="15F54B93">
      <w:pPr>
        <w:spacing w:line="360" w:lineRule="auto"/>
        <w:jc w:val="both"/>
        <w:rPr>
          <w:rFonts w:hint="default" w:eastAsia="Times New Roman" w:cs="Times New Roman" w:asciiTheme="minorAscii" w:hAnsiTheme="minorAscii"/>
          <w:bCs/>
          <w:sz w:val="22"/>
          <w:szCs w:val="22"/>
        </w:rPr>
      </w:pPr>
    </w:p>
    <w:p w14:paraId="57828987">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Overall, the results suggest that the selected predictors capture meaningful patterns associated with hypertension. The model’s stable performance across metrics highlights its suitability as a reliable predictive tool for hypertension risk assessment in population-based or clinical decision-support contexts.</w:t>
      </w:r>
    </w:p>
    <w:p w14:paraId="24305662">
      <w:pPr>
        <w:spacing w:line="360" w:lineRule="auto"/>
        <w:jc w:val="both"/>
        <w:rPr>
          <w:rFonts w:hint="default" w:eastAsia="Times New Roman" w:cs="Times New Roman" w:asciiTheme="minorAscii" w:hAnsiTheme="minorAscii"/>
          <w:b/>
          <w:bCs/>
          <w:sz w:val="22"/>
          <w:szCs w:val="22"/>
        </w:rPr>
      </w:pPr>
    </w:p>
    <w:p w14:paraId="14877222">
      <w:pPr>
        <w:spacing w:line="360" w:lineRule="auto"/>
        <w:jc w:val="both"/>
        <w:rPr>
          <w:rFonts w:hint="default" w:eastAsia="Times New Roman" w:cs="Times New Roman" w:asciiTheme="minorAscii" w:hAnsiTheme="minorAscii"/>
          <w:b/>
          <w:bCs/>
          <w:sz w:val="22"/>
          <w:szCs w:val="22"/>
        </w:rPr>
      </w:pPr>
    </w:p>
    <w:p w14:paraId="6B45B391">
      <w:pPr>
        <w:spacing w:line="360" w:lineRule="auto"/>
        <w:jc w:val="both"/>
        <w:rPr>
          <w:rFonts w:hint="default" w:eastAsia="Times New Roman" w:cs="Times New Roman" w:asciiTheme="minorAscii" w:hAnsiTheme="minorAscii"/>
          <w:b/>
          <w:bCs/>
          <w:sz w:val="22"/>
          <w:szCs w:val="22"/>
        </w:rPr>
      </w:pPr>
    </w:p>
    <w:p w14:paraId="7C4443F8">
      <w:pPr>
        <w:spacing w:line="360" w:lineRule="auto"/>
        <w:jc w:val="both"/>
        <w:rPr>
          <w:rFonts w:hint="default" w:eastAsia="Times New Roman" w:cs="Times New Roman" w:asciiTheme="minorAscii" w:hAnsiTheme="minorAscii"/>
          <w:b/>
          <w:bCs/>
          <w:sz w:val="22"/>
          <w:szCs w:val="22"/>
        </w:rPr>
      </w:pPr>
    </w:p>
    <w:p w14:paraId="5F5B71B2">
      <w:pPr>
        <w:spacing w:line="360" w:lineRule="auto"/>
        <w:jc w:val="both"/>
        <w:rPr>
          <w:rFonts w:hint="default" w:eastAsia="Times New Roman" w:cs="Times New Roman" w:asciiTheme="minorAscii" w:hAnsiTheme="minorAscii"/>
          <w:b/>
          <w:bCs/>
          <w:sz w:val="22"/>
          <w:szCs w:val="22"/>
        </w:rPr>
      </w:pPr>
    </w:p>
    <w:p w14:paraId="4D4A1D21">
      <w:pPr>
        <w:spacing w:line="360" w:lineRule="auto"/>
        <w:jc w:val="both"/>
        <w:rPr>
          <w:rFonts w:hint="default" w:eastAsia="Times New Roman" w:cs="Times New Roman" w:asciiTheme="minorAscii" w:hAnsiTheme="minorAscii"/>
          <w:b/>
          <w:bCs/>
          <w:sz w:val="22"/>
          <w:szCs w:val="22"/>
        </w:rPr>
      </w:pPr>
    </w:p>
    <w:p w14:paraId="7ABF8382">
      <w:pPr>
        <w:spacing w:line="360" w:lineRule="auto"/>
        <w:jc w:val="both"/>
        <w:rPr>
          <w:rFonts w:hint="default" w:eastAsia="Times New Roman" w:cs="Times New Roman" w:asciiTheme="minorAscii" w:hAnsiTheme="minorAscii"/>
          <w:b/>
          <w:bCs/>
          <w:sz w:val="22"/>
          <w:szCs w:val="22"/>
        </w:rPr>
      </w:pPr>
    </w:p>
    <w:p w14:paraId="67D852A5">
      <w:pPr>
        <w:spacing w:line="360" w:lineRule="auto"/>
        <w:jc w:val="both"/>
        <w:rPr>
          <w:rFonts w:hint="default" w:eastAsia="Times New Roman" w:cs="Times New Roman" w:asciiTheme="minorAscii" w:hAnsiTheme="minorAscii"/>
          <w:b/>
          <w:bCs/>
          <w:sz w:val="22"/>
          <w:szCs w:val="22"/>
        </w:rPr>
      </w:pPr>
    </w:p>
    <w:p w14:paraId="513A0C8A">
      <w:pPr>
        <w:spacing w:line="360" w:lineRule="auto"/>
        <w:jc w:val="both"/>
        <w:rPr>
          <w:rFonts w:hint="default" w:eastAsia="Times New Roman" w:cs="Times New Roman" w:asciiTheme="minorAscii" w:hAnsiTheme="minorAscii"/>
          <w:b/>
          <w:bCs/>
          <w:sz w:val="22"/>
          <w:szCs w:val="22"/>
        </w:rPr>
      </w:pPr>
    </w:p>
    <w:p w14:paraId="4BEE4B69">
      <w:pPr>
        <w:spacing w:line="360" w:lineRule="auto"/>
        <w:jc w:val="both"/>
        <w:rPr>
          <w:rFonts w:hint="default" w:eastAsia="Times New Roman" w:cs="Times New Roman" w:asciiTheme="minorAscii" w:hAnsiTheme="minorAscii"/>
          <w:b/>
          <w:bCs/>
          <w:sz w:val="22"/>
          <w:szCs w:val="22"/>
        </w:rPr>
      </w:pPr>
    </w:p>
    <w:p w14:paraId="71B4F884">
      <w:pPr>
        <w:spacing w:line="360" w:lineRule="auto"/>
        <w:jc w:val="both"/>
        <w:rPr>
          <w:rFonts w:hint="default" w:eastAsia="Times New Roman" w:cs="Times New Roman" w:asciiTheme="minorAscii" w:hAnsiTheme="minorAscii"/>
          <w:b/>
          <w:bCs/>
          <w:sz w:val="22"/>
          <w:szCs w:val="22"/>
        </w:rPr>
      </w:pPr>
    </w:p>
    <w:p w14:paraId="07DC21D7">
      <w:pPr>
        <w:spacing w:line="360" w:lineRule="auto"/>
        <w:jc w:val="both"/>
        <w:rPr>
          <w:rFonts w:hint="default" w:eastAsia="Times New Roman" w:cs="Times New Roman" w:asciiTheme="minorAscii" w:hAnsiTheme="minorAscii"/>
          <w:b/>
          <w:bCs/>
          <w:sz w:val="22"/>
          <w:szCs w:val="22"/>
        </w:rPr>
      </w:pPr>
    </w:p>
    <w:p w14:paraId="064F0984">
      <w:pPr>
        <w:spacing w:line="360" w:lineRule="auto"/>
        <w:jc w:val="both"/>
        <w:rPr>
          <w:rFonts w:hint="default" w:eastAsia="Times New Roman" w:cs="Times New Roman" w:asciiTheme="minorAscii" w:hAnsiTheme="minorAscii"/>
          <w:b/>
          <w:bCs/>
          <w:sz w:val="22"/>
          <w:szCs w:val="22"/>
        </w:rPr>
      </w:pPr>
    </w:p>
    <w:p w14:paraId="14BA65B5">
      <w:pPr>
        <w:spacing w:line="360" w:lineRule="auto"/>
        <w:jc w:val="both"/>
        <w:rPr>
          <w:rFonts w:hint="default" w:eastAsia="Times New Roman" w:cs="Times New Roman" w:asciiTheme="minorAscii" w:hAnsiTheme="minorAscii"/>
          <w:b/>
          <w:bCs/>
          <w:sz w:val="22"/>
          <w:szCs w:val="22"/>
        </w:rPr>
      </w:pPr>
    </w:p>
    <w:p w14:paraId="0A2CDB44">
      <w:pPr>
        <w:spacing w:line="360" w:lineRule="auto"/>
        <w:jc w:val="both"/>
        <w:rPr>
          <w:rFonts w:hint="default" w:eastAsia="Times New Roman" w:cs="Times New Roman" w:asciiTheme="minorAscii" w:hAnsiTheme="minorAscii"/>
          <w:b/>
          <w:bCs/>
          <w:sz w:val="22"/>
          <w:szCs w:val="22"/>
        </w:rPr>
      </w:pPr>
    </w:p>
    <w:p w14:paraId="1E7725E4">
      <w:pPr>
        <w:spacing w:line="360" w:lineRule="auto"/>
        <w:jc w:val="both"/>
        <w:rPr>
          <w:rFonts w:hint="default" w:eastAsia="Times New Roman" w:cs="Times New Roman" w:asciiTheme="minorAscii" w:hAnsiTheme="minorAscii"/>
          <w:b/>
          <w:bCs/>
          <w:sz w:val="22"/>
          <w:szCs w:val="22"/>
        </w:rPr>
      </w:pPr>
    </w:p>
    <w:p w14:paraId="68F0565B">
      <w:pPr>
        <w:spacing w:line="360" w:lineRule="auto"/>
        <w:jc w:val="both"/>
        <w:rPr>
          <w:rFonts w:hint="default" w:eastAsia="MS Mincho" w:cs="Times New Roman" w:asciiTheme="minorAscii" w:hAnsiTheme="minorAscii"/>
          <w:b/>
          <w:bCs/>
          <w:sz w:val="22"/>
          <w:szCs w:val="22"/>
          <w:lang w:val="en-US" w:eastAsia="ja-JP"/>
        </w:rPr>
      </w:pPr>
      <w:r>
        <w:rPr>
          <w:rFonts w:hint="default" w:eastAsia="Times New Roman" w:cs="Times New Roman" w:asciiTheme="minorAscii" w:hAnsiTheme="minorAscii"/>
          <w:b/>
          <w:bCs/>
          <w:sz w:val="22"/>
          <w:szCs w:val="22"/>
        </w:rPr>
        <w:t>Optimized G</w:t>
      </w:r>
      <w:r>
        <w:rPr>
          <w:rFonts w:hint="eastAsia" w:cs="Times New Roman" w:asciiTheme="minorAscii" w:hAnsiTheme="minorAscii"/>
          <w:b/>
          <w:bCs/>
          <w:sz w:val="22"/>
          <w:szCs w:val="22"/>
          <w:lang w:val="en-US" w:eastAsia="ja-JP"/>
        </w:rPr>
        <w:t xml:space="preserve">radient Boosting Model. </w:t>
      </w:r>
    </w:p>
    <w:p w14:paraId="2529FE56">
      <w:pPr>
        <w:spacing w:line="360" w:lineRule="auto"/>
        <w:jc w:val="both"/>
        <w:rPr>
          <w:rFonts w:hint="default" w:eastAsia="Times New Roman" w:cs="Times New Roman" w:asciiTheme="minorAscii" w:hAnsiTheme="minorAscii"/>
          <w:b/>
          <w:bCs/>
          <w:sz w:val="22"/>
          <w:szCs w:val="22"/>
        </w:rPr>
      </w:pPr>
    </w:p>
    <w:tbl>
      <w:tblPr>
        <w:tblStyle w:val="9"/>
        <w:tblW w:w="7900" w:type="dxa"/>
        <w:tblInd w:w="0" w:type="dxa"/>
        <w:tblLayout w:type="autofit"/>
        <w:tblCellMar>
          <w:top w:w="0" w:type="dxa"/>
          <w:left w:w="108" w:type="dxa"/>
          <w:bottom w:w="0" w:type="dxa"/>
          <w:right w:w="108" w:type="dxa"/>
        </w:tblCellMar>
      </w:tblPr>
      <w:tblGrid>
        <w:gridCol w:w="1571"/>
        <w:gridCol w:w="2000"/>
        <w:gridCol w:w="2089"/>
        <w:gridCol w:w="1209"/>
        <w:gridCol w:w="1031"/>
      </w:tblGrid>
      <w:tr w14:paraId="6115E24E">
        <w:tblPrEx>
          <w:tblCellMar>
            <w:top w:w="0" w:type="dxa"/>
            <w:left w:w="108" w:type="dxa"/>
            <w:bottom w:w="0" w:type="dxa"/>
            <w:right w:w="108" w:type="dxa"/>
          </w:tblCellMar>
        </w:tblPrEx>
        <w:trPr>
          <w:trHeight w:val="300" w:hRule="atLeast"/>
        </w:trPr>
        <w:tc>
          <w:tcPr>
            <w:tcW w:w="1580" w:type="dxa"/>
            <w:tcBorders>
              <w:top w:val="single" w:color="auto" w:sz="4" w:space="0"/>
              <w:left w:val="nil"/>
              <w:bottom w:val="single" w:color="auto" w:sz="4" w:space="0"/>
              <w:right w:val="nil"/>
            </w:tcBorders>
            <w:shd w:val="clear" w:color="auto" w:fill="auto"/>
            <w:vAlign w:val="center"/>
          </w:tcPr>
          <w:p w14:paraId="63AA5A9C">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Class</w:t>
            </w:r>
          </w:p>
        </w:tc>
        <w:tc>
          <w:tcPr>
            <w:tcW w:w="2020" w:type="dxa"/>
            <w:tcBorders>
              <w:top w:val="single" w:color="auto" w:sz="4" w:space="0"/>
              <w:left w:val="nil"/>
              <w:bottom w:val="single" w:color="auto" w:sz="4" w:space="0"/>
              <w:right w:val="nil"/>
            </w:tcBorders>
            <w:shd w:val="clear" w:color="auto" w:fill="auto"/>
            <w:vAlign w:val="center"/>
          </w:tcPr>
          <w:p w14:paraId="1962F701">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Precision</w:t>
            </w:r>
          </w:p>
        </w:tc>
        <w:tc>
          <w:tcPr>
            <w:tcW w:w="2120" w:type="dxa"/>
            <w:tcBorders>
              <w:top w:val="single" w:color="auto" w:sz="4" w:space="0"/>
              <w:left w:val="nil"/>
              <w:bottom w:val="single" w:color="auto" w:sz="4" w:space="0"/>
              <w:right w:val="nil"/>
            </w:tcBorders>
            <w:shd w:val="clear" w:color="auto" w:fill="auto"/>
            <w:vAlign w:val="center"/>
          </w:tcPr>
          <w:p w14:paraId="04AA9D29">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Recall</w:t>
            </w:r>
          </w:p>
        </w:tc>
        <w:tc>
          <w:tcPr>
            <w:tcW w:w="1220" w:type="dxa"/>
            <w:tcBorders>
              <w:top w:val="single" w:color="auto" w:sz="4" w:space="0"/>
              <w:left w:val="nil"/>
              <w:bottom w:val="single" w:color="auto" w:sz="4" w:space="0"/>
              <w:right w:val="nil"/>
            </w:tcBorders>
            <w:shd w:val="clear" w:color="auto" w:fill="auto"/>
            <w:vAlign w:val="center"/>
          </w:tcPr>
          <w:p w14:paraId="205BDF6D">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F1-score</w:t>
            </w:r>
          </w:p>
        </w:tc>
        <w:tc>
          <w:tcPr>
            <w:tcW w:w="960" w:type="dxa"/>
            <w:tcBorders>
              <w:top w:val="single" w:color="auto" w:sz="4" w:space="0"/>
              <w:left w:val="nil"/>
              <w:bottom w:val="single" w:color="auto" w:sz="4" w:space="0"/>
              <w:right w:val="nil"/>
            </w:tcBorders>
            <w:shd w:val="clear" w:color="auto" w:fill="auto"/>
            <w:vAlign w:val="center"/>
          </w:tcPr>
          <w:p w14:paraId="7F970E8B">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Support</w:t>
            </w:r>
          </w:p>
        </w:tc>
      </w:tr>
      <w:tr w14:paraId="77F99555">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1F97B54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No</w:t>
            </w:r>
          </w:p>
        </w:tc>
        <w:tc>
          <w:tcPr>
            <w:tcW w:w="2020" w:type="dxa"/>
            <w:tcBorders>
              <w:top w:val="nil"/>
              <w:left w:val="nil"/>
              <w:bottom w:val="nil"/>
              <w:right w:val="nil"/>
            </w:tcBorders>
            <w:shd w:val="clear" w:color="auto" w:fill="auto"/>
            <w:vAlign w:val="center"/>
          </w:tcPr>
          <w:p w14:paraId="1A118689">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2120" w:type="dxa"/>
            <w:tcBorders>
              <w:top w:val="nil"/>
              <w:left w:val="nil"/>
              <w:bottom w:val="nil"/>
              <w:right w:val="nil"/>
            </w:tcBorders>
            <w:shd w:val="clear" w:color="auto" w:fill="auto"/>
            <w:vAlign w:val="center"/>
          </w:tcPr>
          <w:p w14:paraId="2D62FC4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0.83</w:t>
            </w:r>
          </w:p>
        </w:tc>
        <w:tc>
          <w:tcPr>
            <w:tcW w:w="1220" w:type="dxa"/>
            <w:tcBorders>
              <w:top w:val="nil"/>
              <w:left w:val="nil"/>
              <w:bottom w:val="nil"/>
              <w:right w:val="nil"/>
            </w:tcBorders>
            <w:shd w:val="clear" w:color="auto" w:fill="auto"/>
            <w:vAlign w:val="center"/>
          </w:tcPr>
          <w:p w14:paraId="497506B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0.83</w:t>
            </w:r>
          </w:p>
        </w:tc>
        <w:tc>
          <w:tcPr>
            <w:tcW w:w="960" w:type="dxa"/>
            <w:tcBorders>
              <w:top w:val="nil"/>
              <w:left w:val="nil"/>
              <w:bottom w:val="nil"/>
              <w:right w:val="nil"/>
            </w:tcBorders>
            <w:shd w:val="clear" w:color="auto" w:fill="auto"/>
            <w:vAlign w:val="center"/>
          </w:tcPr>
          <w:p w14:paraId="298F429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191</w:t>
            </w:r>
          </w:p>
        </w:tc>
      </w:tr>
      <w:tr w14:paraId="2895386F">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3CE2C3DB">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Yes</w:t>
            </w:r>
          </w:p>
        </w:tc>
        <w:tc>
          <w:tcPr>
            <w:tcW w:w="2020" w:type="dxa"/>
            <w:tcBorders>
              <w:top w:val="nil"/>
              <w:left w:val="nil"/>
              <w:bottom w:val="nil"/>
              <w:right w:val="nil"/>
            </w:tcBorders>
            <w:shd w:val="clear" w:color="auto" w:fill="auto"/>
            <w:vAlign w:val="center"/>
          </w:tcPr>
          <w:p w14:paraId="62808AA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2120" w:type="dxa"/>
            <w:tcBorders>
              <w:top w:val="nil"/>
              <w:left w:val="nil"/>
              <w:bottom w:val="nil"/>
              <w:right w:val="nil"/>
            </w:tcBorders>
            <w:shd w:val="clear" w:color="auto" w:fill="auto"/>
            <w:vAlign w:val="center"/>
          </w:tcPr>
          <w:p w14:paraId="7853867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1220" w:type="dxa"/>
            <w:tcBorders>
              <w:top w:val="nil"/>
              <w:left w:val="nil"/>
              <w:bottom w:val="nil"/>
              <w:right w:val="nil"/>
            </w:tcBorders>
            <w:shd w:val="clear" w:color="auto" w:fill="auto"/>
            <w:vAlign w:val="center"/>
          </w:tcPr>
          <w:p w14:paraId="375BBCEF">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0.85</w:t>
            </w:r>
          </w:p>
        </w:tc>
        <w:tc>
          <w:tcPr>
            <w:tcW w:w="960" w:type="dxa"/>
            <w:tcBorders>
              <w:top w:val="nil"/>
              <w:left w:val="nil"/>
              <w:bottom w:val="nil"/>
              <w:right w:val="nil"/>
            </w:tcBorders>
            <w:shd w:val="clear" w:color="auto" w:fill="auto"/>
            <w:vAlign w:val="center"/>
          </w:tcPr>
          <w:p w14:paraId="556BEDF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206</w:t>
            </w:r>
          </w:p>
        </w:tc>
      </w:tr>
      <w:tr w14:paraId="38CF8446">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7FA2BF08">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Accuracy</w:t>
            </w:r>
          </w:p>
        </w:tc>
        <w:tc>
          <w:tcPr>
            <w:tcW w:w="2020" w:type="dxa"/>
            <w:tcBorders>
              <w:top w:val="nil"/>
              <w:left w:val="nil"/>
              <w:bottom w:val="nil"/>
              <w:right w:val="nil"/>
            </w:tcBorders>
            <w:shd w:val="clear" w:color="auto" w:fill="auto"/>
            <w:vAlign w:val="center"/>
          </w:tcPr>
          <w:p w14:paraId="21878567">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w:t>
            </w:r>
          </w:p>
        </w:tc>
        <w:tc>
          <w:tcPr>
            <w:tcW w:w="2120" w:type="dxa"/>
            <w:tcBorders>
              <w:top w:val="nil"/>
              <w:left w:val="nil"/>
              <w:bottom w:val="nil"/>
              <w:right w:val="nil"/>
            </w:tcBorders>
            <w:shd w:val="clear" w:color="auto" w:fill="auto"/>
            <w:vAlign w:val="center"/>
          </w:tcPr>
          <w:p w14:paraId="67157EA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w:t>
            </w:r>
          </w:p>
        </w:tc>
        <w:tc>
          <w:tcPr>
            <w:tcW w:w="1220" w:type="dxa"/>
            <w:tcBorders>
              <w:top w:val="nil"/>
              <w:left w:val="nil"/>
              <w:bottom w:val="nil"/>
              <w:right w:val="nil"/>
            </w:tcBorders>
            <w:shd w:val="clear" w:color="auto" w:fill="auto"/>
            <w:vAlign w:val="center"/>
          </w:tcPr>
          <w:p w14:paraId="3EA9D73E">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0.84</w:t>
            </w:r>
          </w:p>
        </w:tc>
        <w:tc>
          <w:tcPr>
            <w:tcW w:w="960" w:type="dxa"/>
            <w:tcBorders>
              <w:top w:val="nil"/>
              <w:left w:val="nil"/>
              <w:bottom w:val="nil"/>
              <w:right w:val="nil"/>
            </w:tcBorders>
            <w:shd w:val="clear" w:color="auto" w:fill="auto"/>
            <w:vAlign w:val="center"/>
          </w:tcPr>
          <w:p w14:paraId="14B32CEF">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397</w:t>
            </w:r>
          </w:p>
        </w:tc>
      </w:tr>
      <w:tr w14:paraId="4FA1E7F3">
        <w:tblPrEx>
          <w:tblCellMar>
            <w:top w:w="0" w:type="dxa"/>
            <w:left w:w="108" w:type="dxa"/>
            <w:bottom w:w="0" w:type="dxa"/>
            <w:right w:w="108" w:type="dxa"/>
          </w:tblCellMar>
        </w:tblPrEx>
        <w:trPr>
          <w:trHeight w:val="300" w:hRule="atLeast"/>
        </w:trPr>
        <w:tc>
          <w:tcPr>
            <w:tcW w:w="1580" w:type="dxa"/>
            <w:tcBorders>
              <w:top w:val="nil"/>
              <w:left w:val="nil"/>
              <w:bottom w:val="nil"/>
              <w:right w:val="nil"/>
            </w:tcBorders>
            <w:shd w:val="clear" w:color="auto" w:fill="auto"/>
            <w:vAlign w:val="center"/>
          </w:tcPr>
          <w:p w14:paraId="0C1234CB">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Macro Avg</w:t>
            </w:r>
          </w:p>
        </w:tc>
        <w:tc>
          <w:tcPr>
            <w:tcW w:w="2020" w:type="dxa"/>
            <w:tcBorders>
              <w:top w:val="nil"/>
              <w:left w:val="nil"/>
              <w:bottom w:val="nil"/>
              <w:right w:val="nil"/>
            </w:tcBorders>
            <w:shd w:val="clear" w:color="auto" w:fill="auto"/>
            <w:vAlign w:val="center"/>
          </w:tcPr>
          <w:p w14:paraId="31800E8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2120" w:type="dxa"/>
            <w:tcBorders>
              <w:top w:val="nil"/>
              <w:left w:val="nil"/>
              <w:bottom w:val="nil"/>
              <w:right w:val="nil"/>
            </w:tcBorders>
            <w:shd w:val="clear" w:color="auto" w:fill="auto"/>
            <w:vAlign w:val="center"/>
          </w:tcPr>
          <w:p w14:paraId="18BA7FDA">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1220" w:type="dxa"/>
            <w:tcBorders>
              <w:top w:val="nil"/>
              <w:left w:val="nil"/>
              <w:bottom w:val="nil"/>
              <w:right w:val="nil"/>
            </w:tcBorders>
            <w:shd w:val="clear" w:color="auto" w:fill="auto"/>
            <w:vAlign w:val="center"/>
          </w:tcPr>
          <w:p w14:paraId="45C79F1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960" w:type="dxa"/>
            <w:tcBorders>
              <w:top w:val="nil"/>
              <w:left w:val="nil"/>
              <w:bottom w:val="nil"/>
              <w:right w:val="nil"/>
            </w:tcBorders>
            <w:shd w:val="clear" w:color="auto" w:fill="auto"/>
            <w:vAlign w:val="center"/>
          </w:tcPr>
          <w:p w14:paraId="16302256">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397</w:t>
            </w:r>
          </w:p>
        </w:tc>
      </w:tr>
      <w:tr w14:paraId="755AF7F5">
        <w:tblPrEx>
          <w:tblCellMar>
            <w:top w:w="0" w:type="dxa"/>
            <w:left w:w="108" w:type="dxa"/>
            <w:bottom w:w="0" w:type="dxa"/>
            <w:right w:w="108" w:type="dxa"/>
          </w:tblCellMar>
        </w:tblPrEx>
        <w:trPr>
          <w:trHeight w:val="300" w:hRule="atLeast"/>
        </w:trPr>
        <w:tc>
          <w:tcPr>
            <w:tcW w:w="1580" w:type="dxa"/>
            <w:tcBorders>
              <w:top w:val="nil"/>
              <w:left w:val="nil"/>
              <w:bottom w:val="single" w:color="auto" w:sz="4" w:space="0"/>
              <w:right w:val="nil"/>
            </w:tcBorders>
            <w:shd w:val="clear" w:color="auto" w:fill="auto"/>
            <w:vAlign w:val="center"/>
          </w:tcPr>
          <w:p w14:paraId="114C43A6">
            <w:pPr>
              <w:spacing w:line="240" w:lineRule="auto"/>
              <w:jc w:val="both"/>
              <w:rPr>
                <w:rFonts w:hint="default" w:eastAsia="Times New Roman" w:cs="Calibri" w:asciiTheme="minorAscii" w:hAnsiTheme="minorAscii"/>
                <w:b/>
                <w:bCs/>
                <w:color w:val="000000"/>
                <w:sz w:val="22"/>
                <w:szCs w:val="22"/>
              </w:rPr>
            </w:pPr>
            <w:r>
              <w:rPr>
                <w:rFonts w:hint="default" w:eastAsia="Times New Roman" w:cs="Calibri" w:asciiTheme="minorAscii" w:hAnsiTheme="minorAscii"/>
                <w:b/>
                <w:bCs/>
                <w:color w:val="000000"/>
                <w:sz w:val="22"/>
                <w:szCs w:val="22"/>
              </w:rPr>
              <w:t>Weighted Avg</w:t>
            </w:r>
          </w:p>
        </w:tc>
        <w:tc>
          <w:tcPr>
            <w:tcW w:w="2020" w:type="dxa"/>
            <w:tcBorders>
              <w:top w:val="nil"/>
              <w:left w:val="nil"/>
              <w:bottom w:val="single" w:color="auto" w:sz="4" w:space="0"/>
              <w:right w:val="nil"/>
            </w:tcBorders>
            <w:shd w:val="clear" w:color="auto" w:fill="auto"/>
            <w:vAlign w:val="center"/>
          </w:tcPr>
          <w:p w14:paraId="35CC0023">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2120" w:type="dxa"/>
            <w:tcBorders>
              <w:top w:val="nil"/>
              <w:left w:val="nil"/>
              <w:bottom w:val="single" w:color="auto" w:sz="4" w:space="0"/>
              <w:right w:val="nil"/>
            </w:tcBorders>
            <w:shd w:val="clear" w:color="auto" w:fill="auto"/>
            <w:vAlign w:val="center"/>
          </w:tcPr>
          <w:p w14:paraId="6E2E0778">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1220" w:type="dxa"/>
            <w:tcBorders>
              <w:top w:val="nil"/>
              <w:left w:val="nil"/>
              <w:bottom w:val="single" w:color="auto" w:sz="4" w:space="0"/>
              <w:right w:val="nil"/>
            </w:tcBorders>
            <w:shd w:val="clear" w:color="auto" w:fill="auto"/>
            <w:vAlign w:val="center"/>
          </w:tcPr>
          <w:p w14:paraId="76E16EBE">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0.84</w:t>
            </w:r>
          </w:p>
        </w:tc>
        <w:tc>
          <w:tcPr>
            <w:tcW w:w="960" w:type="dxa"/>
            <w:tcBorders>
              <w:top w:val="nil"/>
              <w:left w:val="nil"/>
              <w:bottom w:val="single" w:color="auto" w:sz="4" w:space="0"/>
              <w:right w:val="nil"/>
            </w:tcBorders>
            <w:shd w:val="clear" w:color="auto" w:fill="auto"/>
            <w:vAlign w:val="center"/>
          </w:tcPr>
          <w:p w14:paraId="41625B72">
            <w:pPr>
              <w:spacing w:line="240" w:lineRule="auto"/>
              <w:jc w:val="both"/>
              <w:rPr>
                <w:rFonts w:hint="default" w:eastAsia="Times New Roman" w:cs="Calibri" w:asciiTheme="minorAscii" w:hAnsiTheme="minorAscii"/>
                <w:color w:val="000000"/>
                <w:sz w:val="22"/>
                <w:szCs w:val="22"/>
              </w:rPr>
            </w:pPr>
            <w:r>
              <w:rPr>
                <w:rFonts w:hint="default" w:eastAsia="Times New Roman" w:cs="Calibri" w:asciiTheme="minorAscii" w:hAnsiTheme="minorAscii"/>
                <w:color w:val="000000"/>
                <w:sz w:val="22"/>
                <w:szCs w:val="22"/>
              </w:rPr>
              <w:t>397</w:t>
            </w:r>
          </w:p>
        </w:tc>
      </w:tr>
    </w:tbl>
    <w:p w14:paraId="4B176C0E">
      <w:pPr>
        <w:spacing w:line="360" w:lineRule="auto"/>
        <w:jc w:val="both"/>
        <w:rPr>
          <w:rFonts w:hint="default" w:eastAsia="Times New Roman" w:cs="Times New Roman" w:asciiTheme="minorAscii" w:hAnsiTheme="minorAscii"/>
          <w:b/>
          <w:bCs/>
          <w:sz w:val="22"/>
          <w:szCs w:val="22"/>
        </w:rPr>
      </w:pPr>
    </w:p>
    <w:p w14:paraId="70393F0B">
      <w:pPr>
        <w:spacing w:line="360" w:lineRule="auto"/>
        <w:jc w:val="both"/>
        <w:rPr>
          <w:rFonts w:hint="default" w:eastAsia="Times New Roman" w:cs="Times New Roman" w:asciiTheme="minorAscii" w:hAnsiTheme="minorAscii"/>
          <w:b/>
          <w:bCs/>
          <w:sz w:val="22"/>
          <w:szCs w:val="22"/>
        </w:rPr>
      </w:pPr>
      <w:r>
        <w:rPr>
          <w:rFonts w:hint="eastAsia" w:cs="Times New Roman" w:asciiTheme="minorAscii" w:hAnsiTheme="minorAscii"/>
          <w:b/>
          <w:bCs/>
          <w:sz w:val="22"/>
          <w:szCs w:val="22"/>
          <w:lang w:val="en-US" w:eastAsia="ja-JP"/>
        </w:rPr>
        <w:t>Table</w:t>
      </w:r>
      <w:r>
        <w:rPr>
          <w:rFonts w:hint="default" w:eastAsia="Times New Roman" w:cs="Times New Roman" w:asciiTheme="minorAscii" w:hAnsiTheme="minorAscii"/>
          <w:b/>
          <w:bCs/>
          <w:sz w:val="22"/>
          <w:szCs w:val="22"/>
        </w:rPr>
        <w:t xml:space="preserve"> </w:t>
      </w:r>
      <w:r>
        <w:rPr>
          <w:rFonts w:hint="eastAsia" w:cs="Times New Roman" w:asciiTheme="minorAscii" w:hAnsiTheme="minorAscii"/>
          <w:b/>
          <w:bCs/>
          <w:sz w:val="22"/>
          <w:szCs w:val="22"/>
          <w:lang w:val="en-US" w:eastAsia="ja-JP"/>
        </w:rPr>
        <w:t>25</w:t>
      </w:r>
      <w:r>
        <w:rPr>
          <w:rFonts w:hint="default" w:eastAsia="Times New Roman" w:cs="Times New Roman" w:asciiTheme="minorAscii" w:hAnsiTheme="minorAscii"/>
          <w:b/>
          <w:bCs/>
          <w:sz w:val="22"/>
          <w:szCs w:val="22"/>
        </w:rPr>
        <w:t xml:space="preserve">: </w:t>
      </w:r>
      <w:r>
        <w:rPr>
          <w:rFonts w:hint="eastAsia" w:cs="Times New Roman" w:asciiTheme="minorAscii" w:hAnsiTheme="minorAscii"/>
          <w:b/>
          <w:bCs/>
          <w:sz w:val="22"/>
          <w:szCs w:val="22"/>
          <w:lang w:val="en-US" w:eastAsia="ja-JP"/>
        </w:rPr>
        <w:t>Performance</w:t>
      </w:r>
      <w:r>
        <w:rPr>
          <w:rFonts w:hint="default" w:eastAsia="Times New Roman" w:cs="Times New Roman" w:asciiTheme="minorAscii" w:hAnsiTheme="minorAscii"/>
          <w:b/>
          <w:bCs/>
          <w:sz w:val="22"/>
          <w:szCs w:val="22"/>
        </w:rPr>
        <w:t xml:space="preserve"> Metrics of Optimized Gradient Boosting Model for Hypertension Prediction</w:t>
      </w:r>
    </w:p>
    <w:p w14:paraId="7CDC62B8">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drawing>
          <wp:inline distT="0" distB="0" distL="0" distR="0">
            <wp:extent cx="49530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53000" cy="4114800"/>
                    </a:xfrm>
                    <a:prstGeom prst="rect">
                      <a:avLst/>
                    </a:prstGeom>
                  </pic:spPr>
                </pic:pic>
              </a:graphicData>
            </a:graphic>
          </wp:inline>
        </w:drawing>
      </w:r>
    </w:p>
    <w:p w14:paraId="6BE348AC">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Figure </w:t>
      </w:r>
      <w:r>
        <w:rPr>
          <w:rFonts w:hint="eastAsia" w:cs="Times New Roman" w:asciiTheme="minorAscii" w:hAnsiTheme="minorAscii"/>
          <w:b/>
          <w:bCs/>
          <w:sz w:val="22"/>
          <w:szCs w:val="22"/>
          <w:lang w:val="en-US" w:eastAsia="ja-JP"/>
        </w:rPr>
        <w:t>7</w:t>
      </w:r>
      <w:r>
        <w:rPr>
          <w:rFonts w:hint="default" w:eastAsia="Times New Roman" w:cs="Times New Roman" w:asciiTheme="minorAscii" w:hAnsiTheme="minorAscii"/>
          <w:b/>
          <w:bCs/>
          <w:sz w:val="22"/>
          <w:szCs w:val="22"/>
        </w:rPr>
        <w:t>: Classification Metrics of</w:t>
      </w:r>
      <w:r>
        <w:rPr>
          <w:rFonts w:hint="eastAsia" w:cs="Times New Roman" w:asciiTheme="minorAscii" w:hAnsiTheme="minorAscii"/>
          <w:b/>
          <w:bCs/>
          <w:sz w:val="22"/>
          <w:szCs w:val="22"/>
          <w:lang w:val="en-US" w:eastAsia="ja-JP"/>
        </w:rPr>
        <w:t xml:space="preserve"> GBM</w:t>
      </w:r>
      <w:r>
        <w:rPr>
          <w:rFonts w:hint="default" w:eastAsia="Times New Roman" w:cs="Times New Roman" w:asciiTheme="minorAscii" w:hAnsiTheme="minorAscii"/>
          <w:b/>
          <w:bCs/>
          <w:sz w:val="22"/>
          <w:szCs w:val="22"/>
        </w:rPr>
        <w:t xml:space="preserve"> for Hypertension Prediction</w:t>
      </w:r>
    </w:p>
    <w:p w14:paraId="5B466C2C">
      <w:pPr>
        <w:spacing w:line="360" w:lineRule="auto"/>
        <w:jc w:val="both"/>
        <w:rPr>
          <w:rFonts w:hint="default" w:eastAsia="Times New Roman" w:cs="Times New Roman" w:asciiTheme="minorAscii" w:hAnsiTheme="minorAscii"/>
          <w:b/>
          <w:bCs/>
          <w:sz w:val="22"/>
          <w:szCs w:val="22"/>
        </w:rPr>
      </w:pPr>
    </w:p>
    <w:p w14:paraId="4B0DF76B">
      <w:pPr>
        <w:spacing w:line="360" w:lineRule="auto"/>
        <w:jc w:val="both"/>
        <w:rPr>
          <w:rFonts w:hint="default" w:eastAsia="Times New Roman" w:cs="Times New Roman" w:asciiTheme="minorAscii" w:hAnsiTheme="minorAscii"/>
          <w:b/>
          <w:bCs/>
          <w:sz w:val="22"/>
          <w:szCs w:val="22"/>
        </w:rPr>
      </w:pPr>
    </w:p>
    <w:p w14:paraId="389658D4">
      <w:pPr>
        <w:spacing w:line="360" w:lineRule="auto"/>
        <w:jc w:val="both"/>
        <w:rPr>
          <w:rFonts w:hint="default" w:eastAsia="Times New Roman" w:cs="Times New Roman" w:asciiTheme="minorAscii" w:hAnsiTheme="minorAscii"/>
          <w:b/>
          <w:bCs/>
          <w:sz w:val="22"/>
          <w:szCs w:val="22"/>
        </w:rPr>
      </w:pPr>
    </w:p>
    <w:p w14:paraId="2D86F07E">
      <w:pPr>
        <w:spacing w:line="360" w:lineRule="auto"/>
        <w:jc w:val="both"/>
        <w:rPr>
          <w:rFonts w:hint="default" w:eastAsia="Times New Roman" w:cs="Times New Roman" w:asciiTheme="minorAscii" w:hAnsiTheme="minorAscii"/>
          <w:b/>
          <w:bCs/>
          <w:sz w:val="22"/>
          <w:szCs w:val="22"/>
        </w:rPr>
      </w:pPr>
    </w:p>
    <w:p w14:paraId="17A14DF4">
      <w:pPr>
        <w:spacing w:line="360" w:lineRule="auto"/>
        <w:jc w:val="both"/>
        <w:rPr>
          <w:rFonts w:hint="default" w:eastAsia="Times New Roman" w:cs="Times New Roman" w:asciiTheme="minorAscii" w:hAnsiTheme="minorAscii"/>
          <w:b/>
          <w:bCs/>
          <w:sz w:val="22"/>
          <w:szCs w:val="22"/>
        </w:rPr>
      </w:pPr>
    </w:p>
    <w:p w14:paraId="65399ACA">
      <w:pPr>
        <w:spacing w:line="360" w:lineRule="auto"/>
        <w:jc w:val="both"/>
        <w:rPr>
          <w:rFonts w:hint="default" w:eastAsia="Times New Roman" w:cs="Times New Roman" w:asciiTheme="minorAscii" w:hAnsiTheme="minorAscii"/>
          <w:b/>
          <w:bCs/>
          <w:sz w:val="22"/>
          <w:szCs w:val="22"/>
        </w:rPr>
      </w:pPr>
    </w:p>
    <w:p w14:paraId="49B26D72">
      <w:pPr>
        <w:spacing w:line="360" w:lineRule="auto"/>
        <w:jc w:val="both"/>
        <w:rPr>
          <w:rFonts w:hint="default" w:eastAsia="Times New Roman" w:cs="Times New Roman" w:asciiTheme="minorAscii" w:hAnsiTheme="minorAscii"/>
          <w:b/>
          <w:bCs/>
          <w:sz w:val="22"/>
          <w:szCs w:val="22"/>
        </w:rPr>
      </w:pPr>
    </w:p>
    <w:p w14:paraId="4FCA8540">
      <w:pPr>
        <w:spacing w:line="360" w:lineRule="auto"/>
        <w:jc w:val="both"/>
        <w:rPr>
          <w:rFonts w:hint="default" w:eastAsia="Times New Roman" w:cs="Times New Roman" w:asciiTheme="minorAscii" w:hAnsiTheme="minorAscii"/>
          <w:b/>
          <w:bCs/>
          <w:sz w:val="22"/>
          <w:szCs w:val="22"/>
        </w:rPr>
      </w:pPr>
    </w:p>
    <w:p w14:paraId="1A44425E">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The Gradient Boosting Model (GBM) demonstrates strong and well-balanced performance in predicting hypertension status after hyper-parameter tuning. Using a relatively conservative learning rate (0.01), shallow trees (maximum depth of 2), and </w:t>
      </w:r>
      <w:r>
        <w:rPr>
          <w:rFonts w:hint="eastAsia" w:cs="Times New Roman" w:asciiTheme="minorAscii" w:hAnsiTheme="minorAscii"/>
          <w:bCs/>
          <w:sz w:val="22"/>
          <w:szCs w:val="22"/>
          <w:lang w:eastAsia="ja-JP"/>
        </w:rPr>
        <w:t>sub-sampling</w:t>
      </w:r>
      <w:r>
        <w:rPr>
          <w:rFonts w:hint="default" w:eastAsia="Times New Roman" w:cs="Times New Roman" w:asciiTheme="minorAscii" w:hAnsiTheme="minorAscii"/>
          <w:bCs/>
          <w:sz w:val="22"/>
          <w:szCs w:val="22"/>
        </w:rPr>
        <w:t xml:space="preserve"> (0.8), the model prioritizes generalization and reduces </w:t>
      </w:r>
      <w:r>
        <w:rPr>
          <w:rFonts w:hint="eastAsia" w:cs="Times New Roman" w:asciiTheme="minorAscii" w:hAnsiTheme="minorAscii"/>
          <w:bCs/>
          <w:sz w:val="22"/>
          <w:szCs w:val="22"/>
          <w:lang w:eastAsia="ja-JP"/>
        </w:rPr>
        <w:t>over</w:t>
      </w:r>
      <w:r>
        <w:rPr>
          <w:rFonts w:hint="eastAsia" w:cs="Times New Roman" w:asciiTheme="minorAscii" w:hAnsiTheme="minorAscii"/>
          <w:bCs/>
          <w:sz w:val="22"/>
          <w:szCs w:val="22"/>
          <w:lang w:val="en-US" w:eastAsia="ja-JP"/>
        </w:rPr>
        <w:t>-</w:t>
      </w:r>
      <w:r>
        <w:rPr>
          <w:rFonts w:hint="eastAsia" w:cs="Times New Roman" w:asciiTheme="minorAscii" w:hAnsiTheme="minorAscii"/>
          <w:bCs/>
          <w:sz w:val="22"/>
          <w:szCs w:val="22"/>
          <w:lang w:eastAsia="ja-JP"/>
        </w:rPr>
        <w:t>fitting</w:t>
      </w:r>
      <w:r>
        <w:rPr>
          <w:rFonts w:hint="default" w:eastAsia="Times New Roman" w:cs="Times New Roman" w:asciiTheme="minorAscii" w:hAnsiTheme="minorAscii"/>
          <w:bCs/>
          <w:sz w:val="22"/>
          <w:szCs w:val="22"/>
        </w:rPr>
        <w:t xml:space="preserve"> while steadily improving predictive accuracy. The overall accuracy of 84.1% indicates that the model correctly classifies a substantial majority of individuals in the test set.</w:t>
      </w:r>
    </w:p>
    <w:p w14:paraId="47B2C5A6">
      <w:pPr>
        <w:spacing w:line="360" w:lineRule="auto"/>
        <w:jc w:val="both"/>
        <w:rPr>
          <w:rFonts w:hint="default" w:eastAsia="Times New Roman" w:cs="Times New Roman" w:asciiTheme="minorAscii" w:hAnsiTheme="minorAscii"/>
          <w:bCs/>
          <w:sz w:val="22"/>
          <w:szCs w:val="22"/>
        </w:rPr>
      </w:pPr>
    </w:p>
    <w:p w14:paraId="30553F4E">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confusion matrix shows that the model correctly identified 176 hypertensive individuals and 158 non-hypertensive individuals, with a moderate number of mis</w:t>
      </w:r>
      <w:r>
        <w:rPr>
          <w:rFonts w:hint="eastAsia" w:cs="Times New Roman" w:asciiTheme="minorAscii" w:hAnsiTheme="minorAscii"/>
          <w:bCs/>
          <w:sz w:val="22"/>
          <w:szCs w:val="22"/>
          <w:lang w:val="en-US" w:eastAsia="ja-JP"/>
        </w:rPr>
        <w:t>-</w:t>
      </w:r>
      <w:r>
        <w:rPr>
          <w:rFonts w:hint="default" w:eastAsia="Times New Roman" w:cs="Times New Roman" w:asciiTheme="minorAscii" w:hAnsiTheme="minorAscii"/>
          <w:bCs/>
          <w:sz w:val="22"/>
          <w:szCs w:val="22"/>
        </w:rPr>
        <w:t>classifications. Importantly, recall for the hypertensive class is high (0.85), suggesting that the model is effective at detecting individuals with hypertension, which is particularly valuable in public health and clinical screening contexts where missed cases can have serious consequences. Precision is also balanced across classes (0.84), indicating a low rate of false positives.</w:t>
      </w:r>
    </w:p>
    <w:p w14:paraId="516A708C">
      <w:pPr>
        <w:spacing w:line="360" w:lineRule="auto"/>
        <w:jc w:val="both"/>
        <w:rPr>
          <w:rFonts w:hint="default" w:eastAsia="Times New Roman" w:cs="Times New Roman" w:asciiTheme="minorAscii" w:hAnsiTheme="minorAscii"/>
          <w:bCs/>
          <w:sz w:val="22"/>
          <w:szCs w:val="22"/>
        </w:rPr>
      </w:pPr>
    </w:p>
    <w:p w14:paraId="4755A054">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The F1-scores for both classes (0.83–0.85) and the identical macro and weighted averages (0.84) further confirm that the model performs consistently across groups without class bias. Overall, the GBM provides a reliable and robust predictive framework for hypertension classification, capturing complex nonlinear relationships among risk factors while maintaining interpretability and stability.</w:t>
      </w:r>
    </w:p>
    <w:p w14:paraId="7AE88837">
      <w:pPr>
        <w:spacing w:line="360" w:lineRule="auto"/>
        <w:jc w:val="both"/>
        <w:rPr>
          <w:rFonts w:hint="default" w:eastAsia="Times New Roman" w:cs="Times New Roman" w:asciiTheme="minorAscii" w:hAnsiTheme="minorAscii"/>
          <w:bCs/>
          <w:sz w:val="22"/>
          <w:szCs w:val="22"/>
        </w:rPr>
      </w:pPr>
    </w:p>
    <w:p w14:paraId="60419C9C">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Prediction Model</w:t>
      </w:r>
    </w:p>
    <w:p w14:paraId="1AB48FA0">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Machine learning models were applied to predict hypertension using key demographic, physiological, and behavioural factors. The optimized Random Forest, with 100 trees, square-root feature sampling, and unrestricted depth, achieved 84.9% accuracy, correctly classifying 166 non-hypertensive and 171 hypertensive individuals, with balanced precision and recall (~0.83–0.87) and F1-scores of 0.85. The Gradient Boosting Model, with a conservative learning rate (0.01), shallow trees (max depth 2), and 0.8 subsampling, achieved 84.1% accuracy, with similarly balanced performance (~0.83–0.85). Both models captured nonlinear interactions effectively, but Random Forest slightly outperformed GBM, making it the preferred choice for reliable hypertension risk prediction in clinical and population contexts.</w:t>
      </w:r>
    </w:p>
    <w:p w14:paraId="3F3D742F">
      <w:pPr>
        <w:spacing w:line="360" w:lineRule="auto"/>
        <w:jc w:val="both"/>
        <w:rPr>
          <w:rFonts w:hint="default" w:eastAsia="Times New Roman" w:cs="Times New Roman" w:asciiTheme="minorAscii" w:hAnsiTheme="minorAscii"/>
          <w:bCs/>
          <w:sz w:val="22"/>
          <w:szCs w:val="22"/>
        </w:rPr>
      </w:pPr>
    </w:p>
    <w:p w14:paraId="76681336">
      <w:pPr>
        <w:spacing w:line="360" w:lineRule="auto"/>
        <w:jc w:val="both"/>
        <w:rPr>
          <w:rFonts w:hint="default" w:eastAsia="Times New Roman" w:cs="Times New Roman" w:asciiTheme="minorAscii" w:hAnsiTheme="minorAscii"/>
          <w:bCs/>
          <w:sz w:val="22"/>
          <w:szCs w:val="22"/>
        </w:rPr>
      </w:pPr>
    </w:p>
    <w:p w14:paraId="7A7A17FB">
      <w:pPr>
        <w:spacing w:line="360" w:lineRule="auto"/>
        <w:jc w:val="both"/>
        <w:rPr>
          <w:rFonts w:hint="default" w:eastAsia="Times New Roman" w:cs="Times New Roman" w:asciiTheme="minorAscii" w:hAnsiTheme="minorAscii"/>
          <w:bCs/>
          <w:sz w:val="22"/>
          <w:szCs w:val="22"/>
        </w:rPr>
      </w:pPr>
    </w:p>
    <w:p w14:paraId="7697502E">
      <w:pPr>
        <w:spacing w:line="360" w:lineRule="auto"/>
        <w:jc w:val="both"/>
        <w:rPr>
          <w:rFonts w:hint="default" w:eastAsia="Times New Roman" w:cs="Times New Roman" w:asciiTheme="minorAscii" w:hAnsiTheme="minorAscii"/>
          <w:bCs/>
          <w:sz w:val="22"/>
          <w:szCs w:val="22"/>
        </w:rPr>
      </w:pPr>
    </w:p>
    <w:p w14:paraId="6C326DA2">
      <w:pPr>
        <w:spacing w:line="360" w:lineRule="auto"/>
        <w:jc w:val="both"/>
        <w:rPr>
          <w:rFonts w:hint="default" w:eastAsia="Times New Roman" w:cs="Times New Roman" w:asciiTheme="minorAscii" w:hAnsiTheme="minorAscii"/>
          <w:bCs/>
          <w:sz w:val="22"/>
          <w:szCs w:val="22"/>
        </w:rPr>
      </w:pPr>
    </w:p>
    <w:p w14:paraId="752A4C1B">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Conclusion</w:t>
      </w:r>
    </w:p>
    <w:p w14:paraId="72B68E9C">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This report presents a thorough, data-driven analysis of factors influencing hypertension and the development of an effective predictive model. Inferential analyses highlighted age, BMI, stress, smoking status, family history, and prior blood pressure as significant contributors to hypertension, confirming established clinical patterns. Conversely, exercise level and medication type exhibited no meaningful association in this dataset and were therefore excluded from predictive modelling.</w:t>
      </w:r>
    </w:p>
    <w:p w14:paraId="6089D89A">
      <w:pPr>
        <w:spacing w:line="360" w:lineRule="auto"/>
        <w:jc w:val="both"/>
        <w:rPr>
          <w:rFonts w:hint="default" w:eastAsia="Times New Roman" w:cs="Times New Roman" w:asciiTheme="minorAscii" w:hAnsiTheme="minorAscii"/>
          <w:bCs/>
          <w:sz w:val="22"/>
          <w:szCs w:val="22"/>
        </w:rPr>
      </w:pPr>
    </w:p>
    <w:p w14:paraId="2347755F">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Leveraging these insights, machine learning approaches were employed to construct robust predictive models. The Random Forest classifier, after hyper parameter optimization, demonstrated the best performance, achieving 84.9% accuracy with well-balanced precision and recall across hypertensive and non-hypertensive cases. This underscores the advantage of integrating inferential statistics with advanced predictive analytics to identify key risk factors while capturing complex nonlinear interactions.</w:t>
      </w:r>
    </w:p>
    <w:p w14:paraId="076E86CC">
      <w:pPr>
        <w:spacing w:line="360" w:lineRule="auto"/>
        <w:jc w:val="both"/>
        <w:rPr>
          <w:rFonts w:hint="default" w:eastAsia="Times New Roman" w:cs="Times New Roman" w:asciiTheme="minorAscii" w:hAnsiTheme="minorAscii"/>
          <w:bCs/>
          <w:sz w:val="22"/>
          <w:szCs w:val="22"/>
        </w:rPr>
      </w:pPr>
    </w:p>
    <w:p w14:paraId="0E708ADE">
      <w:pPr>
        <w:spacing w:line="360" w:lineRule="auto"/>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Overall, the study showcases how a structured analytical workflow from exploratory data analysis to model optimization can transform raw health data into actionable intelligence. The final predictive model offers a reliable tool for hypertension risk stratification, supporting targeted screening, informed clinical decision-making, and evidence-based preventive strategies.</w:t>
      </w:r>
    </w:p>
    <w:p w14:paraId="2F94D6F9">
      <w:pPr>
        <w:spacing w:line="360" w:lineRule="auto"/>
        <w:jc w:val="both"/>
        <w:rPr>
          <w:rFonts w:hint="default" w:eastAsia="Times New Roman" w:cs="Times New Roman" w:asciiTheme="minorAscii" w:hAnsiTheme="minorAscii"/>
          <w:bCs/>
          <w:sz w:val="22"/>
          <w:szCs w:val="22"/>
        </w:rPr>
      </w:pPr>
    </w:p>
    <w:p w14:paraId="53CC9B49">
      <w:pPr>
        <w:spacing w:line="360" w:lineRule="auto"/>
        <w:jc w:val="both"/>
        <w:rPr>
          <w:rFonts w:hint="default" w:eastAsia="Times New Roman" w:cs="Times New Roman" w:asciiTheme="minorAscii" w:hAnsiTheme="minorAscii"/>
          <w:b/>
          <w:bCs/>
          <w:sz w:val="22"/>
          <w:szCs w:val="22"/>
        </w:rPr>
      </w:pPr>
    </w:p>
    <w:p w14:paraId="795135C8">
      <w:pPr>
        <w:spacing w:line="360" w:lineRule="auto"/>
        <w:jc w:val="both"/>
        <w:rPr>
          <w:rFonts w:hint="default" w:eastAsia="Times New Roman" w:cs="Times New Roman" w:asciiTheme="minorAscii" w:hAnsiTheme="minorAscii"/>
          <w:b/>
          <w:bCs/>
          <w:sz w:val="22"/>
          <w:szCs w:val="22"/>
        </w:rPr>
      </w:pPr>
    </w:p>
    <w:p w14:paraId="18DF914B">
      <w:pPr>
        <w:spacing w:line="360" w:lineRule="auto"/>
        <w:jc w:val="both"/>
        <w:rPr>
          <w:rFonts w:hint="default" w:eastAsia="Times New Roman" w:cs="Times New Roman" w:asciiTheme="minorAscii" w:hAnsiTheme="minorAscii"/>
          <w:b/>
          <w:bCs/>
          <w:sz w:val="22"/>
          <w:szCs w:val="22"/>
        </w:rPr>
      </w:pPr>
    </w:p>
    <w:p w14:paraId="48BC8997">
      <w:pPr>
        <w:spacing w:line="360" w:lineRule="auto"/>
        <w:jc w:val="both"/>
        <w:rPr>
          <w:rFonts w:hint="default" w:eastAsia="Times New Roman" w:cs="Times New Roman" w:asciiTheme="minorAscii" w:hAnsiTheme="minorAscii"/>
          <w:b/>
          <w:bCs/>
          <w:sz w:val="22"/>
          <w:szCs w:val="22"/>
        </w:rPr>
      </w:pPr>
    </w:p>
    <w:p w14:paraId="3E874A85">
      <w:pPr>
        <w:spacing w:line="360" w:lineRule="auto"/>
        <w:jc w:val="both"/>
        <w:rPr>
          <w:rFonts w:hint="default" w:eastAsia="Times New Roman" w:cs="Times New Roman" w:asciiTheme="minorAscii" w:hAnsiTheme="minorAscii"/>
          <w:b/>
          <w:bCs/>
          <w:sz w:val="22"/>
          <w:szCs w:val="22"/>
        </w:rPr>
      </w:pPr>
    </w:p>
    <w:p w14:paraId="5471AC1B">
      <w:pPr>
        <w:spacing w:line="360" w:lineRule="auto"/>
        <w:jc w:val="both"/>
        <w:rPr>
          <w:rFonts w:hint="default" w:eastAsia="Times New Roman" w:cs="Times New Roman" w:asciiTheme="minorAscii" w:hAnsiTheme="minorAscii"/>
          <w:b/>
          <w:bCs/>
          <w:sz w:val="22"/>
          <w:szCs w:val="22"/>
        </w:rPr>
      </w:pPr>
    </w:p>
    <w:p w14:paraId="0078F092">
      <w:pPr>
        <w:spacing w:line="360" w:lineRule="auto"/>
        <w:jc w:val="both"/>
        <w:rPr>
          <w:rFonts w:hint="default" w:eastAsia="Times New Roman" w:cs="Times New Roman" w:asciiTheme="minorAscii" w:hAnsiTheme="minorAscii"/>
          <w:b/>
          <w:bCs/>
          <w:sz w:val="22"/>
          <w:szCs w:val="22"/>
        </w:rPr>
      </w:pPr>
    </w:p>
    <w:p w14:paraId="06368E4A">
      <w:pPr>
        <w:spacing w:line="360" w:lineRule="auto"/>
        <w:jc w:val="both"/>
        <w:rPr>
          <w:rFonts w:hint="default" w:eastAsia="Times New Roman" w:cs="Times New Roman" w:asciiTheme="minorAscii" w:hAnsiTheme="minorAscii"/>
          <w:b/>
          <w:bCs/>
          <w:sz w:val="22"/>
          <w:szCs w:val="22"/>
        </w:rPr>
      </w:pPr>
    </w:p>
    <w:p w14:paraId="08600309">
      <w:pPr>
        <w:spacing w:line="360" w:lineRule="auto"/>
        <w:jc w:val="both"/>
        <w:rPr>
          <w:rFonts w:hint="default" w:eastAsia="Times New Roman" w:cs="Times New Roman" w:asciiTheme="minorAscii" w:hAnsiTheme="minorAscii"/>
          <w:b/>
          <w:bCs/>
          <w:sz w:val="22"/>
          <w:szCs w:val="22"/>
        </w:rPr>
      </w:pPr>
    </w:p>
    <w:p w14:paraId="0E730C74">
      <w:pPr>
        <w:spacing w:line="360" w:lineRule="auto"/>
        <w:jc w:val="both"/>
        <w:rPr>
          <w:rFonts w:hint="default" w:eastAsia="Times New Roman" w:cs="Times New Roman" w:asciiTheme="minorAscii" w:hAnsiTheme="minorAscii"/>
          <w:b/>
          <w:bCs/>
          <w:sz w:val="22"/>
          <w:szCs w:val="22"/>
        </w:rPr>
      </w:pPr>
    </w:p>
    <w:p w14:paraId="387FE5B1">
      <w:pPr>
        <w:spacing w:line="360" w:lineRule="auto"/>
        <w:jc w:val="both"/>
        <w:rPr>
          <w:rFonts w:hint="default" w:eastAsia="Times New Roman" w:cs="Times New Roman" w:asciiTheme="minorAscii" w:hAnsiTheme="minorAscii"/>
          <w:b/>
          <w:bCs/>
          <w:sz w:val="22"/>
          <w:szCs w:val="22"/>
        </w:rPr>
      </w:pPr>
    </w:p>
    <w:p w14:paraId="46EC2463">
      <w:pPr>
        <w:spacing w:line="360" w:lineRule="auto"/>
        <w:jc w:val="both"/>
        <w:rPr>
          <w:rFonts w:hint="default" w:eastAsia="Times New Roman" w:cs="Times New Roman" w:asciiTheme="minorAscii" w:hAnsiTheme="minorAscii"/>
          <w:b/>
          <w:bCs/>
          <w:sz w:val="22"/>
          <w:szCs w:val="22"/>
        </w:rPr>
      </w:pPr>
    </w:p>
    <w:p w14:paraId="42366EDE">
      <w:pPr>
        <w:spacing w:line="360" w:lineRule="auto"/>
        <w:jc w:val="both"/>
        <w:rPr>
          <w:rFonts w:hint="default" w:eastAsia="Times New Roman" w:cs="Times New Roman" w:asciiTheme="minorAscii" w:hAnsiTheme="minorAscii"/>
          <w:b/>
          <w:bCs/>
          <w:sz w:val="22"/>
          <w:szCs w:val="22"/>
        </w:rPr>
      </w:pPr>
    </w:p>
    <w:p w14:paraId="2498B3AF">
      <w:pPr>
        <w:spacing w:line="360" w:lineRule="auto"/>
        <w:jc w:val="both"/>
        <w:rPr>
          <w:rFonts w:hint="default" w:eastAsia="Times New Roman" w:cs="Times New Roman" w:asciiTheme="minorAscii" w:hAnsiTheme="minorAscii"/>
          <w:b/>
          <w:bCs/>
          <w:sz w:val="22"/>
          <w:szCs w:val="22"/>
        </w:rPr>
      </w:pPr>
    </w:p>
    <w:p w14:paraId="6D79BE45">
      <w:pPr>
        <w:spacing w:line="360" w:lineRule="auto"/>
        <w:jc w:val="both"/>
        <w:rPr>
          <w:rFonts w:hint="default" w:eastAsia="Times New Roman" w:cs="Times New Roman" w:asciiTheme="minorAscii" w:hAnsiTheme="minorAscii"/>
          <w:b/>
          <w:bCs/>
          <w:sz w:val="22"/>
          <w:szCs w:val="22"/>
        </w:rPr>
      </w:pPr>
    </w:p>
    <w:p w14:paraId="63A95582">
      <w:pPr>
        <w:spacing w:line="360" w:lineRule="auto"/>
        <w:jc w:val="both"/>
        <w:rPr>
          <w:rFonts w:hint="default" w:eastAsia="Times New Roman" w:cs="Times New Roman" w:asciiTheme="minorAscii" w:hAnsiTheme="minorAscii"/>
          <w:b/>
          <w:bCs/>
          <w:sz w:val="22"/>
          <w:szCs w:val="22"/>
        </w:rPr>
      </w:pPr>
    </w:p>
    <w:p w14:paraId="1051642F">
      <w:pPr>
        <w:spacing w:line="360" w:lineRule="auto"/>
        <w:jc w:val="both"/>
        <w:rPr>
          <w:rFonts w:hint="default" w:eastAsia="Times New Roman" w:cs="Times New Roman" w:asciiTheme="minorAscii" w:hAnsiTheme="minorAscii"/>
          <w:b/>
          <w:bCs/>
          <w:sz w:val="22"/>
          <w:szCs w:val="22"/>
        </w:rPr>
      </w:pPr>
      <w:r>
        <w:rPr>
          <w:rFonts w:hint="default" w:eastAsia="Times New Roman" w:cs="Times New Roman" w:asciiTheme="minorAscii" w:hAnsiTheme="minorAscii"/>
          <w:b/>
          <w:bCs/>
          <w:sz w:val="22"/>
          <w:szCs w:val="22"/>
        </w:rPr>
        <w:t xml:space="preserve">REFRENCES </w:t>
      </w:r>
    </w:p>
    <w:p w14:paraId="1D7D15C6">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Burnier, M., &amp; Wuerzner, G. (2015). </w:t>
      </w:r>
      <w:r>
        <w:rPr>
          <w:rFonts w:hint="default" w:eastAsia="Times New Roman" w:cs="Times New Roman" w:asciiTheme="minorAscii" w:hAnsiTheme="minorAscii"/>
          <w:bCs/>
          <w:i/>
          <w:iCs/>
          <w:sz w:val="22"/>
          <w:szCs w:val="22"/>
        </w:rPr>
        <w:t>Pathophysiology of Hypertension</w:t>
      </w:r>
      <w:r>
        <w:rPr>
          <w:rFonts w:hint="default" w:eastAsia="Times New Roman" w:cs="Times New Roman" w:asciiTheme="minorAscii" w:hAnsiTheme="minorAscii"/>
          <w:bCs/>
          <w:sz w:val="22"/>
          <w:szCs w:val="22"/>
        </w:rPr>
        <w:t xml:space="preserve"> (pp. 655–683). Adis, Cham. https://doi.org/10.1007/978-3-319-15961-4_31</w:t>
      </w:r>
    </w:p>
    <w:p w14:paraId="62B91755">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Dagher, T. H., &amp; Beck, L. (2024). </w:t>
      </w:r>
      <w:r>
        <w:rPr>
          <w:rFonts w:hint="default" w:eastAsia="Times New Roman" w:cs="Times New Roman" w:asciiTheme="minorAscii" w:hAnsiTheme="minorAscii"/>
          <w:bCs/>
          <w:i/>
          <w:iCs/>
          <w:sz w:val="22"/>
          <w:szCs w:val="22"/>
        </w:rPr>
        <w:t>Hypertension</w:t>
      </w:r>
      <w:r>
        <w:rPr>
          <w:rFonts w:hint="default" w:eastAsia="Times New Roman" w:cs="Times New Roman" w:asciiTheme="minorAscii" w:hAnsiTheme="minorAscii"/>
          <w:bCs/>
          <w:sz w:val="22"/>
          <w:szCs w:val="22"/>
        </w:rPr>
        <w:t xml:space="preserve"> (pp. 260–261). Oxford University Press. https://doi.org/10.1093/med/9780197584569.003.0104</w:t>
      </w:r>
    </w:p>
    <w:p w14:paraId="71C0FFE0">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i/>
          <w:iCs/>
          <w:sz w:val="22"/>
          <w:szCs w:val="22"/>
        </w:rPr>
        <w:t>Hypertension</w:t>
      </w:r>
      <w:r>
        <w:rPr>
          <w:rFonts w:hint="default" w:eastAsia="Times New Roman" w:cs="Times New Roman" w:asciiTheme="minorAscii" w:hAnsiTheme="minorAscii"/>
          <w:bCs/>
          <w:sz w:val="22"/>
          <w:szCs w:val="22"/>
        </w:rPr>
        <w:t xml:space="preserve"> (pp. 774-C305.S12). (2023). Oxford University Press eBooks. https://doi.org/10.1093/med/9780197584521.003.0304</w:t>
      </w:r>
    </w:p>
    <w:p w14:paraId="14253913">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Koenig, H. G., VanderWeele, T. J., &amp; Peteet, J. R. (2024). </w:t>
      </w:r>
      <w:r>
        <w:rPr>
          <w:rFonts w:hint="default" w:eastAsia="Times New Roman" w:cs="Times New Roman" w:asciiTheme="minorAscii" w:hAnsiTheme="minorAscii"/>
          <w:bCs/>
          <w:i/>
          <w:iCs/>
          <w:sz w:val="22"/>
          <w:szCs w:val="22"/>
        </w:rPr>
        <w:t>Hypertension</w:t>
      </w:r>
      <w:r>
        <w:rPr>
          <w:rFonts w:hint="default" w:eastAsia="Times New Roman" w:cs="Times New Roman" w:asciiTheme="minorAscii" w:hAnsiTheme="minorAscii"/>
          <w:bCs/>
          <w:sz w:val="22"/>
          <w:szCs w:val="22"/>
        </w:rPr>
        <w:t xml:space="preserve"> (pp. 397–415). Oxford University Press. https://doi.org/10.1093/oso/9780190088859.003.0021</w:t>
      </w:r>
    </w:p>
    <w:p w14:paraId="730B5BC0">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Mazhar, S., Rafi, U., &amp; Noreen, A. (2023). Hypertension: Causes, Symptoms, Treatment and Prevention. </w:t>
      </w:r>
      <w:r>
        <w:rPr>
          <w:rFonts w:hint="default" w:eastAsia="Times New Roman" w:cs="Times New Roman" w:asciiTheme="minorAscii" w:hAnsiTheme="minorAscii"/>
          <w:bCs/>
          <w:i/>
          <w:iCs/>
          <w:sz w:val="22"/>
          <w:szCs w:val="22"/>
        </w:rPr>
        <w:t>Pakistan Biomedical Journal</w:t>
      </w:r>
      <w:r>
        <w:rPr>
          <w:rFonts w:hint="default" w:eastAsia="Times New Roman" w:cs="Times New Roman" w:asciiTheme="minorAscii" w:hAnsiTheme="minorAscii"/>
          <w:bCs/>
          <w:sz w:val="22"/>
          <w:szCs w:val="22"/>
        </w:rPr>
        <w:t>, 02–07. https://doi.org/10.54393/pbmj.v6i04.858</w:t>
      </w:r>
    </w:p>
    <w:p w14:paraId="15CBCA64">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Mirza, M., Nishath, S. H., &amp; Saeed, F. U. (2024). The Silent Storm: Understanding Hypertension. </w:t>
      </w:r>
      <w:r>
        <w:rPr>
          <w:rFonts w:hint="default" w:eastAsia="Times New Roman" w:cs="Times New Roman" w:asciiTheme="minorAscii" w:hAnsiTheme="minorAscii"/>
          <w:bCs/>
          <w:i/>
          <w:iCs/>
          <w:sz w:val="22"/>
          <w:szCs w:val="22"/>
        </w:rPr>
        <w:t>International Journal of Innovative Science and Research Technology</w:t>
      </w:r>
      <w:r>
        <w:rPr>
          <w:rFonts w:hint="default" w:eastAsia="Times New Roman" w:cs="Times New Roman" w:asciiTheme="minorAscii" w:hAnsiTheme="minorAscii"/>
          <w:bCs/>
          <w:sz w:val="22"/>
          <w:szCs w:val="22"/>
        </w:rPr>
        <w:t>, 3405–3415. https://doi.org/10.38124/ijisrt/ijisrt24apr1387</w:t>
      </w:r>
    </w:p>
    <w:p w14:paraId="462018B2">
      <w:pPr>
        <w:spacing w:line="360" w:lineRule="auto"/>
        <w:ind w:left="720" w:hanging="720"/>
        <w:jc w:val="both"/>
        <w:rPr>
          <w:rFonts w:hint="default" w:eastAsia="Times New Roman" w:cs="Times New Roman" w:asciiTheme="minorAscii" w:hAnsiTheme="minorAscii"/>
          <w:bCs/>
          <w:sz w:val="22"/>
          <w:szCs w:val="22"/>
        </w:rPr>
      </w:pPr>
      <w:r>
        <w:rPr>
          <w:rFonts w:hint="default" w:eastAsia="Times New Roman" w:cs="Times New Roman" w:asciiTheme="minorAscii" w:hAnsiTheme="minorAscii"/>
          <w:bCs/>
          <w:sz w:val="22"/>
          <w:szCs w:val="22"/>
        </w:rPr>
        <w:t xml:space="preserve">Thalib, A. (2025). </w:t>
      </w:r>
      <w:r>
        <w:rPr>
          <w:rFonts w:hint="default" w:eastAsia="Times New Roman" w:cs="Times New Roman" w:asciiTheme="minorAscii" w:hAnsiTheme="minorAscii"/>
          <w:bCs/>
          <w:i/>
          <w:iCs/>
          <w:sz w:val="22"/>
          <w:szCs w:val="22"/>
        </w:rPr>
        <w:t>Hypertension Causes, Impacts, and Control Strategies In The Modern Era</w:t>
      </w:r>
      <w:r>
        <w:rPr>
          <w:rFonts w:hint="default" w:eastAsia="Times New Roman" w:cs="Times New Roman" w:asciiTheme="minorAscii" w:hAnsiTheme="minorAscii"/>
          <w:bCs/>
          <w:sz w:val="22"/>
          <w:szCs w:val="22"/>
        </w:rPr>
        <w:t xml:space="preserve">. </w:t>
      </w:r>
      <w:r>
        <w:rPr>
          <w:rFonts w:hint="default" w:eastAsia="Times New Roman" w:cs="Times New Roman" w:asciiTheme="minorAscii" w:hAnsiTheme="minorAscii"/>
          <w:bCs/>
          <w:i/>
          <w:iCs/>
          <w:sz w:val="22"/>
          <w:szCs w:val="22"/>
        </w:rPr>
        <w:t>2</w:t>
      </w:r>
      <w:r>
        <w:rPr>
          <w:rFonts w:hint="default" w:eastAsia="Times New Roman" w:cs="Times New Roman" w:asciiTheme="minorAscii" w:hAnsiTheme="minorAscii"/>
          <w:bCs/>
          <w:sz w:val="22"/>
          <w:szCs w:val="22"/>
        </w:rPr>
        <w:t>(1: February), 12–19. https://doi.org/10.64914/249e0j45</w:t>
      </w:r>
    </w:p>
    <w:p w14:paraId="0000002F">
      <w:pPr>
        <w:spacing w:line="360" w:lineRule="auto"/>
        <w:jc w:val="both"/>
        <w:rPr>
          <w:rFonts w:hint="default" w:eastAsia="Times New Roman" w:cs="Times New Roman" w:asciiTheme="minorAscii" w:hAnsiTheme="minorAscii"/>
          <w:b/>
          <w:bCs/>
          <w:sz w:val="22"/>
          <w:szCs w:val="22"/>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897418A-FCC1-4AB6-A13B-3A0236D66CB8}"/>
  </w:font>
  <w:font w:name="Arial">
    <w:panose1 w:val="020B0604020202020204"/>
    <w:charset w:val="00"/>
    <w:family w:val="swiss"/>
    <w:pitch w:val="default"/>
    <w:sig w:usb0="E0002EFF" w:usb1="C000785B" w:usb2="00000009" w:usb3="00000000" w:csb0="400001FF" w:csb1="FFFF0000"/>
    <w:embedRegular r:id="rId2" w:fontKey="{51F356F6-24FE-4EB6-854F-1674B1CB7D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804C4C7-F4F7-4063-ACF3-7D9A0F535A58}"/>
  </w:font>
  <w:font w:name="Wingdings">
    <w:panose1 w:val="05000000000000000000"/>
    <w:charset w:val="02"/>
    <w:family w:val="auto"/>
    <w:pitch w:val="default"/>
    <w:sig w:usb0="00000000" w:usb1="00000000" w:usb2="00000000" w:usb3="00000000" w:csb0="80000000" w:csb1="00000000"/>
    <w:embedRegular r:id="rId4" w:fontKey="{BB2CFC9A-2730-4FFE-8E6B-04AFBD7612EF}"/>
  </w:font>
  <w:font w:name="Calibri">
    <w:panose1 w:val="020F0502020204030204"/>
    <w:charset w:val="00"/>
    <w:family w:val="swiss"/>
    <w:pitch w:val="default"/>
    <w:sig w:usb0="E4002EFF" w:usb1="C000247B" w:usb2="00000009" w:usb3="00000000" w:csb0="200001FF" w:csb1="00000000"/>
    <w:embedRegular r:id="rId5" w:fontKey="{5B15AE63-8208-4455-9745-33AA37EBFD26}"/>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embedRegular r:id="rId6" w:fontKey="{B55849E9-E8F4-4A77-869D-7585A2C87F1E}"/>
  </w:font>
  <w:font w:name="Symbol">
    <w:panose1 w:val="05050102010706020507"/>
    <w:charset w:val="02"/>
    <w:family w:val="roman"/>
    <w:pitch w:val="default"/>
    <w:sig w:usb0="00000000" w:usb1="00000000" w:usb2="00000000" w:usb3="00000000" w:csb0="80000000" w:csb1="00000000"/>
    <w:embedRegular r:id="rId7" w:fontKey="{BA1AA246-F8EF-43E3-ADEB-4D0B5111A556}"/>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8" w:fontKey="{51F9A98C-5967-49C0-964C-30F0EB26165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20684"/>
    <w:multiLevelType w:val="multilevel"/>
    <w:tmpl w:val="174206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A7082"/>
    <w:multiLevelType w:val="multilevel"/>
    <w:tmpl w:val="1DDA70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65F0FDB"/>
    <w:multiLevelType w:val="multilevel"/>
    <w:tmpl w:val="365F0F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CBD388F"/>
    <w:multiLevelType w:val="multilevel"/>
    <w:tmpl w:val="4CBD38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0B4"/>
    <w:rsid w:val="000047C4"/>
    <w:rsid w:val="000347B4"/>
    <w:rsid w:val="00073CC8"/>
    <w:rsid w:val="000C080D"/>
    <w:rsid w:val="001273B5"/>
    <w:rsid w:val="00193B10"/>
    <w:rsid w:val="002B51B8"/>
    <w:rsid w:val="002C586C"/>
    <w:rsid w:val="002D68A9"/>
    <w:rsid w:val="003159C3"/>
    <w:rsid w:val="00320CBA"/>
    <w:rsid w:val="00380CDD"/>
    <w:rsid w:val="00416405"/>
    <w:rsid w:val="004713FD"/>
    <w:rsid w:val="005250B4"/>
    <w:rsid w:val="005B4636"/>
    <w:rsid w:val="005C6120"/>
    <w:rsid w:val="00616A57"/>
    <w:rsid w:val="00654112"/>
    <w:rsid w:val="00691CFE"/>
    <w:rsid w:val="006B3273"/>
    <w:rsid w:val="006F58D8"/>
    <w:rsid w:val="0071737F"/>
    <w:rsid w:val="007319B1"/>
    <w:rsid w:val="00740A45"/>
    <w:rsid w:val="007E0F1D"/>
    <w:rsid w:val="0085240E"/>
    <w:rsid w:val="00877D99"/>
    <w:rsid w:val="00895E58"/>
    <w:rsid w:val="008A29C6"/>
    <w:rsid w:val="008A6FEA"/>
    <w:rsid w:val="008C2EAC"/>
    <w:rsid w:val="00943794"/>
    <w:rsid w:val="0094562C"/>
    <w:rsid w:val="00A32897"/>
    <w:rsid w:val="00A378DB"/>
    <w:rsid w:val="00A42045"/>
    <w:rsid w:val="00A77F1E"/>
    <w:rsid w:val="00A94EB4"/>
    <w:rsid w:val="00AA7B0A"/>
    <w:rsid w:val="00AB7090"/>
    <w:rsid w:val="00AC0506"/>
    <w:rsid w:val="00B46D79"/>
    <w:rsid w:val="00B56626"/>
    <w:rsid w:val="00B97B83"/>
    <w:rsid w:val="00BA6CFD"/>
    <w:rsid w:val="00BD7E11"/>
    <w:rsid w:val="00C561E8"/>
    <w:rsid w:val="00C8223E"/>
    <w:rsid w:val="00D91C74"/>
    <w:rsid w:val="00DA7A8E"/>
    <w:rsid w:val="00E232BA"/>
    <w:rsid w:val="00E412CF"/>
    <w:rsid w:val="00E57844"/>
    <w:rsid w:val="00EB256A"/>
    <w:rsid w:val="00EE26AD"/>
    <w:rsid w:val="00EE709B"/>
    <w:rsid w:val="00F1525E"/>
    <w:rsid w:val="00F23F0D"/>
    <w:rsid w:val="00F356A5"/>
    <w:rsid w:val="00F93F19"/>
    <w:rsid w:val="00FB350C"/>
    <w:rsid w:val="00FC5387"/>
    <w:rsid w:val="00FE58AA"/>
    <w:rsid w:val="00FF30B9"/>
    <w:rsid w:val="02C81B1F"/>
    <w:rsid w:val="04161698"/>
    <w:rsid w:val="041A7E71"/>
    <w:rsid w:val="04B7134B"/>
    <w:rsid w:val="070D2AC1"/>
    <w:rsid w:val="0CB617C0"/>
    <w:rsid w:val="0CF02E12"/>
    <w:rsid w:val="0EC17841"/>
    <w:rsid w:val="0ED70625"/>
    <w:rsid w:val="11683701"/>
    <w:rsid w:val="12353631"/>
    <w:rsid w:val="13D94699"/>
    <w:rsid w:val="15512989"/>
    <w:rsid w:val="17981331"/>
    <w:rsid w:val="198545EC"/>
    <w:rsid w:val="198D690B"/>
    <w:rsid w:val="1C5D199B"/>
    <w:rsid w:val="25BF7042"/>
    <w:rsid w:val="27156F2D"/>
    <w:rsid w:val="2C521827"/>
    <w:rsid w:val="2D1A05DB"/>
    <w:rsid w:val="2D961A5A"/>
    <w:rsid w:val="2EB540B0"/>
    <w:rsid w:val="2FD52F24"/>
    <w:rsid w:val="2FDB3E92"/>
    <w:rsid w:val="30CA6005"/>
    <w:rsid w:val="33C8455E"/>
    <w:rsid w:val="40226D9C"/>
    <w:rsid w:val="40BB5081"/>
    <w:rsid w:val="420226D9"/>
    <w:rsid w:val="457B748C"/>
    <w:rsid w:val="4A5E7F8F"/>
    <w:rsid w:val="50716043"/>
    <w:rsid w:val="515D64BF"/>
    <w:rsid w:val="55AD491E"/>
    <w:rsid w:val="58D6064E"/>
    <w:rsid w:val="5B876AF2"/>
    <w:rsid w:val="5EBC5F3E"/>
    <w:rsid w:val="5F8C1DD9"/>
    <w:rsid w:val="606D2829"/>
    <w:rsid w:val="60DD75A4"/>
    <w:rsid w:val="627A3B57"/>
    <w:rsid w:val="62FE50AD"/>
    <w:rsid w:val="66D1483C"/>
    <w:rsid w:val="687A7176"/>
    <w:rsid w:val="69170127"/>
    <w:rsid w:val="6B306BFB"/>
    <w:rsid w:val="6BFD3031"/>
    <w:rsid w:val="6D267C77"/>
    <w:rsid w:val="6E511176"/>
    <w:rsid w:val="6F49453E"/>
    <w:rsid w:val="6FFF244B"/>
    <w:rsid w:val="72F773E8"/>
    <w:rsid w:val="73DB1B03"/>
    <w:rsid w:val="76BB18DA"/>
    <w:rsid w:val="7B5C4162"/>
    <w:rsid w:val="7BDB4440"/>
    <w:rsid w:val="7DD2457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MS Mincho" w:cs="Arial"/>
      <w:sz w:val="22"/>
      <w:szCs w:val="22"/>
      <w:lang w:val="en-GB" w:eastAsia="ja-JP" w:bidi="ar-SA"/>
    </w:rPr>
  </w:style>
  <w:style w:type="paragraph" w:styleId="2">
    <w:name w:val="heading 1"/>
    <w:basedOn w:val="1"/>
    <w:next w:val="1"/>
    <w:uiPriority w:val="0"/>
    <w:pPr>
      <w:keepNext/>
      <w:keepLines/>
      <w:spacing w:before="400" w:after="120"/>
      <w:outlineLvl w:val="0"/>
    </w:pPr>
    <w:rPr>
      <w:sz w:val="40"/>
      <w:szCs w:val="40"/>
    </w:rPr>
  </w:style>
  <w:style w:type="paragraph" w:styleId="3">
    <w:name w:val="heading 2"/>
    <w:basedOn w:val="1"/>
    <w:next w:val="1"/>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uiPriority w:val="0"/>
    <w:pPr>
      <w:keepNext/>
      <w:keepLines/>
      <w:spacing w:before="240" w:after="80"/>
      <w:outlineLvl w:val="4"/>
    </w:pPr>
    <w:rPr>
      <w:color w:val="666666"/>
    </w:rPr>
  </w:style>
  <w:style w:type="paragraph" w:styleId="7">
    <w:name w:val="heading 6"/>
    <w:basedOn w:val="1"/>
    <w:next w:val="1"/>
    <w:uiPriority w:val="0"/>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8"/>
    <w:qFormat/>
    <w:uiPriority w:val="22"/>
    <w:rPr>
      <w:b/>
      <w:bCs/>
    </w:rPr>
  </w:style>
  <w:style w:type="paragraph" w:styleId="13">
    <w:name w:val="Subtitle"/>
    <w:basedOn w:val="1"/>
    <w:next w:val="1"/>
    <w:qFormat/>
    <w:uiPriority w:val="0"/>
    <w:pPr>
      <w:keepNext/>
      <w:keepLines/>
      <w:spacing w:after="320"/>
    </w:pPr>
    <w:rPr>
      <w:rFonts w:eastAsia="Arial"/>
      <w:color w:val="666666"/>
      <w:sz w:val="30"/>
      <w:szCs w:val="30"/>
    </w:rPr>
  </w:style>
  <w:style w:type="paragraph" w:styleId="14">
    <w:name w:val="Title"/>
    <w:basedOn w:val="1"/>
    <w:next w:val="1"/>
    <w:qFormat/>
    <w:uiPriority w:val="0"/>
    <w:pPr>
      <w:keepNext/>
      <w:keepLines/>
      <w:spacing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34"/>
    <w:pPr>
      <w:ind w:left="720"/>
      <w:contextualSpacing/>
    </w:pPr>
  </w:style>
  <w:style w:type="character" w:customStyle="1" w:styleId="17">
    <w:name w:val="in-toolbar"/>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30</Pages>
  <Words>6136</Words>
  <Characters>34977</Characters>
  <Lines>291</Lines>
  <Paragraphs>82</Paragraphs>
  <TotalTime>2</TotalTime>
  <ScaleCrop>false</ScaleCrop>
  <LinksUpToDate>false</LinksUpToDate>
  <CharactersWithSpaces>41031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2025-12-16T17:47:00Z</dcterms:created>
  <dc:creator>user</dc:creator>
  <cp:lastModifiedBy>Olamide Edwin</cp:lastModifiedBy>
  <dcterms:modified xsi:type="dcterms:W3CDTF">2026-02-03T17:57:28Z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9B1B0E10951E4F8A8263391ECC8DFBDB_12</vt:lpwstr>
  </property>
</Properties>
</file>