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 Security Forecasting and Decision Support System</w:t>
      </w:r>
    </w:p>
    <w:p>
      <w:pPr>
        <w:pStyle w:val="Heading1"/>
        <w:jc w:val="center"/>
      </w:pPr>
      <w:r>
        <w:t>Automated Food Security Situation Report</w:t>
      </w:r>
    </w:p>
    <w:p/>
    <w:p>
      <w:pPr>
        <w:jc w:val="center"/>
      </w:pPr>
      <w:r>
        <w:rPr>
          <w:i/>
        </w:rPr>
        <w:t>Master's Research Project</w:t>
        <w:br/>
      </w:r>
      <w:r>
        <w:rPr>
          <w:b/>
        </w:rPr>
        <w:t>Food Security Forecasting and Decision Support System (FSFDSS)</w:t>
        <w:br/>
      </w:r>
      <w:r>
        <w:t>Somalia</w:t>
      </w:r>
    </w:p>
    <w:p>
      <w:r>
        <w:rPr>
          <w:b/>
        </w:rPr>
        <w:t xml:space="preserve">Reporting Round: </w:t>
      </w:r>
      <w:r>
        <w:t>2025 Deyr</w:t>
      </w:r>
    </w:p>
    <w:p>
      <w:r>
        <w:rPr>
          <w:b/>
        </w:rPr>
        <w:t xml:space="preserve">Generated On: </w:t>
      </w:r>
      <w:r>
        <w:t>27 June 2026 17:53</w:t>
      </w:r>
    </w:p>
    <w:p>
      <w:pPr>
        <w:pStyle w:val="Heading1"/>
      </w:pPr>
      <w:r>
        <w:t>1. Executive Summary</w:t>
      </w:r>
    </w:p>
    <w:p>
      <w:r>
        <w:br/>
        <w:br/>
        <w:t>The latest assessment (2025 Deyr) indicates</w:t>
        <w:br/>
        <w:t>average national food security outcomes of</w:t>
        <w:br/>
        <w:t>FCS=37.5,</w:t>
        <w:br/>
        <w:t>rCSI=9.5,</w:t>
        <w:br/>
        <w:t>and</w:t>
        <w:br/>
        <w:t>HHS=1.15.</w:t>
        <w:br/>
        <w:br/>
        <w:t>Machine learning interpretation indicates that</w:t>
        <w:br/>
        <w:t>climate conditions currently exert the</w:t>
        <w:br/>
        <w:t>largest influence on predicted food security.</w:t>
        <w:br/>
        <w:br/>
        <w:t>The strongest individual predictor identified by</w:t>
        <w:br/>
        <w:t>the XGBoost forecasting models was</w:t>
        <w:br/>
        <w:br/>
        <w:t>Ndvi Lag4.</w:t>
        <w:br/>
        <w:br/>
        <w:t>This report was automatically generated by</w:t>
        <w:br/>
        <w:t>FSFDSS on</w:t>
        <w:br/>
        <w:br/>
        <w:t>27 June 2026 at 17:53.</w:t>
        <w:br/>
        <w:br/>
      </w:r>
    </w:p>
    <w:p>
      <w:pPr>
        <w:pStyle w:val="Heading1"/>
      </w:pPr>
      <w:r>
        <w:t>2. National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Food Consumption Score</w:t>
            </w:r>
          </w:p>
        </w:tc>
        <w:tc>
          <w:tcPr>
            <w:tcW w:type="dxa" w:w="4320"/>
          </w:tcPr>
          <w:p>
            <w:r>
              <w:t>37.51</w:t>
            </w:r>
          </w:p>
        </w:tc>
      </w:tr>
      <w:tr>
        <w:tc>
          <w:tcPr>
            <w:tcW w:type="dxa" w:w="4320"/>
          </w:tcPr>
          <w:p>
            <w:r>
              <w:t>Reduced Coping Strategy Index</w:t>
            </w:r>
          </w:p>
        </w:tc>
        <w:tc>
          <w:tcPr>
            <w:tcW w:type="dxa" w:w="4320"/>
          </w:tcPr>
          <w:p>
            <w:r>
              <w:t>9.48</w:t>
            </w:r>
          </w:p>
        </w:tc>
      </w:tr>
      <w:tr>
        <w:tc>
          <w:tcPr>
            <w:tcW w:type="dxa" w:w="4320"/>
          </w:tcPr>
          <w:p>
            <w:r>
              <w:t>Household Hunger Scale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</w:tbl>
    <w:p>
      <w:pPr>
        <w:pStyle w:val="Heading1"/>
      </w:pPr>
      <w:r>
        <w:t>3. Key Drivers of Food Security</w:t>
      </w:r>
    </w:p>
    <w:p>
      <w:r>
        <w:br/>
        <w:br/>
        <w:t>Machine learning interpretation using SHAP values indicates that</w:t>
        <w:br/>
        <w:t>climate conditions remain the most influential drivers</w:t>
        <w:br/>
        <w:t>of predicted food security outcomes across Somalia.</w:t>
        <w:br/>
        <w:br/>
        <w:t>The single most influential predictor identified by the forecasting</w:t>
        <w:br/>
        <w:t>models is:</w:t>
        <w:br/>
        <w:br/>
        <w:t>• Ndvi Lag4</w:t>
        <w:br/>
        <w:br/>
        <w:t>These findings reinforce the importance of continuous monitoring of</w:t>
        <w:br/>
        <w:t>environmental conditions, market dynamics, livelihood resilience,</w:t>
        <w:br/>
        <w:t>and localized conflict when interpreting future food security risks.</w:t>
        <w:br/>
        <w:br/>
      </w:r>
    </w:p>
    <w:p/>
    <w:p>
      <w:pPr>
        <w:pStyle w:val="Heading2"/>
      </w:pPr>
      <w:r>
        <w:t>Top Machine Learning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Mean_Abs_SHAP</w:t>
            </w:r>
          </w:p>
        </w:tc>
      </w:tr>
      <w:tr>
        <w:tc>
          <w:tcPr>
            <w:tcW w:type="dxa" w:w="4320"/>
          </w:tcPr>
          <w:p>
            <w:r>
              <w:t>ndvi_lag4</w:t>
            </w:r>
          </w:p>
        </w:tc>
        <w:tc>
          <w:tcPr>
            <w:tcW w:type="dxa" w:w="4320"/>
          </w:tcPr>
          <w:p>
            <w:r>
              <w:t>3.122</w:t>
            </w:r>
          </w:p>
        </w:tc>
      </w:tr>
      <w:tr>
        <w:tc>
          <w:tcPr>
            <w:tcW w:type="dxa" w:w="4320"/>
          </w:tcPr>
          <w:p>
            <w:r>
              <w:t>conflict_incidents_lag4</w:t>
            </w:r>
          </w:p>
        </w:tc>
        <w:tc>
          <w:tcPr>
            <w:tcW w:type="dxa" w:w="4320"/>
          </w:tcPr>
          <w:p>
            <w:r>
              <w:t>1.765</w:t>
            </w:r>
          </w:p>
        </w:tc>
      </w:tr>
      <w:tr>
        <w:tc>
          <w:tcPr>
            <w:tcW w:type="dxa" w:w="4320"/>
          </w:tcPr>
          <w:p>
            <w:r>
              <w:t>ndvi_lag1</w:t>
            </w:r>
          </w:p>
        </w:tc>
        <w:tc>
          <w:tcPr>
            <w:tcW w:type="dxa" w:w="4320"/>
          </w:tcPr>
          <w:p>
            <w:r>
              <w:t>1.716</w:t>
            </w:r>
          </w:p>
        </w:tc>
      </w:tr>
      <w:tr>
        <w:tc>
          <w:tcPr>
            <w:tcW w:type="dxa" w:w="4320"/>
          </w:tcPr>
          <w:p>
            <w:r>
              <w:t>water_price_lag6</w:t>
            </w:r>
          </w:p>
        </w:tc>
        <w:tc>
          <w:tcPr>
            <w:tcW w:type="dxa" w:w="4320"/>
          </w:tcPr>
          <w:p>
            <w:r>
              <w:t>1.216</w:t>
            </w:r>
          </w:p>
        </w:tc>
      </w:tr>
      <w:tr>
        <w:tc>
          <w:tcPr>
            <w:tcW w:type="dxa" w:w="4320"/>
          </w:tcPr>
          <w:p>
            <w:r>
              <w:t>goat_price</w:t>
            </w:r>
          </w:p>
        </w:tc>
        <w:tc>
          <w:tcPr>
            <w:tcW w:type="dxa" w:w="4320"/>
          </w:tcPr>
          <w:p>
            <w:r>
              <w:t>0.847</w:t>
            </w:r>
          </w:p>
        </w:tc>
      </w:tr>
      <w:tr>
        <w:tc>
          <w:tcPr>
            <w:tcW w:type="dxa" w:w="4320"/>
          </w:tcPr>
          <w:p>
            <w:r>
              <w:t>river_level</w:t>
            </w:r>
          </w:p>
        </w:tc>
        <w:tc>
          <w:tcPr>
            <w:tcW w:type="dxa" w:w="4320"/>
          </w:tcPr>
          <w:p>
            <w:r>
              <w:t>0.806</w:t>
            </w:r>
          </w:p>
        </w:tc>
      </w:tr>
      <w:tr>
        <w:tc>
          <w:tcPr>
            <w:tcW w:type="dxa" w:w="4320"/>
          </w:tcPr>
          <w:p>
            <w:r>
              <w:t>herd_size</w:t>
            </w:r>
          </w:p>
        </w:tc>
        <w:tc>
          <w:tcPr>
            <w:tcW w:type="dxa" w:w="4320"/>
          </w:tcPr>
          <w:p>
            <w:r>
              <w:t>0.641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0.602</w:t>
            </w:r>
          </w:p>
        </w:tc>
      </w:tr>
      <w:tr>
        <w:tc>
          <w:tcPr>
            <w:tcW w:type="dxa" w:w="4320"/>
          </w:tcPr>
          <w:p>
            <w:r>
              <w:t>goat_price_lag1</w:t>
            </w:r>
          </w:p>
        </w:tc>
        <w:tc>
          <w:tcPr>
            <w:tcW w:type="dxa" w:w="4320"/>
          </w:tcPr>
          <w:p>
            <w:r>
              <w:t>0.599</w:t>
            </w:r>
          </w:p>
        </w:tc>
      </w:tr>
      <w:tr>
        <w:tc>
          <w:tcPr>
            <w:tcW w:type="dxa" w:w="4320"/>
          </w:tcPr>
          <w:p>
            <w:r>
              <w:t>goat_price_lag6</w:t>
            </w:r>
          </w:p>
        </w:tc>
        <w:tc>
          <w:tcPr>
            <w:tcW w:type="dxa" w:w="4320"/>
          </w:tcPr>
          <w:p>
            <w:r>
              <w:t>0.565</w:t>
            </w:r>
          </w:p>
        </w:tc>
      </w:tr>
    </w:tbl>
    <w:p>
      <w:pPr>
        <w:pStyle w:val="Heading1"/>
      </w:pPr>
      <w:r>
        <w:t>4. Early Warning Priorities</w:t>
      </w:r>
    </w:p>
    <w:p>
      <w:pPr>
        <w:pStyle w:val="ListBullet"/>
      </w:pPr>
      <w:r>
        <w:t>Monitor rainfall performance and vegetation conditions (NDVI).</w:t>
      </w:r>
    </w:p>
    <w:p>
      <w:pPr>
        <w:pStyle w:val="ListBullet"/>
      </w:pPr>
      <w:r>
        <w:t>Monitor staple food prices and Cost of the Minimum Basket (CMB).</w:t>
      </w:r>
    </w:p>
    <w:p>
      <w:pPr>
        <w:pStyle w:val="ListBullet"/>
      </w:pPr>
      <w:r>
        <w:t>Track livestock market conditions, particularly goat prices.</w:t>
      </w:r>
    </w:p>
    <w:p>
      <w:pPr>
        <w:pStyle w:val="ListBullet"/>
      </w:pPr>
      <w:r>
        <w:t>Monitor conflict incidents and conflict-related fatalities.</w:t>
      </w:r>
    </w:p>
    <w:p>
      <w:pPr>
        <w:pStyle w:val="ListBullet"/>
      </w:pPr>
      <w:r>
        <w:t>Assess household livelihood resilience including debt levels, herd size and crop production.</w:t>
      </w:r>
    </w:p>
    <w:p>
      <w:pPr>
        <w:pStyle w:val="Heading1"/>
      </w:pPr>
      <w:r>
        <w:t>5. Recommendations</w:t>
      </w:r>
    </w:p>
    <w:p>
      <w:pPr>
        <w:pStyle w:val="ListNumber"/>
      </w:pPr>
      <w:r>
        <w:t>Continue seasonal monitoring of food security indicators.</w:t>
      </w:r>
    </w:p>
    <w:p>
      <w:pPr>
        <w:pStyle w:val="ListNumber"/>
      </w:pPr>
      <w:r>
        <w:t>Strengthen environmental monitoring to support early warning.</w:t>
      </w:r>
    </w:p>
    <w:p>
      <w:pPr>
        <w:pStyle w:val="ListNumber"/>
      </w:pPr>
      <w:r>
        <w:t>Increase surveillance of market prices and household purchasing power.</w:t>
      </w:r>
    </w:p>
    <w:p>
      <w:pPr>
        <w:pStyle w:val="ListNumber"/>
      </w:pPr>
      <w:r>
        <w:t>Maintain routine monitoring of conflict trends in vulnerable livelihood zones.</w:t>
      </w:r>
    </w:p>
    <w:p>
      <w:pPr>
        <w:pStyle w:val="ListNumber"/>
      </w:pPr>
      <w:r>
        <w:t>Update machine learning forecasts whenever new monthly data become available.</w:t>
      </w:r>
    </w:p>
    <w:p>
      <w:pPr>
        <w:pStyle w:val="ListNumber"/>
      </w:pPr>
      <w:r>
        <w:t>Use the forecasting results alongside IPC analytical processes to support evidence-based decision-making.</w:t>
      </w:r>
    </w:p>
    <w:p>
      <w:pPr>
        <w:pStyle w:val="Heading1"/>
      </w:pPr>
      <w:r>
        <w:t>6. Conclusion</w:t>
      </w:r>
    </w:p>
    <w:p>
      <w:r>
        <w:br/>
        <w:t>The Food Security Forecasting and Decision Support System (FSFDSS)</w:t>
        <w:br/>
        <w:t>provides an integrated framework for combining historical monitoring,</w:t>
        <w:br/>
        <w:t>machine learning forecasting and model interpretation to support</w:t>
        <w:br/>
        <w:t>food security decision-making.</w:t>
        <w:br/>
        <w:br/>
        <w:t>The system is intended to complement existing analytical approaches</w:t>
        <w:br/>
        <w:t>by providing rapid evidence-based insights that can strengthen</w:t>
        <w:br/>
        <w:t>preparedness, early warning and response planning.</w:t>
        <w:br/>
        <w:br/>
        <w:t>Forecasts generated by the platform should be interpreted as</w:t>
        <w:br/>
        <w:t>decision-support information and considered alongside expert</w:t>
        <w:br/>
        <w:t>judgement and other operational evidence.</w:t>
        <w:br/>
        <w:br/>
      </w:r>
    </w:p>
    <w:p>
      <w:pPr>
        <w:pStyle w:val="Heading2"/>
      </w:pPr>
      <w:r>
        <w:t>Report Information</w:t>
      </w:r>
    </w:p>
    <w:p>
      <w:r>
        <w:t>Generated automatically by the Food Security Forecasting and Decision Support System (FSFDSS).</w:t>
      </w:r>
    </w:p>
    <w:p>
      <w:r>
        <w:t>Machine Learning Model: XGBoost Regression</w:t>
      </w:r>
    </w:p>
    <w:p>
      <w:r>
        <w:t>Purpose: Food Security Forecasting, Early Warning and Decision Support</w:t>
      </w:r>
    </w:p>
    <w:p>
      <w:r>
        <w:t>This report was generated automatically from the FSFDSS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